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宋体"/>
          <w:sz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pStyle w:val="4"/>
        <w:keepNext w:val="0"/>
        <w:keepLines w:val="0"/>
        <w:pageBreakBefore w:val="0"/>
        <w:widowControl w:val="0"/>
        <w:kinsoku/>
        <w:wordWrap/>
        <w:overflowPunct/>
        <w:topLinePunct w:val="0"/>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3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1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关于印发自治区逐步推行免费学前教育</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工作实施方案的通知</w:t>
      </w:r>
    </w:p>
    <w:p>
      <w:pPr>
        <w:pStyle w:val="2"/>
        <w:rPr>
          <w:rFonts w:hint="eastAsia"/>
          <w:lang w:eastAsia="zh-CN"/>
        </w:rPr>
      </w:pP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内政办发〔2025〕3</w:t>
      </w:r>
      <w:r>
        <w:rPr>
          <w:rFonts w:hint="eastAsia" w:ascii="仿宋_GB2312" w:hAnsi="华文仿宋" w:eastAsia="仿宋_GB2312"/>
          <w:sz w:val="32"/>
          <w:lang w:val="en-US" w:eastAsia="zh-CN"/>
        </w:rPr>
        <w:t>4</w:t>
      </w:r>
      <w:r>
        <w:rPr>
          <w:rFonts w:hint="eastAsia" w:ascii="仿宋_GB2312" w:hAnsi="华文仿宋" w:eastAsia="仿宋_GB2312"/>
          <w:sz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仿宋_GBK" w:hAnsi="方正仿宋_GBK" w:eastAsia="仿宋" w:cs="方正仿宋_GBK"/>
          <w:b w:val="0"/>
          <w:bCs/>
          <w:i w:val="0"/>
          <w:sz w:val="32"/>
          <w:szCs w:val="32"/>
          <w:lang w:eastAsia="zh-CN"/>
        </w:rPr>
      </w:pPr>
      <w:bookmarkStart w:id="0" w:name="OLE_LINK1"/>
      <w:r>
        <w:rPr>
          <w:rFonts w:hint="eastAsia" w:ascii="方正仿宋_GBK" w:hAnsi="方正仿宋_GBK" w:eastAsia="仿宋" w:cs="方正仿宋_GBK"/>
          <w:b w:val="0"/>
          <w:bCs/>
          <w:i w:val="0"/>
          <w:sz w:val="32"/>
          <w:szCs w:val="32"/>
          <w:lang w:eastAsia="zh-CN"/>
        </w:rPr>
        <w:t>各盟行政公署、市人民政府，自治区各委、办、厅、局，</w:t>
      </w:r>
      <w:r>
        <w:rPr>
          <w:rFonts w:hint="eastAsia" w:ascii="方正仿宋_GBK" w:hAnsi="方正仿宋_GBK" w:eastAsia="仿宋" w:cs="方正仿宋_GBK"/>
          <w:b w:val="0"/>
          <w:bCs/>
          <w:i w:val="0"/>
          <w:sz w:val="32"/>
          <w:szCs w:val="32"/>
        </w:rPr>
        <w:t>各大企业、事业单位：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仿宋" w:cs="方正仿宋_GBK"/>
          <w:b w:val="0"/>
          <w:bCs/>
          <w:i w:val="0"/>
          <w:spacing w:val="-6"/>
          <w:sz w:val="32"/>
          <w:szCs w:val="32"/>
          <w:lang w:eastAsia="zh-CN"/>
        </w:rPr>
      </w:pPr>
      <w:r>
        <w:rPr>
          <w:rFonts w:hint="eastAsia" w:ascii="方正仿宋_GBK" w:hAnsi="方正仿宋_GBK" w:eastAsia="仿宋" w:cs="方正仿宋_GBK"/>
          <w:b w:val="0"/>
          <w:bCs/>
          <w:i w:val="0"/>
          <w:sz w:val="32"/>
          <w:szCs w:val="32"/>
          <w:lang w:eastAsia="zh-CN"/>
        </w:rPr>
        <w:t>经</w:t>
      </w:r>
      <w:r>
        <w:rPr>
          <w:rFonts w:hint="eastAsia" w:ascii="方正仿宋_GBK" w:hAnsi="方正仿宋_GBK" w:eastAsia="仿宋" w:cs="方正仿宋_GBK"/>
          <w:b w:val="0"/>
          <w:bCs/>
          <w:i w:val="0"/>
          <w:spacing w:val="-6"/>
          <w:sz w:val="32"/>
          <w:szCs w:val="32"/>
          <w:lang w:eastAsia="zh-CN"/>
        </w:rPr>
        <w:t>自治区人民政府同意，现将《内蒙古自治区逐步推行免费学前教育工作实施方案》印发给你们，请结合实际，认真贯彻落实。</w:t>
      </w:r>
    </w:p>
    <w:p>
      <w:pPr>
        <w:keepNext w:val="0"/>
        <w:keepLines w:val="0"/>
        <w:pageBreakBefore w:val="0"/>
        <w:widowControl w:val="0"/>
        <w:kinsoku/>
        <w:wordWrap/>
        <w:overflowPunct/>
        <w:autoSpaceDE/>
        <w:autoSpaceDN/>
        <w:bidi w:val="0"/>
        <w:adjustRightInd/>
        <w:snapToGrid/>
        <w:spacing w:line="600" w:lineRule="exact"/>
        <w:textAlignment w:val="auto"/>
        <w:rPr>
          <w:rFonts w:hint="eastAsia" w:ascii="方正仿宋_GBK" w:hAnsi="方正仿宋_GBK" w:eastAsia="仿宋" w:cs="方正仿宋_GBK"/>
          <w:b w:val="0"/>
          <w:bCs/>
          <w:i w:val="0"/>
          <w:sz w:val="32"/>
          <w:szCs w:val="32"/>
          <w:lang w:eastAsia="zh-CN"/>
        </w:rPr>
      </w:pPr>
    </w:p>
    <w:p>
      <w:pPr>
        <w:pStyle w:val="2"/>
        <w:rPr>
          <w:rFonts w:hint="eastAsia"/>
          <w:b w:val="0"/>
          <w:bCs/>
          <w:lang w:eastAsia="zh-CN"/>
        </w:rPr>
      </w:pPr>
    </w:p>
    <w:p>
      <w:pPr>
        <w:rPr>
          <w:rFonts w:hint="eastAsia"/>
          <w:b w:val="0"/>
          <w:bCs/>
          <w:lang w:eastAsia="zh-CN"/>
        </w:rPr>
      </w:pPr>
    </w:p>
    <w:p>
      <w:pPr>
        <w:pStyle w:val="2"/>
        <w:rPr>
          <w:rFonts w:hint="eastAsia"/>
          <w:lang w:eastAsia="zh-CN"/>
        </w:rPr>
      </w:pPr>
    </w:p>
    <w:p>
      <w:pPr>
        <w:keepNext w:val="0"/>
        <w:keepLines w:val="0"/>
        <w:pageBreakBefore w:val="0"/>
        <w:widowControl w:val="0"/>
        <w:tabs>
          <w:tab w:val="left" w:pos="7720"/>
        </w:tabs>
        <w:kinsoku/>
        <w:wordWrap/>
        <w:overflowPunct/>
        <w:topLinePunct/>
        <w:autoSpaceDE/>
        <w:autoSpaceDN/>
        <w:bidi w:val="0"/>
        <w:adjustRightInd/>
        <w:snapToGrid/>
        <w:spacing w:line="480" w:lineRule="exact"/>
        <w:ind w:left="0" w:leftChars="0" w:firstLine="5158" w:firstLineChars="1612"/>
        <w:textAlignment w:val="auto"/>
        <w:rPr>
          <w:rFonts w:hint="eastAsia" w:ascii="方正仿宋_GBK" w:hAnsi="方正仿宋_GBK" w:eastAsia="仿宋" w:cs="方正仿宋_GBK"/>
          <w:b w:val="0"/>
          <w:bCs/>
          <w:i w:val="0"/>
          <w:sz w:val="32"/>
          <w:szCs w:val="32"/>
          <w:lang w:val="en-US" w:eastAsia="zh-CN"/>
        </w:rPr>
      </w:pPr>
      <w:r>
        <w:rPr>
          <w:rFonts w:hint="eastAsia" w:ascii="方正仿宋_GBK" w:hAnsi="方正仿宋_GBK" w:eastAsia="仿宋" w:cs="方正仿宋_GBK"/>
          <w:b w:val="0"/>
          <w:bCs/>
          <w:i w:val="0"/>
          <w:sz w:val="32"/>
          <w:szCs w:val="32"/>
          <w:lang w:val="en-US" w:eastAsia="zh-CN"/>
        </w:rPr>
        <w:t>2025年9月5日</w:t>
      </w:r>
    </w:p>
    <w:p>
      <w:pPr>
        <w:pStyle w:val="2"/>
        <w:keepNext w:val="0"/>
        <w:keepLines w:val="0"/>
        <w:pageBreakBefore w:val="0"/>
        <w:widowControl w:val="0"/>
        <w:kinsoku/>
        <w:wordWrap/>
        <w:overflowPunct/>
        <w:topLinePunct/>
        <w:autoSpaceDE/>
        <w:autoSpaceDN/>
        <w:bidi w:val="0"/>
        <w:adjustRightInd/>
        <w:snapToGrid/>
        <w:spacing w:after="0" w:line="600" w:lineRule="exact"/>
        <w:ind w:firstLine="640" w:firstLineChars="200"/>
        <w:textAlignment w:val="auto"/>
        <w:rPr>
          <w:rFonts w:hint="eastAsia" w:ascii="方正仿宋_GBK" w:hAnsi="方正仿宋_GBK" w:eastAsia="仿宋" w:cs="方正仿宋_GBK"/>
          <w:b w:val="0"/>
          <w:bCs/>
          <w:i w:val="0"/>
          <w:sz w:val="32"/>
          <w:szCs w:val="32"/>
          <w:highlight w:val="none"/>
        </w:rPr>
      </w:pPr>
      <w:r>
        <w:rPr>
          <w:rFonts w:hint="eastAsia" w:ascii="方正仿宋_GBK" w:hAnsi="方正仿宋_GBK" w:eastAsia="仿宋" w:cs="方正仿宋_GBK"/>
          <w:b w:val="0"/>
          <w:bCs/>
          <w:i w:val="0"/>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简体" w:eastAsia="方正小标宋简体"/>
          <w:b w:val="0"/>
          <w:bCs/>
          <w:sz w:val="44"/>
          <w:szCs w:val="44"/>
          <w:lang w:eastAsia="zh-CN"/>
        </w:rPr>
        <w:br w:type="page"/>
      </w:r>
      <w:r>
        <w:rPr>
          <w:rFonts w:hint="eastAsia" w:ascii="方正小标宋_GBK" w:hAnsi="方正小标宋_GBK" w:eastAsia="方正小标宋_GBK" w:cs="方正小标宋_GBK"/>
          <w:b w:val="0"/>
          <w:bCs/>
          <w:sz w:val="44"/>
          <w:szCs w:val="44"/>
          <w:lang w:eastAsia="zh-CN"/>
        </w:rPr>
        <w:t>内蒙古自治区逐步推行免费</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lang w:eastAsia="zh-CN"/>
        </w:rPr>
        <w:t>学前教育工作实施方案</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color w:val="auto"/>
          <w:sz w:val="32"/>
          <w:szCs w:val="32"/>
          <w:highlight w:val="none"/>
          <w:u w:val="single"/>
          <w:lang w:eastAsia="zh-CN"/>
        </w:rPr>
      </w:pPr>
    </w:p>
    <w:p>
      <w:pPr>
        <w:pStyle w:val="13"/>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仿宋" w:cs="方正仿宋_GBK"/>
          <w:b w:val="0"/>
          <w:bCs/>
          <w:i w:val="0"/>
          <w:color w:val="auto"/>
          <w:sz w:val="32"/>
          <w:szCs w:val="32"/>
          <w:highlight w:val="none"/>
          <w:u w:val="none"/>
          <w:lang w:val="en-US" w:eastAsia="zh-CN"/>
        </w:rPr>
      </w:pPr>
      <w:r>
        <w:rPr>
          <w:rFonts w:hint="eastAsia" w:ascii="方正仿宋_GBK" w:hAnsi="方正仿宋_GBK" w:eastAsia="仿宋" w:cs="方正仿宋_GBK"/>
          <w:b w:val="0"/>
          <w:bCs/>
          <w:i w:val="0"/>
          <w:color w:val="auto"/>
          <w:sz w:val="32"/>
          <w:szCs w:val="32"/>
          <w:highlight w:val="none"/>
          <w:u w:val="none"/>
          <w:lang w:eastAsia="zh-CN"/>
        </w:rPr>
        <w:t>为全面贯彻落实《国务院办公厅关于逐步推行免费学前教育的意见》（国办发〔</w:t>
      </w:r>
      <w:r>
        <w:rPr>
          <w:rFonts w:hint="eastAsia" w:ascii="方正仿宋_GBK" w:hAnsi="方正仿宋_GBK" w:eastAsia="仿宋" w:cs="方正仿宋_GBK"/>
          <w:b w:val="0"/>
          <w:bCs/>
          <w:i w:val="0"/>
          <w:color w:val="auto"/>
          <w:sz w:val="32"/>
          <w:szCs w:val="32"/>
          <w:highlight w:val="none"/>
          <w:u w:val="none"/>
          <w:lang w:val="en-US" w:eastAsia="zh-CN"/>
        </w:rPr>
        <w:t>2025</w:t>
      </w:r>
      <w:r>
        <w:rPr>
          <w:rFonts w:hint="eastAsia" w:ascii="方正仿宋_GBK" w:hAnsi="方正仿宋_GBK" w:eastAsia="仿宋" w:cs="方正仿宋_GBK"/>
          <w:b w:val="0"/>
          <w:bCs/>
          <w:i w:val="0"/>
          <w:color w:val="auto"/>
          <w:sz w:val="32"/>
          <w:szCs w:val="32"/>
          <w:highlight w:val="none"/>
          <w:u w:val="none"/>
          <w:lang w:eastAsia="zh-CN"/>
        </w:rPr>
        <w:t>〕</w:t>
      </w:r>
      <w:r>
        <w:rPr>
          <w:rFonts w:hint="eastAsia" w:ascii="方正仿宋_GBK" w:hAnsi="方正仿宋_GBK" w:eastAsia="仿宋" w:cs="方正仿宋_GBK"/>
          <w:b w:val="0"/>
          <w:bCs/>
          <w:i w:val="0"/>
          <w:color w:val="auto"/>
          <w:sz w:val="32"/>
          <w:szCs w:val="32"/>
          <w:highlight w:val="none"/>
          <w:u w:val="none"/>
          <w:lang w:val="en-US" w:eastAsia="zh-CN"/>
        </w:rPr>
        <w:t>27号）精神，逐步推行免费学前教育，推进我区学前教育普及普惠安全优质发展，紧紧围绕铸牢中华民族共同体意识工作主线，结合自治区实际，制定本方案。</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一、工作目标</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K" w:hAnsi="方正仿宋_GBK" w:eastAsia="仿宋" w:cs="方正仿宋_GBK"/>
          <w:b w:val="0"/>
          <w:bCs/>
          <w:i w:val="0"/>
          <w:color w:val="auto"/>
          <w:sz w:val="32"/>
          <w:szCs w:val="32"/>
          <w:highlight w:val="none"/>
          <w:u w:val="none"/>
          <w:lang w:val="en-US" w:eastAsia="zh-CN"/>
        </w:rPr>
      </w:pPr>
      <w:r>
        <w:rPr>
          <w:rFonts w:hint="eastAsia" w:ascii="方正仿宋_GBK" w:hAnsi="方正仿宋_GBK" w:eastAsia="仿宋" w:cs="方正仿宋_GBK"/>
          <w:b w:val="0"/>
          <w:bCs/>
          <w:i w:val="0"/>
          <w:color w:val="auto"/>
          <w:sz w:val="32"/>
          <w:szCs w:val="32"/>
          <w:highlight w:val="none"/>
          <w:u w:val="none"/>
          <w:lang w:val="en-US" w:eastAsia="zh-CN"/>
        </w:rPr>
        <w:t>以习近平新时代中国特色社会主义思想为指导，深入贯彻党的二十大和二十届二中、三中全会精神以及《教育强国建设规划纲要（2024—2035年）》，按照强化普及普惠、稳妥有序推进、加大政府投入、经费合理分担的原则，逐步免除学前教育保育教育费，有效降低教育成本，进一步巩固完善家庭经济困难儿童等群体资助政策，做好兜底保障，持续提高基本公共教育服务水平，办好人民满意的教育。</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二、主要任务</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（一）逐步免除学前教育保育教育费</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lang w:val="en-US" w:eastAsia="zh-CN"/>
        </w:rPr>
      </w:pPr>
      <w:r>
        <w:rPr>
          <w:rFonts w:hint="eastAsia" w:ascii="仿宋" w:hAnsi="仿宋" w:eastAsia="仿宋" w:cs="仿宋"/>
          <w:b w:val="0"/>
          <w:bCs/>
          <w:i w:val="0"/>
          <w:sz w:val="32"/>
          <w:szCs w:val="32"/>
          <w:highlight w:val="none"/>
          <w:lang w:val="en-US" w:eastAsia="zh-CN"/>
        </w:rPr>
        <w:t>1.免保育教育费对象。从2025年秋季学期起，免除全区公办幼儿园学前一年在园儿童保育教育费。对在教育部门批准设立的民办幼儿园就读的适龄儿童，参照当地同类型公办幼儿园免除水平，相应减免保育教育费。</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lang w:val="en-US" w:eastAsia="zh-CN"/>
        </w:rPr>
      </w:pPr>
      <w:r>
        <w:rPr>
          <w:rFonts w:hint="eastAsia" w:ascii="仿宋" w:hAnsi="仿宋" w:eastAsia="仿宋" w:cs="仿宋"/>
          <w:b w:val="0"/>
          <w:bCs/>
          <w:i w:val="0"/>
          <w:sz w:val="32"/>
          <w:szCs w:val="32"/>
          <w:highlight w:val="none"/>
          <w:lang w:val="en-US" w:eastAsia="zh-CN"/>
        </w:rPr>
        <w:t>2.免保育教育费标准。按照旗县级以上地方人民政府及其教育、价格主管部门批准的公办幼儿园保育教育费收费标准（不含伙食费、住宿费、杂费等）执行。民办幼儿园保育教育费高出免除水平的部分，幼儿园可以按规定继续向在园儿童家庭收取。</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single"/>
          <w:lang w:val="en-US" w:eastAsia="zh-CN"/>
        </w:rPr>
      </w:pPr>
      <w:r>
        <w:rPr>
          <w:rFonts w:hint="eastAsia" w:ascii="仿宋" w:hAnsi="仿宋" w:eastAsia="仿宋" w:cs="仿宋"/>
          <w:b w:val="0"/>
          <w:bCs/>
          <w:i w:val="0"/>
          <w:sz w:val="32"/>
          <w:szCs w:val="32"/>
          <w:highlight w:val="none"/>
          <w:lang w:val="en-US" w:eastAsia="zh-CN"/>
        </w:rPr>
        <w:t>3.财政补助方式。对因免保育教育费导致幼儿园收入减少的部分，由财政部门综合考虑免保育教育费在园儿童人数、所在地保育教育费生均实际收费水平等情况予以补助。</w:t>
      </w:r>
      <w:r>
        <w:rPr>
          <w:rFonts w:hint="eastAsia" w:ascii="仿宋" w:hAnsi="仿宋" w:eastAsia="仿宋" w:cs="仿宋"/>
          <w:b w:val="0"/>
          <w:bCs/>
          <w:i w:val="0"/>
          <w:sz w:val="32"/>
          <w:szCs w:val="32"/>
          <w:highlight w:val="none"/>
          <w:u w:val="none"/>
          <w:lang w:val="en-US" w:eastAsia="zh-CN"/>
        </w:rPr>
        <w:t>自治区财政厅、教育厅根据各盟市</w:t>
      </w:r>
      <w:r>
        <w:rPr>
          <w:rFonts w:hint="eastAsia" w:ascii="仿宋" w:hAnsi="仿宋" w:eastAsia="仿宋" w:cs="仿宋"/>
          <w:b w:val="0"/>
          <w:bCs/>
          <w:i w:val="0"/>
          <w:color w:val="auto"/>
          <w:sz w:val="32"/>
          <w:szCs w:val="32"/>
          <w:highlight w:val="none"/>
          <w:u w:val="none"/>
          <w:lang w:val="en-US" w:eastAsia="zh-CN"/>
        </w:rPr>
        <w:t>2024/2025学年</w:t>
      </w:r>
      <w:r>
        <w:rPr>
          <w:rFonts w:hint="eastAsia" w:ascii="仿宋" w:hAnsi="仿宋" w:eastAsia="仿宋" w:cs="仿宋"/>
          <w:b w:val="0"/>
          <w:bCs/>
          <w:i w:val="0"/>
          <w:sz w:val="32"/>
          <w:szCs w:val="32"/>
          <w:highlight w:val="none"/>
          <w:u w:val="none"/>
          <w:lang w:val="en-US" w:eastAsia="zh-CN"/>
        </w:rPr>
        <w:t>公办幼儿园保育教育费生均实际收费水平，分盟市核定免保育教育费生均财政补助标准，结合实际动态调整。</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single"/>
          <w:lang w:val="en-US" w:eastAsia="zh-CN"/>
        </w:rPr>
      </w:pPr>
      <w:r>
        <w:rPr>
          <w:rFonts w:hint="eastAsia" w:ascii="仿宋" w:hAnsi="仿宋" w:eastAsia="仿宋" w:cs="仿宋"/>
          <w:b w:val="0"/>
          <w:bCs/>
          <w:i w:val="0"/>
          <w:sz w:val="32"/>
          <w:szCs w:val="32"/>
          <w:highlight w:val="none"/>
          <w:u w:val="none"/>
          <w:lang w:val="en-US" w:eastAsia="zh-CN"/>
        </w:rPr>
        <w:t>4.财政补助资金分担方式。免保育教育费生均财政补助标准所需资金，在中央财政按规定下达补助资金后，其余资金按照自治区确定的自治区与盟市财政事权和支出责任划分比例分担。免保育教育费政策范围超出国家政策的，可继续执行，超出部分所需资金由地方承担。</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（二）调整完善自治区学前教育资助政策</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none"/>
          <w:lang w:val="en-US" w:eastAsia="zh-CN"/>
        </w:rPr>
      </w:pPr>
      <w:r>
        <w:rPr>
          <w:rFonts w:hint="eastAsia" w:ascii="仿宋" w:hAnsi="仿宋" w:eastAsia="仿宋" w:cs="仿宋"/>
          <w:b w:val="0"/>
          <w:bCs/>
          <w:i w:val="0"/>
          <w:sz w:val="32"/>
          <w:szCs w:val="32"/>
          <w:highlight w:val="none"/>
          <w:u w:val="none"/>
          <w:lang w:val="en-US" w:eastAsia="zh-CN"/>
        </w:rPr>
        <w:t>1.资助对象。从2025年秋季学期起，对在经旗县级以上教育行政部门审批设立的公办幼儿园和普惠性民办幼儿园（不包括托儿所、亲子园等早期教育机构）就读的家庭经济困难儿童发放生活补助。</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none"/>
          <w:lang w:val="en-US" w:eastAsia="zh-CN"/>
        </w:rPr>
      </w:pPr>
      <w:r>
        <w:rPr>
          <w:rFonts w:hint="eastAsia" w:ascii="仿宋" w:hAnsi="仿宋" w:eastAsia="仿宋" w:cs="仿宋"/>
          <w:b w:val="0"/>
          <w:bCs/>
          <w:i w:val="0"/>
          <w:sz w:val="32"/>
          <w:szCs w:val="32"/>
          <w:highlight w:val="none"/>
          <w:u w:val="none"/>
          <w:lang w:val="en-US" w:eastAsia="zh-CN"/>
        </w:rPr>
        <w:t>2.资助标准。A类家庭经济困难儿童每生每年2000元。B、C类家庭经济困难儿童每生每年1000元。</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none"/>
          <w:lang w:val="en-US" w:eastAsia="zh-CN"/>
        </w:rPr>
      </w:pPr>
      <w:r>
        <w:rPr>
          <w:rFonts w:hint="eastAsia" w:ascii="仿宋" w:hAnsi="仿宋" w:eastAsia="仿宋" w:cs="仿宋"/>
          <w:b w:val="0"/>
          <w:bCs/>
          <w:i w:val="0"/>
          <w:sz w:val="32"/>
          <w:szCs w:val="32"/>
          <w:highlight w:val="none"/>
          <w:u w:val="none"/>
          <w:lang w:val="en-US" w:eastAsia="zh-CN"/>
        </w:rPr>
        <w:t>3.财政补助方式。生活补助所需资金由各盟市、旗县（市、区）根据资助人数和标准足额列入年度财政预算并及时拨付，自治区财政给予奖补支持。对学前教育家庭经济困难儿童等群体的其他资助政策，各地区可根据实际情况自行制定，所需资金由同级人民政府承担，并报自治区教育厅备案。各地区要积极引导和鼓励企业、社会团体及个人等捐资助学；鼓励幼儿园从事业收入中安排一定经费，帮助家庭经济困难儿童等群体接受学前教育。</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（三）健全自治区普惠性学前教育投入机制</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lang w:val="en-US" w:eastAsia="zh-CN"/>
        </w:rPr>
      </w:pPr>
      <w:r>
        <w:rPr>
          <w:rFonts w:hint="eastAsia" w:ascii="仿宋" w:hAnsi="仿宋" w:eastAsia="仿宋" w:cs="仿宋"/>
          <w:b w:val="0"/>
          <w:bCs/>
          <w:i w:val="0"/>
          <w:sz w:val="32"/>
          <w:szCs w:val="32"/>
          <w:highlight w:val="none"/>
          <w:lang w:val="en-US" w:eastAsia="zh-CN"/>
        </w:rPr>
        <w:t>1.确保幼儿园教师工资及时足额发放。旗县级以上地方人民政府要坚持保基本、保普惠的原则，将公办幼儿园教师工资纳入财政保障范围，确保教师工资及时足额发放。</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color w:val="auto"/>
          <w:sz w:val="32"/>
          <w:szCs w:val="32"/>
          <w:highlight w:val="none"/>
          <w:u w:val="none"/>
          <w:lang w:val="en-US" w:eastAsia="zh-CN"/>
        </w:rPr>
      </w:pPr>
      <w:r>
        <w:rPr>
          <w:rFonts w:hint="eastAsia" w:ascii="仿宋" w:hAnsi="仿宋" w:eastAsia="仿宋" w:cs="仿宋"/>
          <w:b w:val="0"/>
          <w:bCs/>
          <w:i w:val="0"/>
          <w:color w:val="auto"/>
          <w:sz w:val="32"/>
          <w:szCs w:val="32"/>
          <w:highlight w:val="none"/>
          <w:u w:val="none"/>
          <w:lang w:val="en-US" w:eastAsia="zh-CN"/>
        </w:rPr>
        <w:t>2.落实公办幼儿园生均公用经费基准定额和普惠性民办幼儿园补助标准政策。自治区继续按照600元/生/年落实公办幼儿园生均公用经费基准定额和普惠性民办幼儿园补助标准政策，并建立动态调整机制。所需资金按照自治区确定的自治区与盟市财政事权和支出责任划分比例分担。</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三、工作要求</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i w:val="0"/>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（一）加强组织领导，完善工作机制。</w:t>
      </w:r>
      <w:r>
        <w:rPr>
          <w:rFonts w:hint="eastAsia" w:ascii="仿宋" w:hAnsi="仿宋" w:eastAsia="仿宋" w:cs="仿宋"/>
          <w:b w:val="0"/>
          <w:bCs/>
          <w:i w:val="0"/>
          <w:color w:val="auto"/>
          <w:sz w:val="32"/>
          <w:szCs w:val="32"/>
          <w:highlight w:val="none"/>
          <w:u w:val="none"/>
          <w:lang w:val="en-US" w:eastAsia="zh-CN"/>
        </w:rPr>
        <w:t>各盟行政公署、市人民政府要进一步提高认识，加强组织领导，明确责任分工，结合实际分类核定本区域内公办幼儿园和同类型民办幼儿园的免保育教育费生均财政补助标准，及时评估和动态调整。已出台地方学前教育免保育教育</w:t>
      </w:r>
      <w:r>
        <w:rPr>
          <w:rFonts w:hint="eastAsia" w:ascii="仿宋" w:hAnsi="仿宋" w:eastAsia="仿宋" w:cs="仿宋"/>
          <w:b w:val="0"/>
          <w:bCs/>
          <w:i w:val="0"/>
          <w:sz w:val="32"/>
          <w:szCs w:val="32"/>
          <w:highlight w:val="none"/>
          <w:u w:val="none"/>
          <w:lang w:val="en-US" w:eastAsia="zh-CN"/>
        </w:rPr>
        <w:t>费和家庭经济困难儿童等群体资助政策的地区要认真研究，切实做好政策衔接，确保各项惠民政策的顺利实施。</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楷体" w:hAnsi="楷体" w:eastAsia="楷体" w:cs="楷体"/>
          <w:b w:val="0"/>
          <w:bCs/>
          <w:sz w:val="32"/>
          <w:szCs w:val="32"/>
          <w:highlight w:val="none"/>
          <w:u w:val="none"/>
          <w:lang w:val="en-US" w:eastAsia="zh-CN"/>
        </w:rPr>
        <w:t>（二）</w:t>
      </w:r>
      <w:r>
        <w:rPr>
          <w:rFonts w:hint="eastAsia" w:ascii="楷体" w:hAnsi="楷体" w:eastAsia="楷体" w:cs="楷体"/>
          <w:b w:val="0"/>
          <w:bCs/>
          <w:color w:val="auto"/>
          <w:sz w:val="32"/>
          <w:szCs w:val="32"/>
          <w:highlight w:val="none"/>
          <w:u w:val="none"/>
          <w:lang w:val="en-US" w:eastAsia="zh-CN"/>
        </w:rPr>
        <w:t>落实经费责任</w:t>
      </w:r>
      <w:r>
        <w:rPr>
          <w:rFonts w:hint="eastAsia" w:ascii="楷体" w:hAnsi="楷体" w:eastAsia="楷体" w:cs="楷体"/>
          <w:b w:val="0"/>
          <w:bCs/>
          <w:sz w:val="32"/>
          <w:szCs w:val="32"/>
          <w:highlight w:val="none"/>
          <w:u w:val="none"/>
          <w:lang w:val="en-US" w:eastAsia="zh-CN"/>
        </w:rPr>
        <w:t>，强化资金管理。</w:t>
      </w:r>
      <w:r>
        <w:rPr>
          <w:rFonts w:hint="eastAsia" w:ascii="仿宋" w:hAnsi="仿宋" w:eastAsia="仿宋" w:cs="仿宋"/>
          <w:b w:val="0"/>
          <w:bCs/>
          <w:i w:val="0"/>
          <w:sz w:val="32"/>
          <w:szCs w:val="32"/>
          <w:highlight w:val="none"/>
          <w:u w:val="none"/>
          <w:lang w:val="en-US" w:eastAsia="zh-CN"/>
        </w:rPr>
        <w:t>旗县级以上地方人民政府要统筹安排中央、自治区补助资金和地方应承担的资金，加强预算管理，确保资金及时足额拨付到位，保障幼儿园正常运转，严禁拖欠教师工资。对于存在虚报冒领、挤占挪用、滞拨缓拨补助资金</w:t>
      </w:r>
      <w:r>
        <w:rPr>
          <w:rFonts w:hint="eastAsia" w:ascii="仿宋" w:hAnsi="仿宋" w:eastAsia="仿宋" w:cs="仿宋"/>
          <w:b w:val="0"/>
          <w:bCs/>
          <w:i w:val="0"/>
          <w:color w:val="auto"/>
          <w:sz w:val="32"/>
          <w:szCs w:val="32"/>
          <w:highlight w:val="none"/>
          <w:u w:val="none"/>
          <w:lang w:val="en-US" w:eastAsia="zh-CN"/>
        </w:rPr>
        <w:t>等行为的，自治区将核减有关盟市下年度经费预算，并依法依规追究相应责任。各级审计部门要对专项资金使用情况进行审计，督促充分发挥资金效益。</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（三）规范收费行为，强化基础管理。</w:t>
      </w:r>
      <w:r>
        <w:rPr>
          <w:rFonts w:hint="eastAsia" w:ascii="仿宋" w:hAnsi="仿宋" w:eastAsia="仿宋" w:cs="仿宋"/>
          <w:b w:val="0"/>
          <w:bCs/>
          <w:i w:val="0"/>
          <w:color w:val="auto"/>
          <w:sz w:val="32"/>
          <w:szCs w:val="32"/>
          <w:highlight w:val="none"/>
          <w:u w:val="none"/>
          <w:lang w:val="en-US" w:eastAsia="zh-CN"/>
        </w:rPr>
        <w:t>各盟行政公署、市人民政府要</w:t>
      </w:r>
      <w:r>
        <w:rPr>
          <w:rFonts w:hint="eastAsia" w:ascii="仿宋" w:hAnsi="仿宋" w:eastAsia="仿宋" w:cs="仿宋"/>
          <w:b w:val="0"/>
          <w:bCs/>
          <w:i w:val="0"/>
          <w:sz w:val="32"/>
          <w:szCs w:val="32"/>
          <w:highlight w:val="none"/>
          <w:u w:val="none"/>
          <w:lang w:val="en-US" w:eastAsia="zh-CN"/>
        </w:rPr>
        <w:t>进一步规范幼儿园各项收费管理，按规定公布政策落实情况，并接受社会监督。教育部门要进一步加强学前教育学籍管理，认真审核在园儿童人数等基础数据，确保真实准确；要进一步深化与民政、残联等相关部门的数据共享比对，齐抓共管形成工作合力，兜牢民生底线；要强化培训指导，提高幼儿园园长和工作人员的业务能力，不断提升资助管理服务水平；要落实监管责任，规范办园行为，切实守护在园儿童身心健康。</w:t>
      </w:r>
    </w:p>
    <w:p>
      <w:pPr>
        <w:pStyle w:val="13"/>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楷体" w:hAnsi="楷体" w:eastAsia="楷体" w:cs="楷体"/>
          <w:b w:val="0"/>
          <w:bCs/>
          <w:sz w:val="32"/>
          <w:szCs w:val="32"/>
          <w:highlight w:val="none"/>
          <w:u w:val="none"/>
          <w:lang w:val="en-US" w:eastAsia="zh-CN"/>
        </w:rPr>
        <w:t>（四）加强政策宣传，形成良好氛围。</w:t>
      </w:r>
      <w:r>
        <w:rPr>
          <w:rFonts w:hint="eastAsia" w:ascii="仿宋" w:hAnsi="仿宋" w:eastAsia="仿宋" w:cs="仿宋"/>
          <w:b w:val="0"/>
          <w:bCs/>
          <w:i w:val="0"/>
          <w:sz w:val="32"/>
          <w:szCs w:val="32"/>
          <w:highlight w:val="none"/>
          <w:u w:val="none"/>
          <w:lang w:val="en-US" w:eastAsia="zh-CN"/>
        </w:rPr>
        <w:t>各地区、各有关部门要高度重视免费学前教育政策的宣传工作，让惠民政策家喻户晓、深入人心，确保逐步推行免费学前教育这项涉及千家万户、事关长远发展的重要政策平稳实施。</w:t>
      </w:r>
    </w:p>
    <w:bookmarkEnd w:id="0"/>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仿宋_GB2312" w:eastAsia="仿宋_GB2312"/>
          <w:b w:val="0"/>
          <w:bCs/>
          <w:sz w:val="28"/>
        </w:rPr>
      </w:pP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eastAsia="仿宋_GB2312"/>
          <w:b w:val="0"/>
          <w:bCs/>
          <w:sz w:val="28"/>
        </w:rPr>
      </w:pPr>
    </w:p>
    <w:p>
      <w:pPr>
        <w:pStyle w:val="1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b w:val="0"/>
          <w:bCs/>
          <w:sz w:val="28"/>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仿宋_GB2312" w:eastAsia="仿宋_GB2312"/>
          <w:b w:val="0"/>
          <w:bCs/>
          <w:sz w:val="28"/>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仿宋_GB2312" w:eastAsia="仿宋_GB2312"/>
          <w:b w:val="0"/>
          <w:bCs/>
          <w:sz w:val="28"/>
        </w:rPr>
      </w:pPr>
    </w:p>
    <w:p>
      <w:pPr>
        <w:pStyle w:val="2"/>
        <w:rPr>
          <w:rFonts w:hint="eastAsia" w:ascii="仿宋_GB2312" w:eastAsia="仿宋_GB2312"/>
          <w:b w:val="0"/>
          <w:bCs/>
          <w:sz w:val="28"/>
        </w:rPr>
      </w:pPr>
    </w:p>
    <w:p>
      <w:pPr>
        <w:rPr>
          <w:rFonts w:hint="eastAsia" w:ascii="仿宋_GB2312" w:eastAsia="仿宋_GB2312"/>
          <w:b w:val="0"/>
          <w:bCs/>
          <w:sz w:val="28"/>
        </w:rPr>
      </w:pPr>
    </w:p>
    <w:p>
      <w:pPr>
        <w:pStyle w:val="2"/>
        <w:rPr>
          <w:rFonts w:hint="eastAsia" w:ascii="仿宋_GB2312" w:eastAsia="仿宋_GB2312"/>
          <w:b w:val="0"/>
          <w:bCs/>
          <w:sz w:val="28"/>
        </w:rPr>
      </w:pPr>
    </w:p>
    <w:p>
      <w:pPr>
        <w:rPr>
          <w:rFonts w:hint="eastAsia" w:ascii="仿宋_GB2312" w:eastAsia="仿宋_GB2312"/>
          <w:b w:val="0"/>
          <w:bCs/>
          <w:sz w:val="28"/>
        </w:rPr>
      </w:pPr>
    </w:p>
    <w:p>
      <w:pPr>
        <w:pStyle w:val="2"/>
        <w:rPr>
          <w:rFonts w:hint="eastAsia" w:ascii="仿宋_GB2312" w:eastAsia="仿宋_GB2312"/>
          <w:b w:val="0"/>
          <w:bCs/>
          <w:sz w:val="28"/>
        </w:rPr>
      </w:pPr>
    </w:p>
    <w:p>
      <w:pPr>
        <w:rPr>
          <w:rFonts w:hint="eastAsia" w:ascii="仿宋_GB2312" w:eastAsia="仿宋_GB2312"/>
          <w:b w:val="0"/>
          <w:bCs/>
          <w:sz w:val="28"/>
        </w:rPr>
      </w:pPr>
    </w:p>
    <w:p>
      <w:pPr>
        <w:pStyle w:val="2"/>
        <w:rPr>
          <w:rFonts w:hint="eastAsia" w:ascii="仿宋_GB2312" w:eastAsia="仿宋_GB2312"/>
          <w:b w:val="0"/>
          <w:bCs/>
          <w:sz w:val="28"/>
        </w:rPr>
      </w:pPr>
    </w:p>
    <w:p>
      <w:pPr>
        <w:rPr>
          <w:rFonts w:hint="eastAsia" w:ascii="仿宋_GB2312" w:eastAsia="仿宋_GB2312"/>
          <w:b w:val="0"/>
          <w:bCs/>
          <w:sz w:val="28"/>
        </w:rPr>
      </w:pPr>
    </w:p>
    <w:p>
      <w:pPr>
        <w:pStyle w:val="2"/>
        <w:rPr>
          <w:rFonts w:hint="eastAsia" w:ascii="仿宋_GB2312" w:eastAsia="仿宋_GB2312"/>
          <w:b w:val="0"/>
          <w:bCs/>
          <w:sz w:val="28"/>
        </w:rPr>
      </w:pPr>
    </w:p>
    <w:p>
      <w:pPr>
        <w:rPr>
          <w:rFonts w:hint="eastAsia" w:ascii="仿宋_GB2312" w:eastAsia="仿宋_GB2312"/>
          <w:b w:val="0"/>
          <w:bCs/>
          <w:sz w:val="28"/>
        </w:rPr>
      </w:pPr>
    </w:p>
    <w:p>
      <w:pPr>
        <w:pStyle w:val="2"/>
        <w:rPr>
          <w:rFonts w:hint="eastAsia" w:ascii="仿宋_GB2312" w:eastAsia="仿宋_GB2312"/>
          <w:b w:val="0"/>
          <w:bCs/>
          <w:sz w:val="28"/>
        </w:rPr>
      </w:pPr>
    </w:p>
    <w:p>
      <w:pPr>
        <w:rPr>
          <w:rFonts w:hint="eastAsia"/>
        </w:rPr>
      </w:pPr>
    </w:p>
    <w:tbl>
      <w:tblPr>
        <w:tblStyle w:val="14"/>
        <w:tblW w:w="884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_GB2312" w:eastAsia="仿宋_GB2312"/>
                <w:sz w:val="28"/>
              </w:rPr>
            </w:pPr>
            <w:r>
              <w:rPr>
                <w:rFonts w:hint="eastAsia" w:ascii="仿宋_GB2312" w:eastAsia="仿宋_GB2312"/>
                <w:sz w:val="28"/>
              </w:rPr>
              <w:t>自治区人大常委会办公厅，自治区政协办公厅，自治区监委，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_GB2312" w:eastAsia="仿宋_GB2312"/>
                <w:sz w:val="28"/>
              </w:rPr>
            </w:pPr>
            <w:r>
              <w:rPr>
                <w:rFonts w:hint="eastAsia" w:ascii="仿宋_GB2312" w:eastAsia="仿宋_GB2312"/>
                <w:sz w:val="28"/>
              </w:rPr>
              <w:t>自治区高级人民法院，自治区人民检察院。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各民主党派区委会，各人民团体，新闻单位。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5</w:t>
            </w:r>
            <w:r>
              <w:rPr>
                <w:rFonts w:hint="eastAsia" w:ascii="仿宋_GB2312" w:eastAsia="仿宋_GB2312"/>
                <w:sz w:val="28"/>
              </w:rPr>
              <w:t>日印发</w:t>
            </w:r>
          </w:p>
        </w:tc>
      </w:tr>
    </w:tbl>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 w:lineRule="exact"/>
        <w:ind w:right="0" w:rightChars="0"/>
        <w:jc w:val="both"/>
        <w:textAlignment w:val="auto"/>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3" descr="20250905162814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905162814_5335"/>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3" descr="20250905162814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905162814_5335"/>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v:textbox>
              </v:shape>
            </w:pict>
          </mc:Fallback>
        </mc:AlternateContent>
      </w:r>
    </w:p>
    <w:p>
      <w:pPr>
        <w:spacing w:line="20" w:lineRule="exact"/>
        <w:rPr>
          <w:rFonts w:hint="eastAsia"/>
        </w:rPr>
      </w:pPr>
    </w:p>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1E34F0D"/>
    <w:rsid w:val="023B43DC"/>
    <w:rsid w:val="074D26E8"/>
    <w:rsid w:val="0ACD69C7"/>
    <w:rsid w:val="0B961F52"/>
    <w:rsid w:val="10AA3895"/>
    <w:rsid w:val="110F26B1"/>
    <w:rsid w:val="13404ED0"/>
    <w:rsid w:val="1A7D41CF"/>
    <w:rsid w:val="1FD3237E"/>
    <w:rsid w:val="21CE0EBF"/>
    <w:rsid w:val="24485B15"/>
    <w:rsid w:val="2C4B5C9A"/>
    <w:rsid w:val="2DFD49A1"/>
    <w:rsid w:val="4224574B"/>
    <w:rsid w:val="456E4695"/>
    <w:rsid w:val="46A3354C"/>
    <w:rsid w:val="46DB2BB3"/>
    <w:rsid w:val="48D7BAE1"/>
    <w:rsid w:val="4A456A7E"/>
    <w:rsid w:val="4BB12688"/>
    <w:rsid w:val="51650C56"/>
    <w:rsid w:val="5331674D"/>
    <w:rsid w:val="561C0E7D"/>
    <w:rsid w:val="57917FB7"/>
    <w:rsid w:val="5B773940"/>
    <w:rsid w:val="5BAE3879"/>
    <w:rsid w:val="619D5C96"/>
    <w:rsid w:val="64B86B45"/>
    <w:rsid w:val="662933E5"/>
    <w:rsid w:val="68A19BC5"/>
    <w:rsid w:val="6F2C465B"/>
    <w:rsid w:val="6FAEC4BC"/>
    <w:rsid w:val="70612CAF"/>
    <w:rsid w:val="719F311C"/>
    <w:rsid w:val="7BAB0F88"/>
    <w:rsid w:val="7C7E6814"/>
    <w:rsid w:val="7D164783"/>
    <w:rsid w:val="7DFE5B84"/>
    <w:rsid w:val="7E960D71"/>
    <w:rsid w:val="7EBFD438"/>
    <w:rsid w:val="7EDF4B4E"/>
    <w:rsid w:val="7FF5D082"/>
    <w:rsid w:val="7FFBD852"/>
    <w:rsid w:val="8FBDCC3C"/>
    <w:rsid w:val="B27F4EAE"/>
    <w:rsid w:val="B57F2701"/>
    <w:rsid w:val="BDFBD71F"/>
    <w:rsid w:val="D5FD1179"/>
    <w:rsid w:val="DB9FF127"/>
    <w:rsid w:val="DFF934C6"/>
    <w:rsid w:val="EDE9B096"/>
    <w:rsid w:val="EF6FD683"/>
    <w:rsid w:val="F3EDF001"/>
    <w:rsid w:val="F6DF48CA"/>
    <w:rsid w:val="FBFF3313"/>
    <w:rsid w:val="FEFF7E6C"/>
    <w:rsid w:val="FFDF0B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rPr>
  </w:style>
  <w:style w:type="paragraph" w:styleId="3">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Normal Indent"/>
    <w:basedOn w:val="1"/>
    <w:next w:val="1"/>
    <w:qFormat/>
    <w:uiPriority w:val="0"/>
    <w:pPr>
      <w:ind w:firstLine="420" w:firstLineChars="200"/>
    </w:pPr>
    <w:rPr>
      <w:rFonts w:ascii="Times New Roman" w:hAnsi="Times New Roman" w:eastAsia="宋体" w:cs="Times New Roman"/>
      <w:szCs w:val="24"/>
      <w:lang w:bidi="ar-SA"/>
    </w:rPr>
  </w:style>
  <w:style w:type="paragraph" w:styleId="5">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6">
    <w:name w:val="Document Map"/>
    <w:basedOn w:val="1"/>
    <w:semiHidden/>
    <w:uiPriority w:val="0"/>
    <w:pPr>
      <w:shd w:val="clear" w:color="auto" w:fill="000080"/>
    </w:pPr>
  </w:style>
  <w:style w:type="paragraph" w:styleId="7">
    <w:name w:val="Date"/>
    <w:basedOn w:val="1"/>
    <w:next w:val="1"/>
    <w:link w:val="20"/>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21"/>
    <w:uiPriority w:val="0"/>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3"/>
    <w:uiPriority w:val="0"/>
  </w:style>
  <w:style w:type="paragraph" w:styleId="12">
    <w:name w:val="index 9"/>
    <w:basedOn w:val="1"/>
    <w:next w:val="1"/>
    <w:qFormat/>
    <w:uiPriority w:val="0"/>
    <w:pPr>
      <w:suppressAutoHyphens/>
      <w:bidi w:val="0"/>
      <w:ind w:left="3360"/>
    </w:pPr>
    <w:rPr>
      <w:rFonts w:ascii="Calibri" w:hAnsi="Calibri" w:eastAsia="宋体" w:cs="Times New Roman"/>
      <w:color w:val="auto"/>
      <w:szCs w:val="24"/>
      <w:lang w:bidi="ar-SA"/>
    </w:rPr>
  </w:style>
  <w:style w:type="paragraph" w:styleId="13">
    <w:name w:val="Normal (Web)"/>
    <w:basedOn w:val="1"/>
    <w:qFormat/>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paragraph" w:customStyle="1" w:styleId="18">
    <w:name w:val="Heading"/>
    <w:basedOn w:val="1"/>
    <w:next w:val="3"/>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9">
    <w:name w:val="Index"/>
    <w:basedOn w:val="1"/>
    <w:uiPriority w:val="0"/>
    <w:pPr>
      <w:widowControl w:val="0"/>
      <w:suppressLineNumbers/>
      <w:suppressAutoHyphens/>
      <w:bidi w:val="0"/>
    </w:pPr>
    <w:rPr>
      <w:rFonts w:ascii="Calibri" w:hAnsi="Calibri" w:eastAsia="宋体" w:cs="Times New Roman"/>
      <w:color w:val="auto"/>
      <w:szCs w:val="24"/>
      <w:lang w:bidi="ar-SA"/>
    </w:rPr>
  </w:style>
  <w:style w:type="character" w:customStyle="1" w:styleId="20">
    <w:name w:val=" Char Char2"/>
    <w:basedOn w:val="16"/>
    <w:link w:val="7"/>
    <w:uiPriority w:val="0"/>
    <w:rPr>
      <w:rFonts w:ascii="仿宋_GB2312" w:hAnsi="Times New Roman" w:eastAsia="仿宋_GB2312" w:cs="Times New Roman"/>
      <w:kern w:val="2"/>
      <w:sz w:val="32"/>
      <w:szCs w:val="24"/>
      <w:lang w:bidi="ar-SA"/>
    </w:rPr>
  </w:style>
  <w:style w:type="character" w:customStyle="1" w:styleId="21">
    <w:name w:val=" Char Char"/>
    <w:basedOn w:val="16"/>
    <w:link w:val="9"/>
    <w:semiHidden/>
    <w:uiPriority w:val="99"/>
    <w:rPr>
      <w:rFonts w:ascii="Calibri" w:hAnsi="Calibri" w:eastAsia="宋体" w:cs="Mongolian Baiti"/>
      <w:kern w:val="2"/>
      <w:sz w:val="18"/>
      <w:szCs w:val="22"/>
    </w:rPr>
  </w:style>
  <w:style w:type="character" w:customStyle="1" w:styleId="22">
    <w:name w:val=" Char Char1"/>
    <w:basedOn w:val="16"/>
    <w:link w:val="10"/>
    <w:semiHidden/>
    <w:uiPriority w:val="99"/>
    <w:rPr>
      <w:rFonts w:ascii="Calibri" w:hAnsi="Calibri" w:eastAsia="宋体" w:cs="Mongolian Baiti"/>
      <w:kern w:val="2"/>
      <w:sz w:val="18"/>
      <w:szCs w:val="22"/>
    </w:rPr>
  </w:style>
  <w:style w:type="character" w:customStyle="1" w:styleId="23">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2025-09-09T03:07:20Z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