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val="0"/>
        <w:kinsoku/>
        <w:wordWrap/>
        <w:overflowPunct/>
        <w:topLinePunct w:val="0"/>
        <w:autoSpaceDE/>
        <w:autoSpaceDN/>
        <w:bidi w:val="0"/>
        <w:spacing w:line="580" w:lineRule="exact"/>
        <w:textAlignment w:val="auto"/>
        <w:rPr>
          <w:rFonts w:hint="eastAsia"/>
        </w:rPr>
      </w:pPr>
    </w:p>
    <w:p>
      <w:pPr>
        <w:keepNext w:val="0"/>
        <w:keepLines w:val="0"/>
        <w:pageBreakBefore w:val="0"/>
        <w:widowControl w:val="0"/>
        <w:kinsoku/>
        <w:wordWrap/>
        <w:overflowPunct/>
        <w:topLinePunct/>
        <w:autoSpaceDE/>
        <w:autoSpaceDN/>
        <w:bidi w:val="0"/>
        <w:adjustRightInd/>
        <w:snapToGrid/>
        <w:spacing w:line="320" w:lineRule="exact"/>
        <w:ind w:firstLine="640" w:firstLineChars="200"/>
        <w:textAlignment w:val="auto"/>
        <w:rPr>
          <w:rFonts w:hint="eastAsia" w:ascii="仿宋" w:hAnsi="仿宋" w:eastAsia="仿宋" w:cs="仿宋"/>
          <w:sz w:val="32"/>
          <w:szCs w:val="32"/>
        </w:rPr>
      </w:pPr>
    </w:p>
    <w:p>
      <w:pPr>
        <w:keepNext w:val="0"/>
        <w:keepLines w:val="0"/>
        <w:pageBreakBefore w:val="0"/>
        <w:widowControl w:val="0"/>
        <w:kinsoku/>
        <w:wordWrap/>
        <w:overflowPunct/>
        <w:topLinePunct/>
        <w:autoSpaceDE/>
        <w:autoSpaceDN/>
        <w:bidi w:val="0"/>
        <w:adjustRightInd/>
        <w:snapToGrid/>
        <w:spacing w:line="320" w:lineRule="exact"/>
        <w:ind w:firstLine="640" w:firstLineChars="200"/>
        <w:textAlignment w:val="auto"/>
        <w:rPr>
          <w:rFonts w:hint="eastAsia" w:ascii="仿宋" w:hAnsi="仿宋" w:eastAsia="仿宋" w:cs="仿宋"/>
          <w:sz w:val="32"/>
          <w:szCs w:val="32"/>
        </w:rPr>
      </w:pPr>
    </w:p>
    <w:p>
      <w:pPr>
        <w:keepNext w:val="0"/>
        <w:keepLines w:val="0"/>
        <w:pageBreakBefore w:val="0"/>
        <w:widowControl w:val="0"/>
        <w:kinsoku/>
        <w:wordWrap/>
        <w:overflowPunct/>
        <w:topLinePunct/>
        <w:autoSpaceDE/>
        <w:autoSpaceDN/>
        <w:bidi w:val="0"/>
        <w:adjustRightInd/>
        <w:snapToGrid/>
        <w:spacing w:line="460" w:lineRule="exact"/>
        <w:jc w:val="center"/>
        <w:textAlignment w:val="auto"/>
        <w:rPr>
          <w:rFonts w:hint="eastAsia" w:ascii="方正小标宋_GBK" w:hAnsi="方正小标宋_GBK" w:eastAsia="方正小标宋_GBK" w:cs="方正小标宋_GBK"/>
          <w:sz w:val="44"/>
          <w:szCs w:val="44"/>
          <w:lang w:eastAsia="zh-CN"/>
        </w:rPr>
      </w:pPr>
      <w:bookmarkStart w:id="0" w:name="标题"/>
      <w:bookmarkEnd w:id="0"/>
      <w:r>
        <w:rPr>
          <w:rFonts w:hint="eastAsia" w:ascii="方正小标宋_GBK" w:hAnsi="方正小标宋_GBK" w:eastAsia="方正小标宋_GBK" w:cs="方正小标宋_GBK"/>
          <w:sz w:val="44"/>
          <w:szCs w:val="44"/>
          <w:lang w:eastAsia="zh-CN"/>
        </w:rPr>
        <w:t>内蒙古自治区人民政府办公厅关于印发</w:t>
      </w:r>
    </w:p>
    <w:p>
      <w:pPr>
        <w:keepNext w:val="0"/>
        <w:keepLines w:val="0"/>
        <w:pageBreakBefore w:val="0"/>
        <w:widowControl w:val="0"/>
        <w:kinsoku/>
        <w:wordWrap/>
        <w:overflowPunct/>
        <w:topLinePunct/>
        <w:autoSpaceDE/>
        <w:autoSpaceDN/>
        <w:bidi w:val="0"/>
        <w:adjustRightInd/>
        <w:snapToGrid/>
        <w:spacing w:line="460"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自治区大面积停电事件应急预案</w:t>
      </w:r>
    </w:p>
    <w:p>
      <w:pPr>
        <w:keepNext w:val="0"/>
        <w:keepLines w:val="0"/>
        <w:pageBreakBefore w:val="0"/>
        <w:widowControl w:val="0"/>
        <w:kinsoku/>
        <w:wordWrap/>
        <w:overflowPunct/>
        <w:topLinePunct/>
        <w:autoSpaceDE/>
        <w:autoSpaceDN/>
        <w:bidi w:val="0"/>
        <w:adjustRightInd/>
        <w:snapToGrid/>
        <w:spacing w:line="460"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w:t>
      </w:r>
      <w:r>
        <w:rPr>
          <w:rFonts w:hint="eastAsia" w:ascii="方正小标宋_GBK" w:hAnsi="方正小标宋_GBK" w:eastAsia="方正小标宋_GBK" w:cs="方正小标宋_GBK"/>
          <w:sz w:val="44"/>
          <w:szCs w:val="44"/>
          <w:lang w:val="en-US" w:eastAsia="zh-CN"/>
        </w:rPr>
        <w:t>2025年版</w:t>
      </w:r>
      <w:r>
        <w:rPr>
          <w:rFonts w:hint="eastAsia" w:ascii="方正小标宋_GBK" w:hAnsi="方正小标宋_GBK" w:eastAsia="方正小标宋_GBK" w:cs="方正小标宋_GBK"/>
          <w:sz w:val="44"/>
          <w:szCs w:val="44"/>
          <w:lang w:eastAsia="zh-CN"/>
        </w:rPr>
        <w:t>）的通知</w:t>
      </w: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仿宋_GB2312" w:hAnsi="华文仿宋" w:eastAsia="仿宋_GB2312"/>
          <w:sz w:val="32"/>
        </w:rPr>
      </w:pPr>
      <w:r>
        <w:rPr>
          <w:rFonts w:hint="eastAsia" w:ascii="仿宋_GB2312" w:hAnsi="华文仿宋" w:eastAsia="仿宋_GB2312"/>
          <w:sz w:val="32"/>
          <w:lang w:eastAsia="zh-CN"/>
        </w:rPr>
        <w:t>内政办发〔2025〕32号</w:t>
      </w:r>
    </w:p>
    <w:p>
      <w:pPr>
        <w:pStyle w:val="2"/>
        <w:rPr>
          <w:rFonts w:hint="eastAsia"/>
          <w:lang w:eastAsia="zh-CN"/>
        </w:rPr>
      </w:pPr>
    </w:p>
    <w:p>
      <w:pPr>
        <w:keepNext w:val="0"/>
        <w:keepLines w:val="0"/>
        <w:pageBreakBefore w:val="0"/>
        <w:widowControl w:val="0"/>
        <w:kinsoku/>
        <w:wordWrap/>
        <w:overflowPunct/>
        <w:topLinePunct/>
        <w:autoSpaceDE/>
        <w:autoSpaceDN/>
        <w:bidi w:val="0"/>
        <w:adjustRightInd/>
        <w:snapToGrid/>
        <w:spacing w:line="300" w:lineRule="exact"/>
        <w:ind w:firstLine="640" w:firstLineChars="200"/>
        <w:textAlignment w:val="auto"/>
        <w:rPr>
          <w:rFonts w:hint="eastAsia" w:ascii="仿宋" w:hAnsi="仿宋" w:eastAsia="仿宋" w:cs="仿宋"/>
          <w:sz w:val="32"/>
          <w:szCs w:val="32"/>
        </w:rPr>
      </w:pPr>
      <w:bookmarkStart w:id="1" w:name="OLE_LINK1"/>
    </w:p>
    <w:p>
      <w:pPr>
        <w:keepNext w:val="0"/>
        <w:keepLines w:val="0"/>
        <w:pageBreakBefore w:val="0"/>
        <w:widowControl w:val="0"/>
        <w:kinsoku/>
        <w:wordWrap/>
        <w:overflowPunct/>
        <w:topLinePunct/>
        <w:autoSpaceDE/>
        <w:autoSpaceDN/>
        <w:bidi w:val="0"/>
        <w:adjustRightInd/>
        <w:snapToGrid/>
        <w:spacing w:line="340" w:lineRule="exact"/>
        <w:textAlignment w:val="auto"/>
        <w:rPr>
          <w:rFonts w:hint="eastAsia" w:ascii="仿宋" w:hAnsi="仿宋" w:eastAsia="仿宋" w:cs="仿宋"/>
          <w:sz w:val="32"/>
          <w:szCs w:val="32"/>
        </w:rPr>
      </w:pPr>
      <w:r>
        <w:rPr>
          <w:rFonts w:hint="eastAsia" w:ascii="仿宋" w:hAnsi="仿宋" w:eastAsia="仿宋" w:cs="仿宋"/>
          <w:sz w:val="32"/>
          <w:szCs w:val="32"/>
          <w:lang w:eastAsia="zh-CN"/>
        </w:rPr>
        <w:t>各盟行政公署、市人民政府，自治区各委、办、厅、局，各大企业、事业单位</w:t>
      </w:r>
      <w:r>
        <w:rPr>
          <w:rFonts w:hint="eastAsia" w:ascii="仿宋" w:hAnsi="仿宋" w:eastAsia="仿宋" w:cs="仿宋"/>
          <w:sz w:val="32"/>
          <w:szCs w:val="32"/>
        </w:rPr>
        <w:t>：</w:t>
      </w:r>
    </w:p>
    <w:p>
      <w:pPr>
        <w:keepNext w:val="0"/>
        <w:keepLines w:val="0"/>
        <w:pageBreakBefore w:val="0"/>
        <w:widowControl w:val="0"/>
        <w:kinsoku/>
        <w:wordWrap/>
        <w:overflowPunct/>
        <w:topLinePunct/>
        <w:autoSpaceDE/>
        <w:autoSpaceDN/>
        <w:bidi w:val="0"/>
        <w:adjustRightInd/>
        <w:snapToGrid/>
        <w:spacing w:line="340" w:lineRule="exact"/>
        <w:ind w:firstLine="616" w:firstLineChars="200"/>
        <w:textAlignment w:val="auto"/>
        <w:rPr>
          <w:rFonts w:hint="eastAsia" w:ascii="仿宋" w:hAnsi="仿宋" w:eastAsia="仿宋" w:cs="仿宋"/>
          <w:spacing w:val="-6"/>
          <w:sz w:val="32"/>
          <w:szCs w:val="32"/>
          <w:lang w:val="en-US" w:eastAsia="zh-CN"/>
        </w:rPr>
      </w:pPr>
      <w:r>
        <w:rPr>
          <w:rFonts w:hint="eastAsia" w:ascii="仿宋" w:hAnsi="仿宋" w:eastAsia="仿宋" w:cs="仿宋"/>
          <w:spacing w:val="-6"/>
          <w:sz w:val="32"/>
          <w:szCs w:val="32"/>
          <w:lang w:val="en-US" w:eastAsia="zh-CN"/>
        </w:rPr>
        <w:t>经自治区人民政府同意，现将《内蒙古自治区大面积停电事件应急预案》（2025年</w:t>
      </w:r>
      <w:bookmarkStart w:id="46" w:name="_GoBack"/>
      <w:bookmarkEnd w:id="46"/>
      <w:r>
        <w:rPr>
          <w:rFonts w:hint="eastAsia" w:ascii="仿宋" w:hAnsi="仿宋" w:eastAsia="仿宋" w:cs="仿宋"/>
          <w:spacing w:val="-6"/>
          <w:sz w:val="32"/>
          <w:szCs w:val="32"/>
          <w:lang w:val="en-US" w:eastAsia="zh-CN"/>
        </w:rPr>
        <w:t>版）印发给你们，请结合实际，认真贯彻落实。</w:t>
      </w:r>
    </w:p>
    <w:p>
      <w:pPr>
        <w:keepNext w:val="0"/>
        <w:keepLines w:val="0"/>
        <w:pageBreakBefore w:val="0"/>
        <w:widowControl w:val="0"/>
        <w:kinsoku/>
        <w:wordWrap/>
        <w:overflowPunct/>
        <w:topLinePunct/>
        <w:autoSpaceDE/>
        <w:autoSpaceDN/>
        <w:bidi w:val="0"/>
        <w:adjustRightInd/>
        <w:snapToGrid/>
        <w:spacing w:line="500" w:lineRule="exact"/>
        <w:ind w:firstLine="640" w:firstLineChars="200"/>
        <w:textAlignment w:val="auto"/>
        <w:rPr>
          <w:rFonts w:hint="eastAsia" w:ascii="仿宋" w:hAnsi="仿宋" w:eastAsia="仿宋" w:cs="仿宋"/>
          <w:sz w:val="32"/>
          <w:szCs w:val="32"/>
          <w:lang w:val="en-US" w:eastAsia="zh-CN"/>
        </w:rPr>
      </w:pPr>
    </w:p>
    <w:p>
      <w:pPr>
        <w:pStyle w:val="2"/>
        <w:keepNext w:val="0"/>
        <w:keepLines w:val="0"/>
        <w:pageBreakBefore w:val="0"/>
        <w:widowControl w:val="0"/>
        <w:kinsoku/>
        <w:wordWrap/>
        <w:overflowPunct/>
        <w:autoSpaceDE/>
        <w:autoSpaceDN/>
        <w:bidi w:val="0"/>
        <w:adjustRightInd/>
        <w:snapToGrid/>
        <w:spacing w:line="500" w:lineRule="exact"/>
        <w:textAlignment w:val="auto"/>
        <w:rPr>
          <w:rFonts w:hint="eastAsia"/>
          <w:lang w:val="en-US" w:eastAsia="zh-CN"/>
        </w:rPr>
      </w:pPr>
    </w:p>
    <w:p>
      <w:pPr>
        <w:keepNext w:val="0"/>
        <w:keepLines w:val="0"/>
        <w:pageBreakBefore w:val="0"/>
        <w:widowControl w:val="0"/>
        <w:kinsoku/>
        <w:wordWrap/>
        <w:overflowPunct/>
        <w:topLinePunct/>
        <w:autoSpaceDE/>
        <w:autoSpaceDN/>
        <w:bidi w:val="0"/>
        <w:adjustRightInd/>
        <w:snapToGrid/>
        <w:spacing w:line="500" w:lineRule="exact"/>
        <w:ind w:firstLine="640" w:firstLineChars="200"/>
        <w:textAlignment w:val="auto"/>
        <w:rPr>
          <w:rFonts w:hint="eastAsia" w:ascii="仿宋" w:hAnsi="仿宋" w:eastAsia="仿宋" w:cs="仿宋"/>
          <w:sz w:val="32"/>
          <w:szCs w:val="32"/>
          <w:lang w:val="en-US" w:eastAsia="zh-CN"/>
        </w:rPr>
      </w:pPr>
    </w:p>
    <w:p>
      <w:pPr>
        <w:pStyle w:val="2"/>
        <w:keepNext w:val="0"/>
        <w:keepLines w:val="0"/>
        <w:pageBreakBefore w:val="0"/>
        <w:widowControl w:val="0"/>
        <w:kinsoku/>
        <w:wordWrap/>
        <w:overflowPunct/>
        <w:autoSpaceDE/>
        <w:autoSpaceDN/>
        <w:bidi w:val="0"/>
        <w:adjustRightInd/>
        <w:snapToGrid/>
        <w:spacing w:line="500" w:lineRule="exact"/>
        <w:textAlignment w:val="auto"/>
        <w:rPr>
          <w:rFonts w:hint="eastAsia"/>
          <w:lang w:val="en-US" w:eastAsia="zh-CN"/>
        </w:rPr>
      </w:pPr>
    </w:p>
    <w:p>
      <w:pPr>
        <w:keepNext w:val="0"/>
        <w:keepLines w:val="0"/>
        <w:pageBreakBefore w:val="0"/>
        <w:widowControl w:val="0"/>
        <w:tabs>
          <w:tab w:val="left" w:pos="7560"/>
        </w:tabs>
        <w:kinsoku/>
        <w:wordWrap/>
        <w:overflowPunct/>
        <w:topLinePunct/>
        <w:autoSpaceDE/>
        <w:autoSpaceDN/>
        <w:bidi w:val="0"/>
        <w:adjustRightInd/>
        <w:snapToGrid/>
        <w:spacing w:line="500" w:lineRule="exact"/>
        <w:ind w:firstLine="5120" w:firstLineChars="16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2025年7月26日</w:t>
      </w:r>
    </w:p>
    <w:p>
      <w:pPr>
        <w:keepNext w:val="0"/>
        <w:keepLines w:val="0"/>
        <w:pageBreakBefore w:val="0"/>
        <w:widowControl w:val="0"/>
        <w:kinsoku/>
        <w:wordWrap/>
        <w:overflowPunct/>
        <w:topLinePunct/>
        <w:autoSpaceDE/>
        <w:autoSpaceDN/>
        <w:bidi w:val="0"/>
        <w:adjustRightInd/>
        <w:snapToGrid/>
        <w:spacing w:line="50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（此件公开发布）</w:t>
      </w:r>
    </w:p>
    <w:p>
      <w:pPr>
        <w:pStyle w:val="2"/>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pStyle w:val="2"/>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pStyle w:val="2"/>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pStyle w:val="2"/>
        <w:rPr>
          <w:rFonts w:hint="eastAsia"/>
          <w:lang w:val="en-US" w:eastAsia="zh-CN"/>
        </w:rPr>
      </w:pPr>
    </w:p>
    <w:p>
      <w:pPr>
        <w:keepNext w:val="0"/>
        <w:keepLines w:val="0"/>
        <w:pageBreakBefore w:val="0"/>
        <w:widowControl w:val="0"/>
        <w:kinsoku/>
        <w:wordWrap/>
        <w:overflowPunct/>
        <w:topLinePunct/>
        <w:autoSpaceDE/>
        <w:autoSpaceDN/>
        <w:bidi w:val="0"/>
        <w:adjustRightInd/>
        <w:snapToGrid/>
        <w:spacing w:line="58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autoSpaceDE/>
        <w:autoSpaceDN/>
        <w:bidi w:val="0"/>
        <w:adjustRightInd/>
        <w:snapToGrid/>
        <w:spacing w:line="580"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内蒙古自治区大面积停电事件应急预案</w:t>
      </w:r>
    </w:p>
    <w:p>
      <w:pPr>
        <w:keepNext w:val="0"/>
        <w:keepLines w:val="0"/>
        <w:pageBreakBefore w:val="0"/>
        <w:widowControl w:val="0"/>
        <w:kinsoku/>
        <w:wordWrap/>
        <w:overflowPunct/>
        <w:topLinePunct/>
        <w:autoSpaceDE/>
        <w:autoSpaceDN/>
        <w:bidi w:val="0"/>
        <w:adjustRightInd/>
        <w:snapToGrid/>
        <w:spacing w:line="58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autoSpaceDE/>
        <w:autoSpaceDN/>
        <w:bidi w:val="0"/>
        <w:adjustRightInd/>
        <w:snapToGrid/>
        <w:spacing w:line="580" w:lineRule="exact"/>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（2025年版）</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bookmarkStart w:id="2" w:name="_Toc4671"/>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1  总则</w:t>
      </w:r>
      <w:bookmarkEnd w:id="2"/>
    </w:p>
    <w:p>
      <w:pPr>
        <w:keepNext w:val="0"/>
        <w:keepLines w:val="0"/>
        <w:pageBreakBefore w:val="0"/>
        <w:widowControl w:val="0"/>
        <w:kinsoku/>
        <w:wordWrap/>
        <w:overflowPunct/>
        <w:topLinePunct/>
        <w:autoSpaceDE/>
        <w:autoSpaceDN/>
        <w:bidi w:val="0"/>
        <w:adjustRightInd/>
        <w:snapToGrid/>
        <w:spacing w:line="580" w:lineRule="exact"/>
        <w:ind w:firstLine="616" w:firstLineChars="200"/>
        <w:textAlignment w:val="auto"/>
        <w:rPr>
          <w:rFonts w:hint="eastAsia" w:ascii="仿宋" w:hAnsi="仿宋" w:eastAsia="仿宋" w:cs="仿宋"/>
          <w:sz w:val="32"/>
          <w:szCs w:val="32"/>
          <w:lang w:eastAsia="zh-CN"/>
        </w:rPr>
      </w:pPr>
      <w:r>
        <w:rPr>
          <w:rFonts w:hint="eastAsia" w:ascii="仿宋" w:hAnsi="仿宋" w:eastAsia="仿宋" w:cs="仿宋"/>
          <w:spacing w:val="-6"/>
          <w:sz w:val="32"/>
          <w:szCs w:val="32"/>
          <w:lang w:val="en-US" w:eastAsia="zh-CN"/>
        </w:rPr>
        <w:t>为建立健全大面积停电事件应对工作机制，提高应对效率，</w:t>
      </w:r>
      <w:r>
        <w:rPr>
          <w:rFonts w:hint="eastAsia" w:ascii="仿宋" w:hAnsi="仿宋" w:eastAsia="仿宋" w:cs="仿宋"/>
          <w:sz w:val="32"/>
          <w:szCs w:val="32"/>
          <w:lang w:val="en-US" w:eastAsia="zh-CN"/>
        </w:rPr>
        <w:t>最大程度减少人员伤亡和财产损失，维护国家安全、公共安全、生态环境安全和社会秩序，</w:t>
      </w:r>
      <w:r>
        <w:rPr>
          <w:rFonts w:hint="eastAsia" w:ascii="仿宋" w:hAnsi="仿宋" w:eastAsia="仿宋" w:cs="仿宋"/>
          <w:sz w:val="32"/>
          <w:szCs w:val="32"/>
          <w:lang w:eastAsia="zh-CN"/>
        </w:rPr>
        <w:t>制定本预案。</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sz w:val="32"/>
          <w:szCs w:val="32"/>
          <w:lang w:val="en-US" w:eastAsia="zh-CN"/>
        </w:rPr>
      </w:pPr>
      <w:bookmarkStart w:id="3" w:name="_Toc22108"/>
      <w:r>
        <w:rPr>
          <w:rFonts w:hint="eastAsia" w:ascii="楷体" w:hAnsi="楷体" w:eastAsia="楷体" w:cs="楷体"/>
          <w:sz w:val="32"/>
          <w:szCs w:val="32"/>
          <w:lang w:val="en-US" w:eastAsia="zh-CN"/>
        </w:rPr>
        <w:t>1.1  总体要求</w:t>
      </w:r>
      <w:bookmarkEnd w:id="3"/>
    </w:p>
    <w:p>
      <w:pPr>
        <w:keepNext w:val="0"/>
        <w:keepLines w:val="0"/>
        <w:pageBreakBefore w:val="0"/>
        <w:widowControl w:val="0"/>
        <w:kinsoku/>
        <w:wordWrap/>
        <w:overflowPunct/>
        <w:topLinePunct/>
        <w:autoSpaceDE/>
        <w:autoSpaceDN/>
        <w:bidi w:val="0"/>
        <w:adjustRightInd/>
        <w:snapToGrid/>
        <w:spacing w:line="580" w:lineRule="exact"/>
        <w:ind w:firstLine="664" w:firstLineChars="200"/>
        <w:textAlignment w:val="auto"/>
        <w:rPr>
          <w:rFonts w:hint="eastAsia" w:ascii="仿宋" w:hAnsi="仿宋" w:eastAsia="仿宋" w:cs="仿宋"/>
          <w:sz w:val="32"/>
          <w:szCs w:val="32"/>
          <w:lang w:val="en-US" w:eastAsia="zh-CN"/>
        </w:rPr>
      </w:pPr>
      <w:r>
        <w:rPr>
          <w:rFonts w:hint="eastAsia" w:ascii="仿宋" w:hAnsi="仿宋" w:eastAsia="仿宋" w:cs="仿宋"/>
          <w:spacing w:val="6"/>
          <w:sz w:val="32"/>
          <w:szCs w:val="32"/>
          <w:lang w:val="en-US" w:eastAsia="zh-CN"/>
        </w:rPr>
        <w:t>以习近平新时代中国特色社会主义思想为指导，深入贯彻</w:t>
      </w:r>
      <w:r>
        <w:rPr>
          <w:rFonts w:hint="eastAsia" w:ascii="仿宋" w:hAnsi="仿宋" w:eastAsia="仿宋" w:cs="仿宋"/>
          <w:sz w:val="32"/>
          <w:szCs w:val="32"/>
          <w:lang w:val="en-US" w:eastAsia="zh-CN"/>
        </w:rPr>
        <w:t>习近平总书记对内蒙古的重要指示精神，坚持以铸牢中华民族共同体意识为工作主线，统筹发展和安全，</w:t>
      </w:r>
      <w:r>
        <w:rPr>
          <w:rFonts w:hint="eastAsia" w:ascii="仿宋" w:hAnsi="仿宋" w:eastAsia="仿宋" w:cs="仿宋"/>
          <w:sz w:val="32"/>
          <w:szCs w:val="32"/>
        </w:rPr>
        <w:t>建立健全大面积停电事件应急处置机制，</w:t>
      </w:r>
      <w:r>
        <w:rPr>
          <w:rFonts w:hint="eastAsia" w:ascii="仿宋" w:hAnsi="仿宋" w:eastAsia="仿宋" w:cs="仿宋"/>
          <w:sz w:val="32"/>
          <w:szCs w:val="32"/>
          <w:lang w:val="en-US" w:eastAsia="zh-CN"/>
        </w:rPr>
        <w:t>完善大面积停电事件应急预案体系，夯实大面积停电事件应急管理基层基础，</w:t>
      </w:r>
      <w:r>
        <w:rPr>
          <w:rFonts w:hint="eastAsia" w:ascii="仿宋" w:hAnsi="仿宋" w:eastAsia="仿宋" w:cs="仿宋"/>
          <w:sz w:val="32"/>
          <w:szCs w:val="32"/>
        </w:rPr>
        <w:t>科学、有效、快速处置大面积停电事件，最大程度地预防和减少因大面积停电事件造成的影响和</w:t>
      </w:r>
      <w:r>
        <w:rPr>
          <w:rFonts w:hint="eastAsia" w:ascii="仿宋" w:hAnsi="仿宋" w:eastAsia="仿宋" w:cs="仿宋"/>
          <w:spacing w:val="6"/>
          <w:sz w:val="32"/>
          <w:szCs w:val="32"/>
        </w:rPr>
        <w:t>损失，切实维护国家安全、社会稳定和人民群众生命财产安全</w:t>
      </w:r>
      <w:r>
        <w:rPr>
          <w:rFonts w:hint="eastAsia" w:ascii="仿宋" w:hAnsi="仿宋" w:eastAsia="仿宋" w:cs="仿宋"/>
          <w:spacing w:val="6"/>
          <w:sz w:val="32"/>
          <w:szCs w:val="32"/>
          <w:lang w:val="en-US" w:eastAsia="zh-CN"/>
        </w:rPr>
        <w:t>，</w:t>
      </w:r>
      <w:r>
        <w:rPr>
          <w:rFonts w:hint="eastAsia" w:ascii="仿宋" w:hAnsi="仿宋" w:eastAsia="仿宋" w:cs="仿宋"/>
          <w:sz w:val="32"/>
          <w:szCs w:val="32"/>
          <w:lang w:val="en-US" w:eastAsia="zh-CN"/>
        </w:rPr>
        <w:t>为自治区经济社会高质量发展提供有力保障。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sz w:val="32"/>
          <w:szCs w:val="32"/>
          <w:lang w:val="en-US" w:eastAsia="zh-CN"/>
        </w:rPr>
      </w:pPr>
      <w:bookmarkStart w:id="4" w:name="_Toc17590"/>
      <w:r>
        <w:rPr>
          <w:rFonts w:hint="eastAsia" w:ascii="楷体" w:hAnsi="楷体" w:eastAsia="楷体" w:cs="楷体"/>
          <w:sz w:val="32"/>
          <w:szCs w:val="32"/>
          <w:lang w:val="en-US" w:eastAsia="zh-CN"/>
        </w:rPr>
        <w:t>1.2  适用范围</w:t>
      </w:r>
      <w:bookmarkEnd w:id="4"/>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本预案适用于自治区行政区域内发生的大面积停电事件时的应急处置工作。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sz w:val="32"/>
          <w:szCs w:val="32"/>
          <w:lang w:val="en-US" w:eastAsia="zh-CN"/>
        </w:rPr>
      </w:pPr>
      <w:bookmarkStart w:id="5" w:name="_Toc13187"/>
      <w:r>
        <w:rPr>
          <w:rFonts w:hint="eastAsia" w:ascii="楷体" w:hAnsi="楷体" w:eastAsia="楷体" w:cs="楷体"/>
          <w:sz w:val="32"/>
          <w:szCs w:val="32"/>
          <w:lang w:val="en-US" w:eastAsia="zh-CN"/>
        </w:rPr>
        <w:t>1.3  事件分级</w:t>
      </w:r>
      <w:bookmarkEnd w:id="5"/>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本预案所称大面积停电事件，是指由于自然灾害、电力安全生产事故和外力破坏等原因造成自治区级电网或城市电网大量减供负荷，对公共安全、社会稳定以及人民群众生产生活造成影</w:t>
      </w:r>
      <w:r>
        <w:rPr>
          <w:rFonts w:hint="eastAsia" w:ascii="仿宋" w:hAnsi="仿宋" w:eastAsia="仿宋" w:cs="仿宋"/>
          <w:spacing w:val="-6"/>
          <w:sz w:val="32"/>
          <w:szCs w:val="32"/>
          <w:lang w:val="en-US" w:eastAsia="zh-CN"/>
        </w:rPr>
        <w:t>响和威胁的停电事件。依据《中华人民共和国突发事件应对法》、《电力安全事故应急处置和调查处理条例》等，自治区大面积停电事件分为特别重大、重大、较大、一般四级（分级标准见附件1）。</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sz w:val="32"/>
          <w:szCs w:val="32"/>
          <w:lang w:val="en-US" w:eastAsia="zh-CN"/>
        </w:rPr>
      </w:pPr>
      <w:bookmarkStart w:id="6" w:name="_Toc15294"/>
      <w:r>
        <w:rPr>
          <w:rFonts w:hint="eastAsia" w:ascii="楷体" w:hAnsi="楷体" w:eastAsia="楷体" w:cs="楷体"/>
          <w:sz w:val="32"/>
          <w:szCs w:val="32"/>
          <w:lang w:val="en-US" w:eastAsia="zh-CN"/>
        </w:rPr>
        <w:t>1.4  事件分级应对</w:t>
      </w:r>
      <w:bookmarkEnd w:id="6"/>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自治区大面积停电事件应急处置工作遵循“统一领导、综合协调，属地为主、分工负责，保障民生、维护安全，全社会共同参与”的原则。发生特别重大、重大大面积停电事件，由自治区</w:t>
      </w:r>
      <w:r>
        <w:rPr>
          <w:rFonts w:hint="eastAsia" w:ascii="仿宋" w:hAnsi="仿宋" w:eastAsia="仿宋" w:cs="仿宋"/>
          <w:spacing w:val="-6"/>
          <w:sz w:val="32"/>
          <w:szCs w:val="32"/>
          <w:lang w:val="en-US" w:eastAsia="zh-CN"/>
        </w:rPr>
        <w:t>人民政府按程序向国务院报告，并按照国家要求组织应对工作，</w:t>
      </w:r>
      <w:r>
        <w:rPr>
          <w:rFonts w:hint="eastAsia" w:ascii="仿宋" w:hAnsi="仿宋" w:eastAsia="仿宋" w:cs="仿宋"/>
          <w:sz w:val="32"/>
          <w:szCs w:val="32"/>
          <w:lang w:val="en-US" w:eastAsia="zh-CN"/>
        </w:rPr>
        <w:t>必要时，在做好先期处置的同时，报请国务院及国家相关部委提供</w:t>
      </w:r>
      <w:r>
        <w:rPr>
          <w:rFonts w:hint="eastAsia" w:ascii="仿宋" w:hAnsi="仿宋" w:eastAsia="仿宋" w:cs="仿宋"/>
          <w:spacing w:val="6"/>
          <w:sz w:val="32"/>
          <w:szCs w:val="32"/>
          <w:lang w:val="en-US" w:eastAsia="zh-CN"/>
        </w:rPr>
        <w:t>支援或组织应对。发生较大、一般大面积停电事件，根据事件影响范围，由事发地盟行政公署、市人民政府，旗县（市、区）人民政府组织应对，涉及跨盟市、旗县（市、区）的，超出本级人民政府应对能力的，由有关地区共同的上一级人民政府组织应对。</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黑体" w:hAnsi="黑体" w:eastAsia="黑体" w:cs="黑体"/>
          <w:sz w:val="32"/>
          <w:szCs w:val="32"/>
          <w:lang w:val="en-US" w:eastAsia="zh-CN"/>
        </w:rPr>
      </w:pPr>
      <w:bookmarkStart w:id="7" w:name="_Toc24221"/>
      <w:r>
        <w:rPr>
          <w:rFonts w:hint="eastAsia" w:ascii="黑体" w:hAnsi="黑体" w:eastAsia="黑体" w:cs="黑体"/>
          <w:sz w:val="32"/>
          <w:szCs w:val="32"/>
          <w:lang w:val="en-US" w:eastAsia="zh-CN"/>
        </w:rPr>
        <w:t>2  组织体系</w:t>
      </w:r>
      <w:bookmarkEnd w:id="7"/>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sz w:val="32"/>
          <w:szCs w:val="32"/>
          <w:lang w:val="en-US" w:eastAsia="zh-CN"/>
        </w:rPr>
      </w:pPr>
      <w:bookmarkStart w:id="8" w:name="_Toc22269"/>
      <w:r>
        <w:rPr>
          <w:rFonts w:hint="eastAsia" w:ascii="楷体" w:hAnsi="楷体" w:eastAsia="楷体" w:cs="楷体"/>
          <w:sz w:val="32"/>
          <w:szCs w:val="32"/>
          <w:lang w:val="en-US" w:eastAsia="zh-CN"/>
        </w:rPr>
        <w:t>2.1  自治区组织指挥机构</w:t>
      </w:r>
      <w:bookmarkEnd w:id="8"/>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自治区能源局负责大面积停电事件应对的指导协调和组织管理工作。当发生特别重大、重大大面积停电事件时，由自治区人民政府负责指挥协调和应对工作，负责配合国家层面的应对工作；发生较大、一般大面积停电事件时，自治区能源局或事发地人民政府按程序报请自治区人民政府批准，或者根据自治区领导指示，成立自治区工作组，负责指导、协调、支持有关地方人民政府开展应对工作。必要时，由自治区人民政府授权自治区能源局成立自治区大面积停电事件应急指挥部（以下简称自治区指挥部，组成及工作职责见附件3），统一领导、组织和指挥大面积停电事件应对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sz w:val="32"/>
          <w:szCs w:val="32"/>
          <w:lang w:val="en-US" w:eastAsia="zh-CN"/>
        </w:rPr>
      </w:pPr>
      <w:bookmarkStart w:id="9" w:name="_Toc20439"/>
      <w:r>
        <w:rPr>
          <w:rFonts w:hint="eastAsia" w:ascii="楷体" w:hAnsi="楷体" w:eastAsia="楷体" w:cs="楷体"/>
          <w:sz w:val="32"/>
          <w:szCs w:val="32"/>
          <w:lang w:val="en-US" w:eastAsia="zh-CN"/>
        </w:rPr>
        <w:t>2.2  各盟市和旗县（市、区）组织指挥机构</w:t>
      </w:r>
      <w:bookmarkEnd w:id="9"/>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盟市、旗县（市、区）可参照自治区层面指挥体制，健全完善本地区大面积停电事件应急指挥机制，结合实际建立健全应急组织指挥机构，明确应急指挥的场所，负责指挥、协调处置本行政区域内大面积停电事件工作。应当建立健全跨区域应急合作和联动机制，明确跨区域大面积停电事件的组织协调单位，一旦发生跨区域大面积停电事件时立即启动应急联动机制。</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sz w:val="32"/>
          <w:szCs w:val="32"/>
          <w:lang w:val="en-US" w:eastAsia="zh-CN"/>
        </w:rPr>
      </w:pPr>
      <w:bookmarkStart w:id="10" w:name="_Toc28810"/>
      <w:r>
        <w:rPr>
          <w:rFonts w:hint="eastAsia" w:ascii="楷体" w:hAnsi="楷体" w:eastAsia="楷体" w:cs="楷体"/>
          <w:sz w:val="32"/>
          <w:szCs w:val="32"/>
          <w:lang w:val="en-US" w:eastAsia="zh-CN"/>
        </w:rPr>
        <w:t>2.3  现场指挥部</w:t>
      </w:r>
      <w:bookmarkEnd w:id="10"/>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发生大面积停电事件时，事发地旗县级以上人民政府根据需要成立现场指挥部，组织制定并实施现场应急救援方案，参与现场处置的相关部门单位和人员应当服从现场指挥部的统一指挥。</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sz w:val="32"/>
          <w:szCs w:val="32"/>
          <w:lang w:val="en-US" w:eastAsia="zh-CN"/>
        </w:rPr>
      </w:pPr>
      <w:bookmarkStart w:id="11" w:name="_Toc6431"/>
      <w:r>
        <w:rPr>
          <w:rFonts w:hint="eastAsia" w:ascii="楷体" w:hAnsi="楷体" w:eastAsia="楷体" w:cs="楷体"/>
          <w:sz w:val="32"/>
          <w:szCs w:val="32"/>
          <w:lang w:val="en-US" w:eastAsia="zh-CN"/>
        </w:rPr>
        <w:t>2.4  电力企业</w:t>
      </w:r>
      <w:bookmarkEnd w:id="11"/>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电力企业（包括电网企业、发电企业等，下同）应当建立健全应急组织指挥机构，制定停电应急预案，在旗县级以上人民政府组织指挥机构领导下开展大面积停电事件应对工作。电网调度工作按照《电网调度管理条例》及相关规程执行。</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sz w:val="32"/>
          <w:szCs w:val="32"/>
          <w:lang w:val="en-US" w:eastAsia="zh-CN"/>
        </w:rPr>
      </w:pPr>
      <w:bookmarkStart w:id="12" w:name="_Toc14850"/>
      <w:r>
        <w:rPr>
          <w:rFonts w:hint="eastAsia" w:ascii="楷体" w:hAnsi="楷体" w:eastAsia="楷体" w:cs="楷体"/>
          <w:sz w:val="32"/>
          <w:szCs w:val="32"/>
          <w:lang w:val="en-US" w:eastAsia="zh-CN"/>
        </w:rPr>
        <w:t>2.5  重要电力用户</w:t>
      </w:r>
      <w:bookmarkEnd w:id="12"/>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重要电力用户应当制定本单位停电事件应急预案，建立健全</w:t>
      </w:r>
      <w:r>
        <w:rPr>
          <w:rFonts w:hint="eastAsia" w:ascii="仿宋" w:hAnsi="仿宋" w:eastAsia="仿宋" w:cs="仿宋"/>
          <w:spacing w:val="-6"/>
          <w:sz w:val="32"/>
          <w:szCs w:val="32"/>
          <w:lang w:val="en-US" w:eastAsia="zh-CN"/>
        </w:rPr>
        <w:t>重大危险源电力安全保障和防护机制，完善停电事件预防措施，</w:t>
      </w:r>
      <w:r>
        <w:rPr>
          <w:rFonts w:hint="eastAsia" w:ascii="仿宋" w:hAnsi="仿宋" w:eastAsia="仿宋" w:cs="仿宋"/>
          <w:sz w:val="32"/>
          <w:szCs w:val="32"/>
          <w:lang w:val="en-US" w:eastAsia="zh-CN"/>
        </w:rPr>
        <w:t>配备应急电源，防范重大危险源因停电引发的次生灾害。</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sz w:val="32"/>
          <w:szCs w:val="32"/>
          <w:lang w:val="en-US" w:eastAsia="zh-CN"/>
        </w:rPr>
      </w:pPr>
      <w:bookmarkStart w:id="13" w:name="_Toc5984"/>
      <w:r>
        <w:rPr>
          <w:rFonts w:hint="eastAsia" w:ascii="楷体" w:hAnsi="楷体" w:eastAsia="楷体" w:cs="楷体"/>
          <w:sz w:val="32"/>
          <w:szCs w:val="32"/>
          <w:lang w:val="en-US" w:eastAsia="zh-CN"/>
        </w:rPr>
        <w:t>2.6  应急专家组</w:t>
      </w:r>
      <w:bookmarkEnd w:id="13"/>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旗县级以上人民政府组织指挥机构根据需要成立大面积停电事件应急专家组，成员由电力、消防、气象、地质、水文等领域相关专家组成，对大面积停电事件应对处置工作提供技术咨询和建议。</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黑体" w:hAnsi="黑体" w:eastAsia="黑体" w:cs="黑体"/>
          <w:sz w:val="32"/>
          <w:szCs w:val="32"/>
          <w:lang w:val="en-US" w:eastAsia="zh-CN"/>
        </w:rPr>
      </w:pPr>
      <w:bookmarkStart w:id="14" w:name="_Toc20324"/>
      <w:r>
        <w:rPr>
          <w:rFonts w:hint="eastAsia" w:ascii="黑体" w:hAnsi="黑体" w:eastAsia="黑体" w:cs="黑体"/>
          <w:sz w:val="32"/>
          <w:szCs w:val="32"/>
          <w:lang w:val="en-US" w:eastAsia="zh-CN"/>
        </w:rPr>
        <w:t>3  监测预警和信息报告</w:t>
      </w:r>
      <w:bookmarkEnd w:id="14"/>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sz w:val="32"/>
          <w:szCs w:val="32"/>
          <w:lang w:val="en-US" w:eastAsia="zh-CN"/>
        </w:rPr>
      </w:pPr>
      <w:bookmarkStart w:id="15" w:name="_Toc18033"/>
      <w:r>
        <w:rPr>
          <w:rFonts w:hint="eastAsia" w:ascii="楷体" w:hAnsi="楷体" w:eastAsia="楷体" w:cs="楷体"/>
          <w:sz w:val="32"/>
          <w:szCs w:val="32"/>
          <w:lang w:val="en-US" w:eastAsia="zh-CN"/>
        </w:rPr>
        <w:t>3.1</w:t>
      </w:r>
      <w:bookmarkEnd w:id="15"/>
      <w:bookmarkStart w:id="16" w:name="_Toc5551"/>
      <w:r>
        <w:rPr>
          <w:rFonts w:hint="eastAsia" w:ascii="楷体" w:hAnsi="楷体" w:eastAsia="楷体" w:cs="楷体"/>
          <w:sz w:val="32"/>
          <w:szCs w:val="32"/>
          <w:lang w:val="en-US" w:eastAsia="zh-CN"/>
        </w:rPr>
        <w:t xml:space="preserve">  风险</w:t>
      </w:r>
      <w:bookmarkEnd w:id="16"/>
      <w:r>
        <w:rPr>
          <w:rFonts w:hint="eastAsia" w:ascii="楷体" w:hAnsi="楷体" w:eastAsia="楷体" w:cs="楷体"/>
          <w:sz w:val="32"/>
          <w:szCs w:val="32"/>
          <w:lang w:val="en-US" w:eastAsia="zh-CN"/>
        </w:rPr>
        <w:t>监测</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旗县级以上人民政府电力运行主管部门监督指导电力企业加强大面积停电事件风险监测工作；组织开展大面积停电事件应急处置和善后工作情况监测评估，确保应对工作各环节有效衔接；协调工业和信息化、公安、自然资源、水利、应急管理、林草、地震、气象等部门单位，与电力企业建立健全大面积停电事件风险监测制度，实现信息共享。</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电力企业应当结合实际加强对重要电力设施设备运行、发电燃料供应等情况的监测，及时分析各类情况对电力运行可能造成的影响，预估可能影响的范围和程度。</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sz w:val="32"/>
          <w:szCs w:val="32"/>
          <w:lang w:val="en-US" w:eastAsia="zh-CN"/>
        </w:rPr>
      </w:pPr>
      <w:bookmarkStart w:id="17" w:name="_Toc5557"/>
      <w:r>
        <w:rPr>
          <w:rFonts w:hint="eastAsia" w:ascii="楷体" w:hAnsi="楷体" w:eastAsia="楷体" w:cs="楷体"/>
          <w:sz w:val="32"/>
          <w:szCs w:val="32"/>
          <w:lang w:val="en-US" w:eastAsia="zh-CN"/>
        </w:rPr>
        <w:t>3.2  预警</w:t>
      </w:r>
      <w:bookmarkEnd w:id="17"/>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3.2.1  预警信息发布</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按照突发事件发生的紧急程度、发展势态和可能造成的危害程度预警分为一级、二级、三级和四级，分别用红色、橙色、黄色、蓝色标示，一级为最高级别。</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电力企业研判可能发生大面积停电事件时，应当及时将有关情况报告受影响区域地方人民政府电力运行主管部门和国家能</w:t>
      </w:r>
      <w:r>
        <w:rPr>
          <w:rFonts w:hint="eastAsia" w:ascii="仿宋" w:hAnsi="仿宋" w:eastAsia="仿宋" w:cs="仿宋"/>
          <w:spacing w:val="6"/>
          <w:sz w:val="32"/>
          <w:szCs w:val="32"/>
          <w:lang w:val="en-US" w:eastAsia="zh-CN"/>
        </w:rPr>
        <w:t>源局相关派出机构，电力运行主管部门提出预警信息发布建议，</w:t>
      </w:r>
      <w:r>
        <w:rPr>
          <w:rFonts w:hint="eastAsia" w:ascii="仿宋" w:hAnsi="仿宋" w:eastAsia="仿宋" w:cs="仿宋"/>
          <w:sz w:val="32"/>
          <w:szCs w:val="32"/>
          <w:lang w:val="en-US" w:eastAsia="zh-CN"/>
        </w:rPr>
        <w:t>并视情况通知重要电力用户。事发地人民政府电力运行主管部门应当及时组织研判，必要时报请当地人民政府批准后向社会公众发布预警，并通报同级其他相关部门单位。当研判可能发生重大及以上大面积停电事件时，电力企业应当报告自治区能源局，内蒙古西部区域电力企业应当同时报告国家能源局华北监管局，内蒙古东部区域电力企业应当同时报告国家能源局东北监管局；自治区能源局报请自治区人民政府批准后向社会公众发布预警，同时将相关情况报告国家能源局，必要时通报当地驻军和可能受影响的相邻省级人民政府电力运行主管部门。</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3.2.2  预警行动</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预警信息发布后，电力企业应当加强设备设施巡查检修和运行监测，采取有效措施控制事态发展；组织相关应急救援队伍和人员进入待命状态，动员后备人员做好参加应急救援和处置工作准备，并做好大面积停电事件应急所需物资、装备和设备等应急</w:t>
      </w:r>
      <w:r>
        <w:rPr>
          <w:rFonts w:hint="eastAsia" w:ascii="仿宋" w:hAnsi="仿宋" w:eastAsia="仿宋" w:cs="仿宋"/>
          <w:spacing w:val="-6"/>
          <w:sz w:val="32"/>
          <w:szCs w:val="32"/>
          <w:lang w:val="en-US" w:eastAsia="zh-CN"/>
        </w:rPr>
        <w:t>保障准备工作。重要电力用户做好自备应急电源启用准备工作。</w:t>
      </w:r>
      <w:r>
        <w:rPr>
          <w:rFonts w:hint="eastAsia" w:ascii="仿宋" w:hAnsi="仿宋" w:eastAsia="仿宋" w:cs="仿宋"/>
          <w:sz w:val="32"/>
          <w:szCs w:val="32"/>
          <w:lang w:val="en-US" w:eastAsia="zh-CN"/>
        </w:rPr>
        <w:t>受影响区域人民政府启动应急联动机制，提前派出工作组，及时了解灾害风险，检查指导各项应急处置准备工作；督促电力企业做好应急准备工作，组织相关部门单位做好维持公共秩序、供水供气供热、商品供应、交通物流等方面的应急准备；做好舆论引导</w:t>
      </w:r>
      <w:r>
        <w:rPr>
          <w:rFonts w:hint="eastAsia" w:ascii="仿宋" w:hAnsi="仿宋" w:eastAsia="仿宋" w:cs="仿宋"/>
          <w:spacing w:val="6"/>
          <w:sz w:val="32"/>
          <w:szCs w:val="32"/>
          <w:lang w:val="en-US" w:eastAsia="zh-CN"/>
        </w:rPr>
        <w:t>工作，加强相关舆情监测，主动回应社会公众关注的热点问题，</w:t>
      </w:r>
      <w:r>
        <w:rPr>
          <w:rFonts w:hint="eastAsia" w:ascii="仿宋" w:hAnsi="仿宋" w:eastAsia="仿宋" w:cs="仿宋"/>
          <w:sz w:val="32"/>
          <w:szCs w:val="32"/>
          <w:lang w:val="en-US" w:eastAsia="zh-CN"/>
        </w:rPr>
        <w:t>及时澄清谣言传言。</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3.2.3  预警解除</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根据事态发展，经研判不会发生大面积停电事件、恢复供电后不会产生次生灾害时，按照“谁发布、谁解除”的原则，由发布单位宣布解除预警，终止相关应急措施。如预警期满或直接进入应急响应状态，预警自动解除。</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sz w:val="32"/>
          <w:szCs w:val="32"/>
          <w:lang w:val="en-US" w:eastAsia="zh-CN"/>
        </w:rPr>
      </w:pPr>
      <w:bookmarkStart w:id="18" w:name="_Toc27545"/>
      <w:r>
        <w:rPr>
          <w:rFonts w:hint="eastAsia" w:ascii="楷体" w:hAnsi="楷体" w:eastAsia="楷体" w:cs="楷体"/>
          <w:sz w:val="32"/>
          <w:szCs w:val="32"/>
          <w:lang w:val="en-US" w:eastAsia="zh-CN"/>
        </w:rPr>
        <w:t>3.3  信息报告</w:t>
      </w:r>
      <w:bookmarkEnd w:id="18"/>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大面积停电事件发生后，相关电力企业应当立即向受影响区域地方人民政府电力运行主管部门报告，内蒙古西部区域电力企业同时报告国家能源局华北监管局，内蒙古东部区域电力企业同时报告国家能源局东北监管局，构成电力安全事故的还应当立即向受影响区域的地方人民政府应急管理部门报告。</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事发地人民政府电力运行主管部门接到大面积停电事件信息报告或监测到相关信息后，应当立即进行核实，对大面积停电事件的性质、类别作出初判认定，按照国家规定的时限、程序和要求向上级电力运行主管部门和同级人民政府报告，并通报同级其他相关部门单位。旗县级以上地方人民政府及电力运行主管部门应当按照有关规定逐级上报，必要时可越级上报。自治区能源局接到大面积停电事件报告后，应当立即核实有关情况并向自治区人民政府报告，对初判为重大以上的大面积停电事件，自治区能源局应当立即报告自治区人民政府，由自治区人民政府按程序向国务院报告。</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黑体" w:hAnsi="黑体" w:eastAsia="黑体" w:cs="黑体"/>
          <w:sz w:val="32"/>
          <w:szCs w:val="32"/>
          <w:lang w:val="en-US" w:eastAsia="zh-CN"/>
        </w:rPr>
      </w:pPr>
      <w:bookmarkStart w:id="19" w:name="_Toc19067"/>
      <w:r>
        <w:rPr>
          <w:rFonts w:hint="eastAsia" w:ascii="黑体" w:hAnsi="黑体" w:eastAsia="黑体" w:cs="黑体"/>
          <w:sz w:val="32"/>
          <w:szCs w:val="32"/>
          <w:lang w:val="en-US" w:eastAsia="zh-CN"/>
        </w:rPr>
        <w:t>4  应急响应</w:t>
      </w:r>
      <w:bookmarkEnd w:id="19"/>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sz w:val="32"/>
          <w:szCs w:val="32"/>
          <w:lang w:val="en-US" w:eastAsia="zh-CN"/>
        </w:rPr>
      </w:pPr>
      <w:bookmarkStart w:id="20" w:name="_Toc9433"/>
      <w:r>
        <w:rPr>
          <w:rFonts w:hint="eastAsia" w:ascii="楷体" w:hAnsi="楷体" w:eastAsia="楷体" w:cs="楷体"/>
          <w:sz w:val="32"/>
          <w:szCs w:val="32"/>
          <w:lang w:val="en-US" w:eastAsia="zh-CN"/>
        </w:rPr>
        <w:t>4.1  响应分级</w:t>
      </w:r>
      <w:bookmarkEnd w:id="20"/>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根据大面积停电事件的严重程度、发展态势、影响范围和处</w:t>
      </w:r>
      <w:r>
        <w:rPr>
          <w:rFonts w:hint="eastAsia" w:ascii="仿宋" w:hAnsi="仿宋" w:eastAsia="仿宋" w:cs="仿宋"/>
          <w:spacing w:val="6"/>
          <w:sz w:val="32"/>
          <w:szCs w:val="32"/>
          <w:lang w:val="en-US" w:eastAsia="zh-CN"/>
        </w:rPr>
        <w:t>置难度，将应急响应设定为Ⅰ级、Ⅱ级、Ⅲ级和Ⅳ级4个等级。</w:t>
      </w:r>
      <w:r>
        <w:rPr>
          <w:rFonts w:hint="eastAsia" w:ascii="仿宋" w:hAnsi="仿宋" w:eastAsia="仿宋" w:cs="仿宋"/>
          <w:sz w:val="32"/>
          <w:szCs w:val="32"/>
          <w:lang w:val="en-US" w:eastAsia="zh-CN"/>
        </w:rPr>
        <w:t>初判发生特别重大、重大大面积停电事件，分别启动Ⅰ级、Ⅱ级应急响应，由自治区人民政府按程序向国务院报告，按照国家要求开展指挥应对工作。初判发生较大、一般大面积停电事件，分别启动Ⅲ级、Ⅳ级应急响应，根据事件影响范围，由事发地盟行政公署、市人民政府或旗县（市、区）人民政府负责指挥应对处置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对尚未达到一般大面积停电事件标准，但对社会产生较大影</w:t>
      </w:r>
      <w:r>
        <w:rPr>
          <w:rFonts w:hint="eastAsia" w:ascii="仿宋" w:hAnsi="仿宋" w:eastAsia="仿宋" w:cs="仿宋"/>
          <w:spacing w:val="6"/>
          <w:sz w:val="32"/>
          <w:szCs w:val="32"/>
          <w:lang w:val="en-US" w:eastAsia="zh-CN"/>
        </w:rPr>
        <w:t>响的其他停电事件，事发地人民政府可结合实际情况启动应急响应。</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应急响应启动后，可视事件造成的损失情况及发展趋势调整响应级别，避免响应不足或响应过度。</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sz w:val="32"/>
          <w:szCs w:val="32"/>
          <w:lang w:val="en-US" w:eastAsia="zh-CN"/>
        </w:rPr>
      </w:pPr>
      <w:bookmarkStart w:id="21" w:name="_Toc9888"/>
      <w:r>
        <w:rPr>
          <w:rFonts w:hint="eastAsia" w:ascii="楷体" w:hAnsi="楷体" w:eastAsia="楷体" w:cs="楷体"/>
          <w:sz w:val="32"/>
          <w:szCs w:val="32"/>
          <w:lang w:val="en-US" w:eastAsia="zh-CN"/>
        </w:rPr>
        <w:t>4.2  响应措施</w:t>
      </w:r>
      <w:bookmarkEnd w:id="21"/>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大面积停电事件发生后，相关电力企业和重要电力用户应当立即实施先期处置，全力控制事件发展态势，减少损失。各相关部门单位根据工作需要组织实施应对措施。</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4.2.1  电力企业应对措施</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电力调度机构合理安排运行方式，控制停电范围，调整并恢复正常电网运行方式。尽快恢复重要输变电设备、电力主干网架运行，电网解列后应当尽快恢复并列运行，在条件具备时，优先恢复重要电力用户、重要城市和重点地区的电力供应。恢复供电时应当充分发挥新型电力系统中新能源、储能等灵活性调节电源的作用，重点关注发供平衡，做好源网荷储协调联动，同时防止引发连锁故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电网企业迅速组织力量抢修受损电网设备设施，根据应急指</w:t>
      </w:r>
      <w:r>
        <w:rPr>
          <w:rFonts w:hint="eastAsia" w:ascii="仿宋" w:hAnsi="仿宋" w:eastAsia="仿宋" w:cs="仿宋"/>
          <w:spacing w:val="6"/>
          <w:sz w:val="32"/>
          <w:szCs w:val="32"/>
          <w:lang w:val="en-US" w:eastAsia="zh-CN"/>
        </w:rPr>
        <w:t>挥机构要求，向重要电力用户及重要设备设施提供必要的电力支援。</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发电企业保证设备设施安全，抢修受损设备设施，做好发电机组并网运行准备，按照电力调度指令恢复运行。</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4.2.2  重要电力用户应对措施</w:t>
      </w:r>
    </w:p>
    <w:p>
      <w:pPr>
        <w:keepNext w:val="0"/>
        <w:keepLines w:val="0"/>
        <w:pageBreakBefore w:val="0"/>
        <w:widowControl w:val="0"/>
        <w:kinsoku/>
        <w:wordWrap/>
        <w:overflowPunct/>
        <w:topLinePunct/>
        <w:autoSpaceDE/>
        <w:autoSpaceDN/>
        <w:bidi w:val="0"/>
        <w:adjustRightInd/>
        <w:snapToGrid/>
        <w:spacing w:line="580" w:lineRule="exact"/>
        <w:ind w:firstLine="664" w:firstLineChars="200"/>
        <w:textAlignment w:val="auto"/>
        <w:rPr>
          <w:rFonts w:hint="eastAsia" w:ascii="仿宋" w:hAnsi="仿宋" w:eastAsia="仿宋" w:cs="仿宋"/>
          <w:sz w:val="32"/>
          <w:szCs w:val="32"/>
          <w:lang w:val="en-US" w:eastAsia="zh-CN"/>
        </w:rPr>
      </w:pPr>
      <w:r>
        <w:rPr>
          <w:rFonts w:hint="eastAsia" w:ascii="仿宋" w:hAnsi="仿宋" w:eastAsia="仿宋" w:cs="仿宋"/>
          <w:spacing w:val="6"/>
          <w:sz w:val="32"/>
          <w:szCs w:val="32"/>
          <w:lang w:val="en-US" w:eastAsia="zh-CN"/>
        </w:rPr>
        <w:t>重要电力用户按照有关技术要求，迅速启动自备应急电源，</w:t>
      </w:r>
      <w:r>
        <w:rPr>
          <w:rFonts w:hint="eastAsia" w:ascii="仿宋" w:hAnsi="仿宋" w:eastAsia="仿宋" w:cs="仿宋"/>
          <w:sz w:val="32"/>
          <w:szCs w:val="32"/>
          <w:lang w:val="en-US" w:eastAsia="zh-CN"/>
        </w:rPr>
        <w:t>加强重大危险源、重要目标、重大关键基础设备设施隐患排查与监测预警，及时采取防范措施，防止发生次生衍生事故。</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4.2.3  居民基本生活保障应对措施</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启用应急供水措施，保障居民用水需求；采用多种方式，保障燃气供应和采暖期内居民生活热力供应；组织生活必需品的应急生产、调配和运输，保障停电期间居民基本生活。</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4.2.4  维护社会稳定应对措施</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加强涉及国家安全和公共安全的重点单位安全保卫工作，严</w:t>
      </w:r>
      <w:r>
        <w:rPr>
          <w:rFonts w:hint="eastAsia" w:ascii="仿宋" w:hAnsi="仿宋" w:eastAsia="仿宋" w:cs="仿宋"/>
          <w:spacing w:val="-6"/>
          <w:sz w:val="32"/>
          <w:szCs w:val="32"/>
          <w:lang w:val="en-US" w:eastAsia="zh-CN"/>
        </w:rPr>
        <w:t>密防范和严厉打击违法犯罪活动。加强对停电区域内繁华街区、</w:t>
      </w:r>
      <w:r>
        <w:rPr>
          <w:rFonts w:hint="eastAsia" w:ascii="仿宋" w:hAnsi="仿宋" w:eastAsia="仿宋" w:cs="仿宋"/>
          <w:sz w:val="32"/>
          <w:szCs w:val="32"/>
          <w:lang w:val="en-US" w:eastAsia="zh-CN"/>
        </w:rPr>
        <w:t>大型居民区、大型商场、学校、医院、金融机构、城市交通设备设施、机场、车站及其他重要生产经营场所等重点区域、重点部位、人员密集场所的治安巡逻，及时疏散人员，解救被困人员。加强交通疏导，维护道路交通秩序。</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4.2.5  公众舆情应对措施</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旗县级以上人民政府或组织指挥机构应当统一对社会公众及时准确、客观透明的发布舆情信息，加强舆论引导，提示和指导社会公众注意各类安全事项和基本生活保障措施事项。应当建立社会舆情信息反馈渠道，及时应对社会舆情，澄清不实信息。</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4.2.6  自治区指挥部成员单位应对措施</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自治区</w:t>
      </w:r>
      <w:r>
        <w:rPr>
          <w:rFonts w:hint="eastAsia" w:ascii="仿宋" w:hAnsi="仿宋" w:eastAsia="仿宋" w:cs="仿宋"/>
          <w:sz w:val="32"/>
          <w:szCs w:val="32"/>
        </w:rPr>
        <w:t>指挥部</w:t>
      </w:r>
      <w:r>
        <w:rPr>
          <w:rFonts w:hint="eastAsia" w:ascii="仿宋" w:hAnsi="仿宋" w:eastAsia="仿宋" w:cs="仿宋"/>
          <w:sz w:val="32"/>
          <w:szCs w:val="32"/>
          <w:lang w:val="en-US" w:eastAsia="zh-CN"/>
        </w:rPr>
        <w:t>成员单位根据大面积停电事件应急响应要求启动本部门单位相关应急预案，第一时间调动应急队伍、物资装备，按照各自工作职责做好电力抢修恢复、医疗紧急救助、道路交通疏导、舆情舆论引导、通信供水供气供热保障等工作，切实维护社会稳定。</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4.2.7  大面积停电事态分析评估措施</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旗县级以上人民政府或组织指挥机构在大面积停电事件应</w:t>
      </w:r>
      <w:r>
        <w:rPr>
          <w:rFonts w:hint="eastAsia" w:ascii="仿宋" w:hAnsi="仿宋" w:eastAsia="仿宋" w:cs="仿宋"/>
          <w:spacing w:val="-6"/>
          <w:sz w:val="32"/>
          <w:szCs w:val="32"/>
          <w:lang w:val="en-US" w:eastAsia="zh-CN"/>
        </w:rPr>
        <w:t>急处置过程中，应当根据事件影响范围、影响程度、发展趋势、</w:t>
      </w:r>
      <w:r>
        <w:rPr>
          <w:rFonts w:hint="eastAsia" w:ascii="仿宋" w:hAnsi="仿宋" w:eastAsia="仿宋" w:cs="仿宋"/>
          <w:sz w:val="32"/>
          <w:szCs w:val="32"/>
          <w:lang w:val="en-US" w:eastAsia="zh-CN"/>
        </w:rPr>
        <w:t>应急救援进展和社会舆情反馈等信息，做好大面积停电事态定时评估工作。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sz w:val="32"/>
          <w:szCs w:val="32"/>
          <w:lang w:val="en-US" w:eastAsia="zh-CN"/>
        </w:rPr>
      </w:pPr>
      <w:bookmarkStart w:id="22" w:name="_Toc19670"/>
      <w:r>
        <w:rPr>
          <w:rFonts w:hint="eastAsia" w:ascii="楷体" w:hAnsi="楷体" w:eastAsia="楷体" w:cs="楷体"/>
          <w:sz w:val="32"/>
          <w:szCs w:val="32"/>
          <w:lang w:val="en-US" w:eastAsia="zh-CN"/>
        </w:rPr>
        <w:t>4.3  自治区层面应对</w:t>
      </w:r>
      <w:bookmarkEnd w:id="22"/>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4.3.1  部门应对</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初判发生一般或较大大面积停电事件时，自治区能源局应当密切跟踪事态发展，指导督促事发地相关部门单位做好应对工作；视情况派出部门工作组赴现场指导协调事件应对等工作；根据电力企业和当地请求，协调有关方面为应对工作提供支援和技术支持；指导做好舆情信息收集、分析和应对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4.3.2  自治区组织指挥机构应对</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初判发生重大或特别重大大面积停电事件时，自治区指挥部应当组织相关部门单位、专家组进行会商，研究分析事态，部署应对工作；及时传达国家及自治区领导同志指示批示精神，督促当地人民政府、相关部门单位和电力企业贯彻落实；了解事件基本情况，根据地方人民政府或电力企业请求，协调有关方面派出应急队伍、调动应急物资和装备、安排专家和技术人员等，为应对工作提供支援和技术支持；统一组织信息发布和舆论引导工作；及时了解掌握相关应急处置工作情况；对事件处置工作进行总结并报请自治区人民政府按程序报告国务院。</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bookmarkStart w:id="23" w:name="_Toc32004"/>
      <w:r>
        <w:rPr>
          <w:rFonts w:hint="eastAsia" w:ascii="楷体" w:hAnsi="楷体" w:eastAsia="楷体" w:cs="楷体"/>
          <w:sz w:val="32"/>
          <w:szCs w:val="32"/>
          <w:lang w:val="en-US" w:eastAsia="zh-CN"/>
        </w:rPr>
        <w:t>4.4  响应终止</w:t>
      </w:r>
      <w:bookmarkEnd w:id="23"/>
    </w:p>
    <w:p>
      <w:pPr>
        <w:keepNext w:val="0"/>
        <w:keepLines w:val="0"/>
        <w:pageBreakBefore w:val="0"/>
        <w:widowControl w:val="0"/>
        <w:kinsoku/>
        <w:wordWrap/>
        <w:overflowPunct/>
        <w:topLinePunct/>
        <w:autoSpaceDE/>
        <w:autoSpaceDN/>
        <w:bidi w:val="0"/>
        <w:adjustRightInd/>
        <w:snapToGrid/>
        <w:spacing w:line="580" w:lineRule="exact"/>
        <w:ind w:firstLine="684" w:firstLineChars="200"/>
        <w:textAlignment w:val="auto"/>
        <w:rPr>
          <w:rFonts w:hint="eastAsia" w:ascii="仿宋" w:hAnsi="仿宋" w:eastAsia="仿宋" w:cs="仿宋"/>
          <w:spacing w:val="11"/>
          <w:sz w:val="32"/>
          <w:szCs w:val="32"/>
          <w:lang w:val="en-US" w:eastAsia="zh-CN"/>
        </w:rPr>
      </w:pPr>
      <w:r>
        <w:rPr>
          <w:rFonts w:hint="eastAsia" w:ascii="仿宋" w:hAnsi="仿宋" w:eastAsia="仿宋" w:cs="仿宋"/>
          <w:spacing w:val="11"/>
          <w:sz w:val="32"/>
          <w:szCs w:val="32"/>
          <w:lang w:val="en-US" w:eastAsia="zh-CN"/>
        </w:rPr>
        <w:t>同时满足以下条件时，由启动响应的人民政府终止应急响应：</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（1）电网主干网架基本恢复正常，电网运行参数</w:t>
      </w:r>
      <w:r>
        <w:rPr>
          <w:rFonts w:hint="eastAsia" w:ascii="仿宋" w:hAnsi="仿宋" w:eastAsia="仿宋" w:cs="仿宋"/>
          <w:spacing w:val="-6"/>
          <w:sz w:val="32"/>
          <w:szCs w:val="32"/>
          <w:lang w:val="en-US" w:eastAsia="zh-CN"/>
        </w:rPr>
        <w:t>保持在合格</w:t>
      </w:r>
      <w:r>
        <w:rPr>
          <w:rFonts w:hint="eastAsia" w:ascii="仿宋" w:hAnsi="仿宋" w:eastAsia="仿宋" w:cs="仿宋"/>
          <w:sz w:val="32"/>
          <w:szCs w:val="32"/>
          <w:lang w:val="en-US" w:eastAsia="zh-CN"/>
        </w:rPr>
        <w:t>范围之内，主要发电厂机组运行稳定；</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（2）减供负荷恢复80%以上，受停电影响的重点地区、重要城市负荷恢复90%以上；</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（3）造成大面积停电事件的隐患基本消除；</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（4）大面积停电事件造成的重特大次生衍生事故处置完成。</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黑体" w:hAnsi="黑体" w:eastAsia="黑体" w:cs="黑体"/>
          <w:sz w:val="32"/>
          <w:szCs w:val="32"/>
          <w:lang w:val="en-US" w:eastAsia="zh-CN"/>
        </w:rPr>
      </w:pPr>
      <w:bookmarkStart w:id="24" w:name="_Toc21435"/>
      <w:r>
        <w:rPr>
          <w:rFonts w:hint="eastAsia" w:ascii="黑体" w:hAnsi="黑体" w:eastAsia="黑体" w:cs="黑体"/>
          <w:sz w:val="32"/>
          <w:szCs w:val="32"/>
          <w:lang w:val="en-US" w:eastAsia="zh-CN"/>
        </w:rPr>
        <w:t>5  后期处置</w:t>
      </w:r>
      <w:bookmarkEnd w:id="24"/>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sz w:val="32"/>
          <w:szCs w:val="32"/>
          <w:lang w:val="en-US" w:eastAsia="zh-CN"/>
        </w:rPr>
      </w:pPr>
      <w:bookmarkStart w:id="25" w:name="_Toc27335"/>
      <w:r>
        <w:rPr>
          <w:rFonts w:hint="eastAsia" w:ascii="楷体" w:hAnsi="楷体" w:eastAsia="楷体" w:cs="楷体"/>
          <w:sz w:val="32"/>
          <w:szCs w:val="32"/>
          <w:lang w:val="en-US" w:eastAsia="zh-CN"/>
        </w:rPr>
        <w:t>5.1  处置评估</w:t>
      </w:r>
      <w:bookmarkEnd w:id="25"/>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大面积停电事件应急响应终止后，受影响区域人民政府应当及时组织对事件处置工作进行评估，分析损失及影响，提出明确的整改措施，形成处置评估报告。</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sz w:val="32"/>
          <w:szCs w:val="32"/>
          <w:lang w:val="en-US" w:eastAsia="zh-CN"/>
        </w:rPr>
      </w:pPr>
      <w:bookmarkStart w:id="26" w:name="_Toc8510"/>
      <w:r>
        <w:rPr>
          <w:rFonts w:hint="eastAsia" w:ascii="楷体" w:hAnsi="楷体" w:eastAsia="楷体" w:cs="楷体"/>
          <w:sz w:val="32"/>
          <w:szCs w:val="32"/>
          <w:lang w:val="en-US" w:eastAsia="zh-CN"/>
        </w:rPr>
        <w:t>5.2  事件调查</w:t>
      </w:r>
      <w:bookmarkEnd w:id="26"/>
    </w:p>
    <w:p>
      <w:pPr>
        <w:keepNext w:val="0"/>
        <w:keepLines w:val="0"/>
        <w:pageBreakBefore w:val="0"/>
        <w:widowControl w:val="0"/>
        <w:kinsoku/>
        <w:wordWrap/>
        <w:overflowPunct/>
        <w:topLinePunct/>
        <w:autoSpaceDE/>
        <w:autoSpaceDN/>
        <w:bidi w:val="0"/>
        <w:adjustRightInd/>
        <w:snapToGrid/>
        <w:spacing w:line="580" w:lineRule="exact"/>
        <w:ind w:firstLine="616" w:firstLineChars="200"/>
        <w:textAlignment w:val="auto"/>
        <w:rPr>
          <w:rFonts w:hint="eastAsia" w:ascii="仿宋" w:hAnsi="仿宋" w:eastAsia="仿宋" w:cs="仿宋"/>
          <w:sz w:val="32"/>
          <w:szCs w:val="32"/>
        </w:rPr>
      </w:pPr>
      <w:r>
        <w:rPr>
          <w:rFonts w:hint="eastAsia" w:ascii="仿宋" w:hAnsi="仿宋" w:eastAsia="仿宋" w:cs="仿宋"/>
          <w:spacing w:val="-6"/>
          <w:sz w:val="32"/>
          <w:szCs w:val="32"/>
          <w:lang w:val="en-US" w:eastAsia="zh-CN"/>
        </w:rPr>
        <w:t>大面积停电事件发生后，根据有关规定成立调查组，客观、</w:t>
      </w:r>
      <w:r>
        <w:rPr>
          <w:rFonts w:hint="eastAsia" w:ascii="仿宋" w:hAnsi="仿宋" w:eastAsia="仿宋" w:cs="仿宋"/>
          <w:sz w:val="32"/>
          <w:szCs w:val="32"/>
          <w:lang w:val="en-US" w:eastAsia="zh-CN"/>
        </w:rPr>
        <w:t>公正、准确查明事件原因、性质、影响范围、经济损失等情况，提出防范、整改措施和处理处置建议。发生特别重大大面积停电事件后，由自治区人民政府报请国务院或国务院授权的相关部门单位组成事故调查组进行调查；发生重大大面积停电事件后，由自治区能源局报请国家能源局组成事故调查组进行调查；发生较大或一般大面积停电事件后，由国家能源局派出机构组织事故调查组进行调查。各有关地方人民政府、各相关部门单位应当认真配合调查组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sz w:val="32"/>
          <w:szCs w:val="32"/>
          <w:lang w:val="en-US" w:eastAsia="zh-CN"/>
        </w:rPr>
      </w:pPr>
      <w:bookmarkStart w:id="27" w:name="_Toc25463"/>
      <w:r>
        <w:rPr>
          <w:rFonts w:hint="eastAsia" w:ascii="楷体" w:hAnsi="楷体" w:eastAsia="楷体" w:cs="楷体"/>
          <w:sz w:val="32"/>
          <w:szCs w:val="32"/>
          <w:lang w:val="en-US" w:eastAsia="zh-CN"/>
        </w:rPr>
        <w:t>5.3  善后处置</w:t>
      </w:r>
      <w:bookmarkEnd w:id="27"/>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受影响区域人民政府应当及时组织制定善后工作方案并组织实施。保险机构应当及时开展相关理赔工作，尽快消除大面积停电事件的影响。</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sz w:val="32"/>
          <w:szCs w:val="32"/>
          <w:lang w:val="en-US" w:eastAsia="zh-CN"/>
        </w:rPr>
      </w:pPr>
      <w:bookmarkStart w:id="28" w:name="_Toc8867"/>
      <w:r>
        <w:rPr>
          <w:rFonts w:hint="eastAsia" w:ascii="楷体" w:hAnsi="楷体" w:eastAsia="楷体" w:cs="楷体"/>
          <w:sz w:val="32"/>
          <w:szCs w:val="32"/>
          <w:lang w:val="en-US" w:eastAsia="zh-CN"/>
        </w:rPr>
        <w:t>5.4  恢复重建</w:t>
      </w:r>
      <w:bookmarkEnd w:id="28"/>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大面积停电事件应急响应终止后，需对电网网架结构和设备设施进行修复或重建的，由自治区能源局根据实际工作需要组织编制恢复重建规划。相关电力企业和受影响区域旗县级以上地方人民政府应当根据规划做好受损电力系统恢复重建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黑体" w:hAnsi="黑体" w:eastAsia="黑体" w:cs="黑体"/>
          <w:sz w:val="32"/>
          <w:szCs w:val="32"/>
          <w:lang w:val="en-US" w:eastAsia="zh-CN"/>
        </w:rPr>
      </w:pPr>
      <w:bookmarkStart w:id="29" w:name="_Toc28555"/>
      <w:r>
        <w:rPr>
          <w:rFonts w:hint="eastAsia" w:ascii="黑体" w:hAnsi="黑体" w:eastAsia="黑体" w:cs="黑体"/>
          <w:sz w:val="32"/>
          <w:szCs w:val="32"/>
          <w:lang w:val="en-US" w:eastAsia="zh-CN"/>
        </w:rPr>
        <w:t>6   保障措施</w:t>
      </w:r>
      <w:bookmarkEnd w:id="29"/>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sz w:val="32"/>
          <w:szCs w:val="32"/>
          <w:lang w:val="en-US" w:eastAsia="zh-CN"/>
        </w:rPr>
      </w:pPr>
      <w:bookmarkStart w:id="30" w:name="_Toc21946"/>
      <w:r>
        <w:rPr>
          <w:rFonts w:hint="eastAsia" w:ascii="楷体" w:hAnsi="楷体" w:eastAsia="楷体" w:cs="楷体"/>
          <w:sz w:val="32"/>
          <w:szCs w:val="32"/>
          <w:lang w:val="en-US" w:eastAsia="zh-CN"/>
        </w:rPr>
        <w:t>6.1  队伍保障</w:t>
      </w:r>
      <w:bookmarkEnd w:id="30"/>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电力企业应当建立健全电力抢修应急专业队伍，加强设备设施维护和应急抢修技能方面的人员培训，定期开展应急演练，提高应急救援能力。盟行政公署、市人民政府，旗县（市、区）人民政府根据需要组织动员其他专业应急队伍和志愿者等参与大面积停电事件及其次生衍生灾害处置工作。军队、武警部队、公安消防等应当做好应急力量支援保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sz w:val="32"/>
          <w:szCs w:val="32"/>
          <w:lang w:val="en-US" w:eastAsia="zh-CN"/>
        </w:rPr>
      </w:pPr>
      <w:bookmarkStart w:id="31" w:name="_Toc14310"/>
      <w:r>
        <w:rPr>
          <w:rFonts w:hint="eastAsia" w:ascii="楷体" w:hAnsi="楷体" w:eastAsia="楷体" w:cs="楷体"/>
          <w:sz w:val="32"/>
          <w:szCs w:val="32"/>
          <w:lang w:val="en-US" w:eastAsia="zh-CN"/>
        </w:rPr>
        <w:t>6.2  装备物资保障</w:t>
      </w:r>
      <w:bookmarkEnd w:id="31"/>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电力企业应当储备必要的专业应急装备及物资，建立和完善相应保障体系。自治区各相关部门单位和旗县级以上地方人民政府应当加强应急救援装备物资及生产生活物资的紧急生产、储备调拨和紧急配送工作，保障支援大面积停电事件应对工作需要。</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sz w:val="32"/>
          <w:szCs w:val="32"/>
          <w:lang w:val="en-US" w:eastAsia="zh-CN"/>
        </w:rPr>
      </w:pPr>
      <w:bookmarkStart w:id="32" w:name="_Toc8427"/>
      <w:r>
        <w:rPr>
          <w:rFonts w:hint="eastAsia" w:ascii="楷体" w:hAnsi="楷体" w:eastAsia="楷体" w:cs="楷体"/>
          <w:sz w:val="32"/>
          <w:szCs w:val="32"/>
          <w:lang w:val="en-US" w:eastAsia="zh-CN"/>
        </w:rPr>
        <w:t>6.3  通信、交通与运输保障</w:t>
      </w:r>
      <w:bookmarkEnd w:id="32"/>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旗县级以上地方人民政府及通信主管部门应当建立健全大面积停电事件应急通信保障体系，形成可靠的通信保障能力，确保应急期间通信联络和信息传递需要。交通运输部门应当健全紧急运输保障体系，保障应急响应所需人员、物资、装备、器材等的运输；公安机关应当加强交通应急管理，保障应急救援车辆优先通行；各盟市、旗县（市、区）应急指挥机构应当配备必要的应急车辆，保障应急救援需要。</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sz w:val="32"/>
          <w:szCs w:val="32"/>
          <w:lang w:val="en-US" w:eastAsia="zh-CN"/>
        </w:rPr>
      </w:pPr>
      <w:bookmarkStart w:id="33" w:name="_Toc3633"/>
      <w:r>
        <w:rPr>
          <w:rFonts w:hint="eastAsia" w:ascii="楷体" w:hAnsi="楷体" w:eastAsia="楷体" w:cs="楷体"/>
          <w:sz w:val="32"/>
          <w:szCs w:val="32"/>
          <w:lang w:val="en-US" w:eastAsia="zh-CN"/>
        </w:rPr>
        <w:t>6.4  技术保障</w:t>
      </w:r>
      <w:bookmarkEnd w:id="33"/>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电力企业应当加强大面积停电事件应对能力建设，使用先进成熟技术装备，加强电网、电厂安全应急信息化平台建设，着重开展信息化系统安全防护工作。相关部门单位应当为电力日常监测预警及电力应急抢险提供必要的气象、地质、水文等服务。</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sz w:val="32"/>
          <w:szCs w:val="32"/>
          <w:lang w:val="en-US" w:eastAsia="zh-CN"/>
        </w:rPr>
      </w:pPr>
      <w:bookmarkStart w:id="34" w:name="_Toc2192"/>
      <w:r>
        <w:rPr>
          <w:rFonts w:hint="eastAsia" w:ascii="楷体" w:hAnsi="楷体" w:eastAsia="楷体" w:cs="楷体"/>
          <w:sz w:val="32"/>
          <w:szCs w:val="32"/>
          <w:lang w:val="en-US" w:eastAsia="zh-CN"/>
        </w:rPr>
        <w:t>6.5  应急电源保障</w:t>
      </w:r>
      <w:bookmarkEnd w:id="34"/>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提高电力系统快速恢复能力，加强电网“黑启动”能力建设。自治区相关部门单位和电力企业应当充分考虑电源规划布局，保障各地区“黑启动”电源。电力企业应当配备适量的应急发电装备，必要时提供应急电源支援。重要电力用户应当按照国家有关技术要求配置应急电源，并加强维护和管理，确保应急状态下能够投入运行。</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sz w:val="32"/>
          <w:szCs w:val="32"/>
          <w:lang w:val="en-US" w:eastAsia="zh-CN"/>
        </w:rPr>
      </w:pPr>
      <w:bookmarkStart w:id="35" w:name="_Toc24911"/>
      <w:r>
        <w:rPr>
          <w:rFonts w:hint="eastAsia" w:ascii="楷体" w:hAnsi="楷体" w:eastAsia="楷体" w:cs="楷体"/>
          <w:sz w:val="32"/>
          <w:szCs w:val="32"/>
          <w:lang w:val="en-US" w:eastAsia="zh-CN"/>
        </w:rPr>
        <w:t>6.6  资金保障</w:t>
      </w:r>
      <w:bookmarkEnd w:id="35"/>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自治区发展改革委、财政厅、民政厅、国资委、能源局等相关部门，各盟行政公署、市人民政府，各旗县（市、区）人民政府以及各相关电力企业应当按照有关规定，对大面积停电事件处置工作提供必要的资金保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sz w:val="32"/>
          <w:szCs w:val="32"/>
          <w:lang w:val="en-US" w:eastAsia="zh-CN"/>
        </w:rPr>
      </w:pPr>
      <w:bookmarkStart w:id="36" w:name="_Toc5163"/>
      <w:r>
        <w:rPr>
          <w:rFonts w:hint="eastAsia" w:ascii="楷体" w:hAnsi="楷体" w:eastAsia="楷体" w:cs="楷体"/>
          <w:sz w:val="32"/>
          <w:szCs w:val="32"/>
          <w:lang w:val="en-US" w:eastAsia="zh-CN"/>
        </w:rPr>
        <w:t>6.7  数智化保障、社会动员保障和指挥保障</w:t>
      </w:r>
      <w:bookmarkEnd w:id="36"/>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强化电网网络枢纽、数据中心等信息基础设施抗毁韧性，建立健全电网网络和数据安全应急体系，加强电网网络和数据安全监测、通报预警和信息共享，提高网络与信息安全风险抵御能力。</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sz w:val="32"/>
          <w:szCs w:val="32"/>
          <w:lang w:val="en-US" w:eastAsia="zh-CN"/>
        </w:rPr>
      </w:pPr>
      <w:bookmarkStart w:id="37" w:name="_Toc17983"/>
      <w:r>
        <w:rPr>
          <w:rFonts w:hint="eastAsia" w:ascii="楷体" w:hAnsi="楷体" w:eastAsia="楷体" w:cs="楷体"/>
          <w:sz w:val="32"/>
          <w:szCs w:val="32"/>
          <w:lang w:val="en-US" w:eastAsia="zh-CN"/>
        </w:rPr>
        <w:t>6.8  宣教培训与应急演练</w:t>
      </w:r>
      <w:bookmarkEnd w:id="37"/>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（1）自治区能源局组织开展大面积停电事件的相</w:t>
      </w:r>
      <w:r>
        <w:rPr>
          <w:rFonts w:hint="eastAsia" w:ascii="仿宋" w:hAnsi="仿宋" w:eastAsia="仿宋" w:cs="仿宋"/>
          <w:spacing w:val="-6"/>
          <w:sz w:val="32"/>
          <w:szCs w:val="32"/>
          <w:lang w:val="en-US" w:eastAsia="zh-CN"/>
        </w:rPr>
        <w:t>关宣传教育</w:t>
      </w:r>
      <w:r>
        <w:rPr>
          <w:rFonts w:hint="eastAsia" w:ascii="仿宋" w:hAnsi="仿宋" w:eastAsia="仿宋" w:cs="仿宋"/>
          <w:sz w:val="32"/>
          <w:szCs w:val="32"/>
          <w:lang w:val="en-US" w:eastAsia="zh-CN"/>
        </w:rPr>
        <w:t>工作，重点宣传大面积停电状态下公众自救、互救的知识，提高全社会应对大面积停电事件的能力；</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（2）旗县级以上地方人民政府及其相关部门单位</w:t>
      </w:r>
      <w:r>
        <w:rPr>
          <w:rFonts w:hint="eastAsia" w:ascii="仿宋" w:hAnsi="仿宋" w:eastAsia="仿宋" w:cs="仿宋"/>
          <w:spacing w:val="-6"/>
          <w:sz w:val="32"/>
          <w:szCs w:val="32"/>
          <w:lang w:val="en-US" w:eastAsia="zh-CN"/>
        </w:rPr>
        <w:t>负责组织本</w:t>
      </w:r>
      <w:r>
        <w:rPr>
          <w:rFonts w:hint="eastAsia" w:ascii="仿宋" w:hAnsi="仿宋" w:eastAsia="仿宋" w:cs="仿宋"/>
          <w:sz w:val="32"/>
          <w:szCs w:val="32"/>
          <w:lang w:val="en-US" w:eastAsia="zh-CN"/>
        </w:rPr>
        <w:t>地区、本部门单位应对大面积停电事件的培训工作。各电力企业</w:t>
      </w:r>
      <w:r>
        <w:rPr>
          <w:rFonts w:hint="eastAsia" w:ascii="仿宋" w:hAnsi="仿宋" w:eastAsia="仿宋" w:cs="仿宋"/>
          <w:spacing w:val="6"/>
          <w:sz w:val="32"/>
          <w:szCs w:val="32"/>
          <w:lang w:val="en-US" w:eastAsia="zh-CN"/>
        </w:rPr>
        <w:t>和重要电力用户负责组织本企业、本单位从业人员的安全知识、</w:t>
      </w:r>
      <w:r>
        <w:rPr>
          <w:rFonts w:hint="eastAsia" w:ascii="仿宋" w:hAnsi="仿宋" w:eastAsia="仿宋" w:cs="仿宋"/>
          <w:sz w:val="32"/>
          <w:szCs w:val="32"/>
          <w:lang w:val="en-US" w:eastAsia="zh-CN"/>
        </w:rPr>
        <w:t>安全技能、应急救援工作培训，提高专业应急处置的水平；</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（3）自治区能源局会同自治区相关部门单位，定</w:t>
      </w:r>
      <w:r>
        <w:rPr>
          <w:rFonts w:hint="eastAsia" w:ascii="仿宋" w:hAnsi="仿宋" w:eastAsia="仿宋" w:cs="仿宋"/>
          <w:spacing w:val="-6"/>
          <w:sz w:val="32"/>
          <w:szCs w:val="32"/>
          <w:lang w:val="en-US" w:eastAsia="zh-CN"/>
        </w:rPr>
        <w:t>期组织全区</w:t>
      </w:r>
      <w:r>
        <w:rPr>
          <w:rFonts w:hint="eastAsia" w:ascii="仿宋" w:hAnsi="仿宋" w:eastAsia="仿宋" w:cs="仿宋"/>
          <w:sz w:val="32"/>
          <w:szCs w:val="32"/>
          <w:lang w:val="en-US" w:eastAsia="zh-CN"/>
        </w:rPr>
        <w:t>综合性或专业性的大面积停电事件应急演练，每3年至少演练1次。旗县级以上地方人民政府定期组织本行政区域内综合性或专业性的大面积停电事件应急演练。电力企业和重要电力用户定期组织开展本企业、本单位专业性的大面积停电事件应急演练。</w:t>
      </w:r>
      <w:bookmarkStart w:id="38" w:name="_Toc2616"/>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7   附则</w:t>
      </w:r>
      <w:bookmarkEnd w:id="38"/>
      <w:bookmarkStart w:id="39" w:name="_Toc16670"/>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7.1  预案制定</w:t>
      </w:r>
      <w:bookmarkEnd w:id="39"/>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本预案由自治区能源局负责组织编制。各盟行政公署、市人民政府，各旗县（市、区）人民政府根据本预案精神，结合本地区实际制定本级大面积停电事件应急预案。</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sz w:val="32"/>
          <w:szCs w:val="32"/>
          <w:lang w:val="en-US" w:eastAsia="zh-CN"/>
        </w:rPr>
      </w:pPr>
      <w:bookmarkStart w:id="40" w:name="_Toc8109"/>
      <w:r>
        <w:rPr>
          <w:rFonts w:hint="eastAsia" w:ascii="楷体" w:hAnsi="楷体" w:eastAsia="楷体" w:cs="楷体"/>
          <w:sz w:val="32"/>
          <w:szCs w:val="32"/>
          <w:lang w:val="en-US" w:eastAsia="zh-CN"/>
        </w:rPr>
        <w:t>7.2   预案解释</w:t>
      </w:r>
      <w:bookmarkEnd w:id="40"/>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本预案执行过程中的具体事项，由自治区能源局负责解释。</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sz w:val="32"/>
          <w:szCs w:val="32"/>
          <w:lang w:val="en-US" w:eastAsia="zh-CN"/>
        </w:rPr>
      </w:pPr>
      <w:bookmarkStart w:id="41" w:name="_Toc5929"/>
      <w:r>
        <w:rPr>
          <w:rFonts w:hint="eastAsia" w:ascii="楷体" w:hAnsi="楷体" w:eastAsia="楷体" w:cs="楷体"/>
          <w:sz w:val="32"/>
          <w:szCs w:val="32"/>
          <w:lang w:val="en-US" w:eastAsia="zh-CN"/>
        </w:rPr>
        <w:t>7.3  预案修订</w:t>
      </w:r>
      <w:bookmarkEnd w:id="41"/>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根据相关法律法规的制定（修订）、有关情况发生变化以及应急处置过程和应急演练中发现问题等情况，适时对本预案进行修订。</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sz w:val="32"/>
          <w:szCs w:val="32"/>
          <w:lang w:val="en-US" w:eastAsia="zh-CN"/>
        </w:rPr>
      </w:pPr>
      <w:bookmarkStart w:id="42" w:name="_Toc24683"/>
      <w:r>
        <w:rPr>
          <w:rFonts w:hint="eastAsia" w:ascii="楷体" w:hAnsi="楷体" w:eastAsia="楷体" w:cs="楷体"/>
          <w:sz w:val="32"/>
          <w:szCs w:val="32"/>
          <w:lang w:val="en-US" w:eastAsia="zh-CN"/>
        </w:rPr>
        <w:t>7.4  预案施行</w:t>
      </w:r>
      <w:bookmarkEnd w:id="42"/>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本预案自印发之日起施行。《内蒙古自治区人民政府办公厅关于印发自治区大面积停电事件应急预案（2020年版）的通知》（内政办发〔2020〕22号）同时废止。</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附件</w:t>
      </w:r>
      <w:r>
        <w:rPr>
          <w:rFonts w:hint="eastAsia" w:ascii="仿宋" w:hAnsi="仿宋" w:eastAsia="仿宋" w:cs="仿宋"/>
          <w:sz w:val="32"/>
          <w:szCs w:val="32"/>
          <w:lang w:eastAsia="zh-CN"/>
        </w:rPr>
        <w:t>：</w:t>
      </w:r>
      <w:r>
        <w:rPr>
          <w:rFonts w:hint="eastAsia" w:ascii="仿宋" w:hAnsi="仿宋" w:eastAsia="仿宋" w:cs="仿宋"/>
          <w:sz w:val="32"/>
          <w:szCs w:val="32"/>
        </w:rPr>
        <w:t>1</w:t>
      </w:r>
      <w:r>
        <w:rPr>
          <w:rFonts w:hint="eastAsia" w:ascii="仿宋" w:hAnsi="仿宋" w:eastAsia="仿宋" w:cs="仿宋"/>
          <w:sz w:val="32"/>
          <w:szCs w:val="32"/>
          <w:lang w:val="en-US" w:eastAsia="zh-CN"/>
        </w:rPr>
        <w:t>.</w:t>
      </w:r>
      <w:r>
        <w:rPr>
          <w:rFonts w:hint="eastAsia" w:ascii="仿宋" w:hAnsi="仿宋" w:eastAsia="仿宋" w:cs="仿宋"/>
          <w:sz w:val="32"/>
          <w:szCs w:val="32"/>
        </w:rPr>
        <w:t>内蒙古自治区大面积停电事件分级标准</w:t>
      </w:r>
    </w:p>
    <w:p>
      <w:pPr>
        <w:keepNext w:val="0"/>
        <w:keepLines w:val="0"/>
        <w:pageBreakBefore w:val="0"/>
        <w:widowControl w:val="0"/>
        <w:kinsoku/>
        <w:wordWrap/>
        <w:overflowPunct/>
        <w:topLinePunct/>
        <w:autoSpaceDE/>
        <w:autoSpaceDN/>
        <w:bidi w:val="0"/>
        <w:adjustRightInd/>
        <w:snapToGrid/>
        <w:spacing w:line="580" w:lineRule="exact"/>
        <w:ind w:firstLine="1600" w:firstLineChars="500"/>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.内蒙古自治区大面积停电事件指挥组织体系图</w:t>
      </w:r>
    </w:p>
    <w:p>
      <w:pPr>
        <w:keepNext w:val="0"/>
        <w:keepLines w:val="0"/>
        <w:pageBreakBefore w:val="0"/>
        <w:widowControl w:val="0"/>
        <w:kinsoku/>
        <w:wordWrap/>
        <w:overflowPunct/>
        <w:topLinePunct/>
        <w:autoSpaceDE/>
        <w:autoSpaceDN/>
        <w:bidi w:val="0"/>
        <w:adjustRightInd/>
        <w:snapToGrid/>
        <w:spacing w:line="580" w:lineRule="exact"/>
        <w:ind w:left="1916" w:leftChars="760" w:hanging="320" w:hangingChars="1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w:t>
      </w:r>
      <w:r>
        <w:rPr>
          <w:rFonts w:hint="eastAsia" w:ascii="仿宋" w:hAnsi="仿宋" w:eastAsia="仿宋" w:cs="仿宋"/>
          <w:sz w:val="32"/>
          <w:szCs w:val="32"/>
        </w:rPr>
        <w:t>内蒙古自治区大面积停电事件应急指挥部组成及</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工作职责</w:t>
      </w:r>
    </w:p>
    <w:p>
      <w:pPr>
        <w:keepNext w:val="0"/>
        <w:keepLines w:val="0"/>
        <w:pageBreakBefore w:val="0"/>
        <w:widowControl w:val="0"/>
        <w:kinsoku/>
        <w:wordWrap/>
        <w:overflowPunct/>
        <w:topLinePunct/>
        <w:autoSpaceDE/>
        <w:autoSpaceDN/>
        <w:bidi w:val="0"/>
        <w:adjustRightInd/>
        <w:snapToGrid/>
        <w:spacing w:line="580" w:lineRule="exact"/>
        <w:ind w:firstLine="1600" w:firstLineChars="5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4.内蒙古自治区大面积停电事件应急响应流程图</w:t>
      </w:r>
    </w:p>
    <w:bookmarkEnd w:id="1"/>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autoSpaceDE/>
        <w:autoSpaceDN/>
        <w:bidi w:val="0"/>
        <w:adjustRightInd/>
        <w:snapToGrid/>
        <w:spacing w:line="580" w:lineRule="exact"/>
        <w:textAlignment w:val="auto"/>
        <w:rPr>
          <w:rFonts w:hint="eastAsia" w:ascii="仿宋" w:hAnsi="仿宋" w:eastAsia="仿宋" w:cs="仿宋"/>
          <w:sz w:val="32"/>
          <w:szCs w:val="32"/>
        </w:rPr>
      </w:pPr>
      <w:bookmarkStart w:id="43" w:name="_Toc31220"/>
    </w:p>
    <w:p>
      <w:pPr>
        <w:keepNext w:val="0"/>
        <w:keepLines w:val="0"/>
        <w:pageBreakBefore w:val="0"/>
        <w:widowControl w:val="0"/>
        <w:kinsoku/>
        <w:wordWrap/>
        <w:overflowPunct/>
        <w:topLinePunct/>
        <w:autoSpaceDE/>
        <w:autoSpaceDN/>
        <w:bidi w:val="0"/>
        <w:adjustRightInd/>
        <w:snapToGrid/>
        <w:spacing w:line="580" w:lineRule="exact"/>
        <w:textAlignment w:val="auto"/>
        <w:rPr>
          <w:rFonts w:hint="eastAsia" w:ascii="黑体" w:hAnsi="黑体" w:eastAsia="黑体" w:cs="黑体"/>
          <w:sz w:val="32"/>
          <w:szCs w:val="32"/>
          <w:lang w:val="en-US" w:eastAsia="zh-CN"/>
        </w:rPr>
      </w:pPr>
      <w:r>
        <w:rPr>
          <w:rFonts w:hint="eastAsia" w:ascii="黑体" w:hAnsi="黑体" w:eastAsia="黑体" w:cs="黑体"/>
          <w:sz w:val="32"/>
          <w:szCs w:val="32"/>
        </w:rPr>
        <w:t>附件1</w:t>
      </w:r>
      <w:bookmarkEnd w:id="43"/>
      <w:r>
        <w:rPr>
          <w:rFonts w:hint="eastAsia" w:ascii="黑体" w:hAnsi="黑体" w:eastAsia="黑体" w:cs="黑体"/>
          <w:sz w:val="32"/>
          <w:szCs w:val="32"/>
          <w:lang w:val="en-US" w:eastAsia="zh-CN"/>
        </w:rPr>
        <w:t xml:space="preserve"> </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autoSpaceDE/>
        <w:autoSpaceDN/>
        <w:bidi w:val="0"/>
        <w:adjustRightInd/>
        <w:snapToGrid/>
        <w:spacing w:line="58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内蒙古自治区大面积停电事件分级标准</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rPr>
      </w:pP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一、特别重大大面积停电事件</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（一）</w:t>
      </w:r>
      <w:r>
        <w:rPr>
          <w:rFonts w:hint="eastAsia" w:ascii="仿宋" w:hAnsi="仿宋" w:eastAsia="仿宋" w:cs="仿宋"/>
          <w:spacing w:val="17"/>
          <w:sz w:val="32"/>
          <w:szCs w:val="32"/>
        </w:rPr>
        <w:t>内蒙古自治区电网：负荷20000兆瓦以上减供负</w:t>
      </w:r>
      <w:r>
        <w:rPr>
          <w:rFonts w:hint="eastAsia" w:ascii="仿宋" w:hAnsi="仿宋" w:eastAsia="仿宋" w:cs="仿宋"/>
          <w:spacing w:val="6"/>
          <w:sz w:val="32"/>
          <w:szCs w:val="32"/>
        </w:rPr>
        <w:t>荷30%以上，负荷5000兆瓦以上20000兆瓦以下减供负荷40%以上。</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（二）</w:t>
      </w:r>
      <w:r>
        <w:rPr>
          <w:rFonts w:hint="eastAsia" w:ascii="仿宋" w:hAnsi="仿宋" w:eastAsia="仿宋" w:cs="仿宋"/>
          <w:sz w:val="32"/>
          <w:szCs w:val="32"/>
        </w:rPr>
        <w:t>呼和浩特市电网：负荷2000兆瓦以上减供负荷60%以上，或70%以上供电用户停电。</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二、重大大面积停电事件</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（一）</w:t>
      </w:r>
      <w:r>
        <w:rPr>
          <w:rFonts w:hint="eastAsia" w:ascii="仿宋" w:hAnsi="仿宋" w:eastAsia="仿宋" w:cs="仿宋"/>
          <w:sz w:val="32"/>
          <w:szCs w:val="32"/>
        </w:rPr>
        <w:t>内蒙古自治区电网：负荷20000兆</w:t>
      </w:r>
      <w:r>
        <w:rPr>
          <w:rFonts w:hint="eastAsia" w:ascii="仿宋" w:hAnsi="仿宋" w:eastAsia="仿宋" w:cs="仿宋"/>
          <w:spacing w:val="-6"/>
          <w:sz w:val="32"/>
          <w:szCs w:val="32"/>
        </w:rPr>
        <w:t>瓦以上减供负荷13%</w:t>
      </w:r>
      <w:r>
        <w:rPr>
          <w:rFonts w:hint="eastAsia" w:ascii="仿宋" w:hAnsi="仿宋" w:eastAsia="仿宋" w:cs="仿宋"/>
          <w:sz w:val="32"/>
          <w:szCs w:val="32"/>
        </w:rPr>
        <w:t>以上30%以下，负荷5000兆瓦以上20000兆瓦以下减供负荷16%以上40%以下，负荷1000兆瓦以上5000兆瓦以下减供负荷50%以上。</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（二）呼和浩特市电网：负荷2000兆瓦以上减供负荷40%以上60%以下，或50%以上70%以下供电用户停电；负荷2000兆瓦以下减供负荷40%以上，或50%以上供电用户停电。</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（三）</w:t>
      </w:r>
      <w:r>
        <w:rPr>
          <w:rFonts w:hint="eastAsia" w:ascii="仿宋" w:hAnsi="仿宋" w:eastAsia="仿宋" w:cs="仿宋"/>
          <w:sz w:val="32"/>
          <w:szCs w:val="32"/>
        </w:rPr>
        <w:t>其他盟市</w:t>
      </w:r>
      <w:r>
        <w:rPr>
          <w:rFonts w:hint="eastAsia" w:ascii="仿宋" w:hAnsi="仿宋" w:eastAsia="仿宋" w:cs="仿宋"/>
          <w:spacing w:val="-6"/>
          <w:sz w:val="32"/>
          <w:szCs w:val="32"/>
        </w:rPr>
        <w:t>电网：负荷600兆瓦以上的减供负荷60%以上，</w:t>
      </w:r>
      <w:r>
        <w:rPr>
          <w:rFonts w:hint="eastAsia" w:ascii="仿宋" w:hAnsi="仿宋" w:eastAsia="仿宋" w:cs="仿宋"/>
          <w:sz w:val="32"/>
          <w:szCs w:val="32"/>
        </w:rPr>
        <w:t>或70%以上供电用户停电。</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三、较大大面积停电事件</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（一）</w:t>
      </w:r>
      <w:r>
        <w:rPr>
          <w:rFonts w:hint="eastAsia" w:ascii="仿宋" w:hAnsi="仿宋" w:eastAsia="仿宋" w:cs="仿宋"/>
          <w:sz w:val="32"/>
          <w:szCs w:val="32"/>
        </w:rPr>
        <w:t>内蒙古自治区电</w:t>
      </w:r>
      <w:r>
        <w:rPr>
          <w:rFonts w:hint="eastAsia" w:ascii="仿宋" w:hAnsi="仿宋" w:eastAsia="仿宋" w:cs="仿宋"/>
          <w:sz w:val="32"/>
          <w:szCs w:val="32"/>
          <w:lang w:val="en-US" w:eastAsia="zh-CN"/>
        </w:rPr>
        <w:t>网：负荷</w:t>
      </w:r>
      <w:r>
        <w:rPr>
          <w:rFonts w:hint="eastAsia" w:ascii="仿宋" w:hAnsi="仿宋" w:eastAsia="仿宋" w:cs="仿宋"/>
          <w:spacing w:val="-6"/>
          <w:sz w:val="32"/>
          <w:szCs w:val="32"/>
          <w:lang w:val="en-US" w:eastAsia="zh-CN"/>
        </w:rPr>
        <w:t>20000兆瓦以上减供负荷10%</w:t>
      </w:r>
      <w:r>
        <w:rPr>
          <w:rFonts w:hint="eastAsia" w:ascii="仿宋" w:hAnsi="仿宋" w:eastAsia="仿宋" w:cs="仿宋"/>
          <w:sz w:val="32"/>
          <w:szCs w:val="32"/>
          <w:lang w:val="en-US" w:eastAsia="zh-CN"/>
        </w:rPr>
        <w:t>以上13%以下，负荷5000兆瓦以上20000兆瓦以下减供负荷12%以上16%以下，负荷1000兆瓦以上5000兆瓦以下减供负荷20%以上50%以下，负荷1000兆瓦以下减供负荷40%以上。</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（二）呼和浩特市电网：减供负荷20%以上40%以下，或30%以上50%以下供电用户停电。</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w:t>
      </w:r>
      <w:r>
        <w:rPr>
          <w:rFonts w:hint="eastAsia" w:ascii="仿宋" w:hAnsi="仿宋" w:eastAsia="仿宋" w:cs="仿宋"/>
          <w:sz w:val="32"/>
          <w:szCs w:val="32"/>
        </w:rPr>
        <w:t>其他各盟市电网：</w:t>
      </w:r>
      <w:r>
        <w:rPr>
          <w:rFonts w:hint="eastAsia" w:ascii="仿宋" w:hAnsi="仿宋" w:eastAsia="仿宋" w:cs="仿宋"/>
          <w:sz w:val="32"/>
          <w:szCs w:val="32"/>
          <w:lang w:val="en-US" w:eastAsia="zh-CN"/>
        </w:rPr>
        <w:t>负荷600兆瓦以上的减供负荷40%以上60%以下，或50%以上70%以下供电用户停电；负荷600兆瓦以下的减供负荷40%以上，或50%以上供电用户停电。</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（四）县级市电网：负</w:t>
      </w:r>
      <w:r>
        <w:rPr>
          <w:rFonts w:hint="eastAsia" w:ascii="仿宋" w:hAnsi="仿宋" w:eastAsia="仿宋" w:cs="仿宋"/>
          <w:sz w:val="32"/>
          <w:szCs w:val="32"/>
        </w:rPr>
        <w:t>荷150兆瓦以上的减供负</w:t>
      </w:r>
      <w:r>
        <w:rPr>
          <w:rFonts w:hint="eastAsia" w:ascii="仿宋" w:hAnsi="仿宋" w:eastAsia="仿宋" w:cs="仿宋"/>
          <w:spacing w:val="6"/>
          <w:sz w:val="32"/>
          <w:szCs w:val="32"/>
        </w:rPr>
        <w:t>荷60%以上，</w:t>
      </w:r>
      <w:r>
        <w:rPr>
          <w:rFonts w:hint="eastAsia" w:ascii="仿宋" w:hAnsi="仿宋" w:eastAsia="仿宋" w:cs="仿宋"/>
          <w:sz w:val="32"/>
          <w:szCs w:val="32"/>
        </w:rPr>
        <w:t>或70%以上供电用户停电。</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四、一般大面积停电事件</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（一）内蒙古自治区电网：负荷20000兆瓦以上减供负荷5%</w:t>
      </w:r>
      <w:r>
        <w:rPr>
          <w:rFonts w:hint="eastAsia" w:ascii="仿宋" w:hAnsi="仿宋" w:eastAsia="仿宋" w:cs="仿宋"/>
          <w:spacing w:val="11"/>
          <w:sz w:val="32"/>
          <w:szCs w:val="32"/>
          <w:lang w:val="en-US" w:eastAsia="zh-CN"/>
        </w:rPr>
        <w:t>以上10%以下，负荷5000兆瓦以上20000兆瓦以下减供负荷6%以上12%以下，负荷1000兆瓦以上5000兆瓦以下减供负荷10%以上20%以下，负荷1000兆瓦以下减供负荷25%以上40%以下。</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（二）呼和浩特市电网：减供负荷10%以上20%以下，或15%以上30%以下供电用户停电。</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（三）其他盟市电网：减供负荷20%以上40%以下，或30%以上50%以下供电用户停电。</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（四）</w:t>
      </w:r>
      <w:r>
        <w:rPr>
          <w:rFonts w:hint="eastAsia" w:ascii="仿宋" w:hAnsi="仿宋" w:eastAsia="仿宋" w:cs="仿宋"/>
          <w:spacing w:val="11"/>
          <w:sz w:val="32"/>
          <w:szCs w:val="32"/>
          <w:lang w:val="en-US" w:eastAsia="zh-CN"/>
        </w:rPr>
        <w:t>县级市电网：负荷150兆瓦以上的减供负荷40%以上</w:t>
      </w:r>
      <w:r>
        <w:rPr>
          <w:rFonts w:hint="eastAsia" w:ascii="仿宋" w:hAnsi="仿宋" w:eastAsia="仿宋" w:cs="仿宋"/>
          <w:sz w:val="32"/>
          <w:szCs w:val="32"/>
          <w:lang w:val="en-US" w:eastAsia="zh-CN"/>
        </w:rPr>
        <w:t>60%以下，或50%以上70%以下供电用户停电；负荷150兆瓦以下的减供负荷40%以上，或50%以上供电用户停电。</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上述分级标准有关数量的表述中，</w:t>
      </w:r>
      <w:r>
        <w:rPr>
          <w:rFonts w:hint="eastAsia" w:ascii="仿宋" w:hAnsi="仿宋" w:eastAsia="仿宋" w:cs="仿宋"/>
          <w:sz w:val="32"/>
          <w:szCs w:val="32"/>
          <w:lang w:eastAsia="zh-CN"/>
        </w:rPr>
        <w:t>“</w:t>
      </w:r>
      <w:r>
        <w:rPr>
          <w:rFonts w:hint="eastAsia" w:ascii="仿宋" w:hAnsi="仿宋" w:eastAsia="仿宋" w:cs="仿宋"/>
          <w:sz w:val="32"/>
          <w:szCs w:val="32"/>
        </w:rPr>
        <w:t>以上</w:t>
      </w:r>
      <w:r>
        <w:rPr>
          <w:rFonts w:hint="eastAsia" w:ascii="仿宋" w:hAnsi="仿宋" w:eastAsia="仿宋" w:cs="仿宋"/>
          <w:sz w:val="32"/>
          <w:szCs w:val="32"/>
          <w:lang w:eastAsia="zh-CN"/>
        </w:rPr>
        <w:t>”</w:t>
      </w:r>
      <w:r>
        <w:rPr>
          <w:rFonts w:hint="eastAsia" w:ascii="仿宋" w:hAnsi="仿宋" w:eastAsia="仿宋" w:cs="仿宋"/>
          <w:sz w:val="32"/>
          <w:szCs w:val="32"/>
        </w:rPr>
        <w:t>含本数，</w:t>
      </w:r>
      <w:r>
        <w:rPr>
          <w:rFonts w:hint="eastAsia" w:ascii="仿宋" w:hAnsi="仿宋" w:eastAsia="仿宋" w:cs="仿宋"/>
          <w:sz w:val="32"/>
          <w:szCs w:val="32"/>
          <w:lang w:eastAsia="zh-CN"/>
        </w:rPr>
        <w:t>“</w:t>
      </w:r>
      <w:r>
        <w:rPr>
          <w:rFonts w:hint="eastAsia" w:ascii="仿宋" w:hAnsi="仿宋" w:eastAsia="仿宋" w:cs="仿宋"/>
          <w:sz w:val="32"/>
          <w:szCs w:val="32"/>
        </w:rPr>
        <w:t>以下</w:t>
      </w:r>
      <w:r>
        <w:rPr>
          <w:rFonts w:hint="eastAsia" w:ascii="仿宋" w:hAnsi="仿宋" w:eastAsia="仿宋" w:cs="仿宋"/>
          <w:sz w:val="32"/>
          <w:szCs w:val="32"/>
          <w:lang w:eastAsia="zh-CN"/>
        </w:rPr>
        <w:t>”</w:t>
      </w:r>
      <w:r>
        <w:rPr>
          <w:rFonts w:hint="eastAsia" w:ascii="仿宋" w:hAnsi="仿宋" w:eastAsia="仿宋" w:cs="仿宋"/>
          <w:sz w:val="32"/>
          <w:szCs w:val="32"/>
        </w:rPr>
        <w:t>不含本数。</w:t>
      </w:r>
      <w:bookmarkStart w:id="44" w:name="_Toc7469"/>
    </w:p>
    <w:p>
      <w:pPr>
        <w:keepNext w:val="0"/>
        <w:keepLines w:val="0"/>
        <w:pageBreakBefore w:val="0"/>
        <w:widowControl w:val="0"/>
        <w:kinsoku/>
        <w:wordWrap/>
        <w:overflowPunct/>
        <w:topLinePunct/>
        <w:autoSpaceDE/>
        <w:autoSpaceDN/>
        <w:bidi w:val="0"/>
        <w:adjustRightInd/>
        <w:snapToGrid/>
        <w:spacing w:line="580" w:lineRule="exact"/>
        <w:textAlignment w:val="auto"/>
        <w:rPr>
          <w:rFonts w:hint="eastAsia" w:ascii="仿宋" w:hAnsi="仿宋" w:eastAsia="仿宋" w:cs="仿宋"/>
          <w:sz w:val="32"/>
          <w:szCs w:val="32"/>
        </w:rPr>
      </w:pPr>
    </w:p>
    <w:p>
      <w:pPr>
        <w:keepNext w:val="0"/>
        <w:keepLines w:val="0"/>
        <w:pageBreakBefore w:val="0"/>
        <w:widowControl w:val="0"/>
        <w:kinsoku/>
        <w:wordWrap/>
        <w:overflowPunct/>
        <w:topLinePunct/>
        <w:autoSpaceDE/>
        <w:autoSpaceDN/>
        <w:bidi w:val="0"/>
        <w:adjustRightInd/>
        <w:snapToGrid/>
        <w:spacing w:line="580" w:lineRule="exact"/>
        <w:textAlignment w:val="auto"/>
        <w:rPr>
          <w:rFonts w:hint="eastAsia" w:ascii="仿宋" w:hAnsi="仿宋" w:eastAsia="仿宋" w:cs="仿宋"/>
          <w:sz w:val="32"/>
          <w:szCs w:val="32"/>
        </w:rPr>
      </w:pPr>
    </w:p>
    <w:p>
      <w:pPr>
        <w:keepNext w:val="0"/>
        <w:keepLines w:val="0"/>
        <w:pageBreakBefore w:val="0"/>
        <w:widowControl w:val="0"/>
        <w:kinsoku/>
        <w:wordWrap/>
        <w:overflowPunct/>
        <w:topLinePunct/>
        <w:autoSpaceDE/>
        <w:autoSpaceDN/>
        <w:bidi w:val="0"/>
        <w:adjustRightInd/>
        <w:snapToGrid/>
        <w:spacing w:line="580" w:lineRule="exact"/>
        <w:textAlignment w:val="auto"/>
        <w:rPr>
          <w:rFonts w:hint="eastAsia" w:ascii="仿宋" w:hAnsi="仿宋" w:eastAsia="仿宋" w:cs="仿宋"/>
          <w:sz w:val="32"/>
          <w:szCs w:val="32"/>
        </w:rPr>
      </w:pPr>
    </w:p>
    <w:p>
      <w:pPr>
        <w:keepNext w:val="0"/>
        <w:keepLines w:val="0"/>
        <w:pageBreakBefore w:val="0"/>
        <w:widowControl w:val="0"/>
        <w:kinsoku/>
        <w:wordWrap/>
        <w:overflowPunct/>
        <w:topLinePunct/>
        <w:autoSpaceDE/>
        <w:autoSpaceDN/>
        <w:bidi w:val="0"/>
        <w:adjustRightInd/>
        <w:snapToGrid/>
        <w:spacing w:line="580" w:lineRule="exact"/>
        <w:textAlignment w:val="auto"/>
        <w:rPr>
          <w:rFonts w:hint="eastAsia" w:ascii="仿宋" w:hAnsi="仿宋" w:eastAsia="仿宋" w:cs="仿宋"/>
          <w:sz w:val="32"/>
          <w:szCs w:val="32"/>
        </w:rPr>
      </w:pPr>
    </w:p>
    <w:p>
      <w:pPr>
        <w:keepNext w:val="0"/>
        <w:keepLines w:val="0"/>
        <w:pageBreakBefore w:val="0"/>
        <w:widowControl w:val="0"/>
        <w:kinsoku/>
        <w:wordWrap/>
        <w:overflowPunct/>
        <w:topLinePunct/>
        <w:autoSpaceDE/>
        <w:autoSpaceDN/>
        <w:bidi w:val="0"/>
        <w:adjustRightInd/>
        <w:snapToGrid/>
        <w:spacing w:line="580" w:lineRule="exact"/>
        <w:textAlignment w:val="auto"/>
        <w:rPr>
          <w:rFonts w:hint="eastAsia" w:ascii="仿宋" w:hAnsi="仿宋" w:eastAsia="仿宋" w:cs="仿宋"/>
          <w:sz w:val="32"/>
          <w:szCs w:val="32"/>
        </w:rPr>
      </w:pPr>
    </w:p>
    <w:p>
      <w:pPr>
        <w:keepNext w:val="0"/>
        <w:keepLines w:val="0"/>
        <w:pageBreakBefore w:val="0"/>
        <w:widowControl w:val="0"/>
        <w:kinsoku/>
        <w:wordWrap/>
        <w:overflowPunct/>
        <w:topLinePunct/>
        <w:autoSpaceDE/>
        <w:autoSpaceDN/>
        <w:bidi w:val="0"/>
        <w:adjustRightInd/>
        <w:snapToGrid/>
        <w:spacing w:line="580" w:lineRule="exact"/>
        <w:textAlignment w:val="auto"/>
        <w:rPr>
          <w:rFonts w:hint="eastAsia" w:ascii="仿宋" w:hAnsi="仿宋" w:eastAsia="仿宋" w:cs="仿宋"/>
          <w:sz w:val="32"/>
          <w:szCs w:val="32"/>
        </w:rPr>
      </w:pPr>
    </w:p>
    <w:p>
      <w:pPr>
        <w:keepNext w:val="0"/>
        <w:keepLines w:val="0"/>
        <w:pageBreakBefore w:val="0"/>
        <w:widowControl w:val="0"/>
        <w:kinsoku/>
        <w:wordWrap/>
        <w:overflowPunct/>
        <w:topLinePunct/>
        <w:autoSpaceDE/>
        <w:autoSpaceDN/>
        <w:bidi w:val="0"/>
        <w:adjustRightInd/>
        <w:snapToGrid/>
        <w:spacing w:line="580" w:lineRule="exact"/>
        <w:textAlignment w:val="auto"/>
        <w:rPr>
          <w:rFonts w:hint="eastAsia" w:ascii="仿宋" w:hAnsi="仿宋" w:eastAsia="仿宋" w:cs="仿宋"/>
          <w:sz w:val="32"/>
          <w:szCs w:val="32"/>
        </w:rPr>
      </w:pPr>
    </w:p>
    <w:p>
      <w:pPr>
        <w:keepNext w:val="0"/>
        <w:keepLines w:val="0"/>
        <w:pageBreakBefore w:val="0"/>
        <w:widowControl w:val="0"/>
        <w:kinsoku/>
        <w:wordWrap/>
        <w:overflowPunct/>
        <w:topLinePunct/>
        <w:autoSpaceDE/>
        <w:autoSpaceDN/>
        <w:bidi w:val="0"/>
        <w:adjustRightInd/>
        <w:snapToGrid/>
        <w:spacing w:line="580" w:lineRule="exact"/>
        <w:textAlignment w:val="auto"/>
        <w:rPr>
          <w:rFonts w:hint="eastAsia" w:ascii="仿宋" w:hAnsi="仿宋" w:eastAsia="仿宋" w:cs="仿宋"/>
          <w:sz w:val="32"/>
          <w:szCs w:val="32"/>
        </w:rPr>
      </w:pPr>
    </w:p>
    <w:p>
      <w:pPr>
        <w:keepNext w:val="0"/>
        <w:keepLines w:val="0"/>
        <w:pageBreakBefore w:val="0"/>
        <w:widowControl w:val="0"/>
        <w:kinsoku/>
        <w:wordWrap/>
        <w:overflowPunct/>
        <w:topLinePunct/>
        <w:autoSpaceDE/>
        <w:autoSpaceDN/>
        <w:bidi w:val="0"/>
        <w:adjustRightInd/>
        <w:snapToGrid/>
        <w:spacing w:line="580" w:lineRule="exact"/>
        <w:textAlignment w:val="auto"/>
        <w:rPr>
          <w:rFonts w:hint="eastAsia" w:ascii="仿宋" w:hAnsi="仿宋" w:eastAsia="仿宋" w:cs="仿宋"/>
          <w:sz w:val="32"/>
          <w:szCs w:val="32"/>
        </w:rPr>
      </w:pPr>
    </w:p>
    <w:p>
      <w:pPr>
        <w:keepNext w:val="0"/>
        <w:keepLines w:val="0"/>
        <w:pageBreakBefore w:val="0"/>
        <w:widowControl w:val="0"/>
        <w:kinsoku/>
        <w:wordWrap/>
        <w:overflowPunct/>
        <w:topLinePunct/>
        <w:autoSpaceDE/>
        <w:autoSpaceDN/>
        <w:bidi w:val="0"/>
        <w:adjustRightInd/>
        <w:snapToGrid/>
        <w:spacing w:line="580" w:lineRule="exact"/>
        <w:textAlignment w:val="auto"/>
        <w:rPr>
          <w:rFonts w:hint="eastAsia" w:ascii="仿宋" w:hAnsi="仿宋" w:eastAsia="仿宋" w:cs="仿宋"/>
          <w:sz w:val="32"/>
          <w:szCs w:val="32"/>
        </w:rPr>
      </w:pPr>
    </w:p>
    <w:p>
      <w:pPr>
        <w:keepNext w:val="0"/>
        <w:keepLines w:val="0"/>
        <w:pageBreakBefore w:val="0"/>
        <w:widowControl w:val="0"/>
        <w:kinsoku/>
        <w:wordWrap/>
        <w:overflowPunct/>
        <w:topLinePunct/>
        <w:autoSpaceDE/>
        <w:autoSpaceDN/>
        <w:bidi w:val="0"/>
        <w:adjustRightInd/>
        <w:snapToGrid/>
        <w:spacing w:line="580" w:lineRule="exact"/>
        <w:textAlignment w:val="auto"/>
        <w:rPr>
          <w:rFonts w:hint="eastAsia" w:ascii="仿宋" w:hAnsi="仿宋" w:eastAsia="仿宋" w:cs="仿宋"/>
          <w:sz w:val="32"/>
          <w:szCs w:val="32"/>
        </w:rPr>
      </w:pPr>
    </w:p>
    <w:p>
      <w:pPr>
        <w:keepNext w:val="0"/>
        <w:keepLines w:val="0"/>
        <w:pageBreakBefore w:val="0"/>
        <w:widowControl w:val="0"/>
        <w:kinsoku/>
        <w:wordWrap/>
        <w:overflowPunct/>
        <w:topLinePunct/>
        <w:autoSpaceDE/>
        <w:autoSpaceDN/>
        <w:bidi w:val="0"/>
        <w:adjustRightInd/>
        <w:snapToGrid/>
        <w:spacing w:line="580" w:lineRule="exact"/>
        <w:textAlignment w:val="auto"/>
        <w:rPr>
          <w:rFonts w:hint="eastAsia" w:ascii="仿宋" w:hAnsi="仿宋" w:eastAsia="仿宋" w:cs="仿宋"/>
          <w:sz w:val="32"/>
          <w:szCs w:val="32"/>
        </w:rPr>
      </w:pPr>
    </w:p>
    <w:p>
      <w:pPr>
        <w:keepNext w:val="0"/>
        <w:keepLines w:val="0"/>
        <w:pageBreakBefore w:val="0"/>
        <w:widowControl w:val="0"/>
        <w:kinsoku/>
        <w:wordWrap/>
        <w:overflowPunct/>
        <w:topLinePunct/>
        <w:autoSpaceDE/>
        <w:autoSpaceDN/>
        <w:bidi w:val="0"/>
        <w:adjustRightInd/>
        <w:snapToGrid/>
        <w:spacing w:line="580" w:lineRule="exact"/>
        <w:textAlignment w:val="auto"/>
        <w:rPr>
          <w:rFonts w:hint="eastAsia" w:ascii="仿宋" w:hAnsi="仿宋" w:eastAsia="仿宋" w:cs="仿宋"/>
          <w:sz w:val="32"/>
          <w:szCs w:val="32"/>
        </w:rPr>
      </w:pPr>
    </w:p>
    <w:p>
      <w:pPr>
        <w:pStyle w:val="2"/>
        <w:rPr>
          <w:rFonts w:hint="eastAsia" w:ascii="仿宋" w:hAnsi="仿宋" w:eastAsia="仿宋" w:cs="仿宋"/>
          <w:sz w:val="32"/>
          <w:szCs w:val="32"/>
        </w:rPr>
      </w:pPr>
    </w:p>
    <w:p>
      <w:pPr>
        <w:rPr>
          <w:rFonts w:hint="eastAsia"/>
        </w:rPr>
      </w:pPr>
    </w:p>
    <w:p>
      <w:pPr>
        <w:keepNext w:val="0"/>
        <w:keepLines w:val="0"/>
        <w:pageBreakBefore w:val="0"/>
        <w:widowControl w:val="0"/>
        <w:kinsoku/>
        <w:wordWrap/>
        <w:overflowPunct/>
        <w:topLinePunct/>
        <w:autoSpaceDE/>
        <w:autoSpaceDN/>
        <w:bidi w:val="0"/>
        <w:adjustRightInd/>
        <w:snapToGrid/>
        <w:spacing w:line="580" w:lineRule="exact"/>
        <w:textAlignment w:val="auto"/>
        <w:rPr>
          <w:rFonts w:hint="eastAsia" w:ascii="仿宋" w:hAnsi="仿宋" w:eastAsia="仿宋" w:cs="仿宋"/>
          <w:sz w:val="32"/>
          <w:szCs w:val="32"/>
        </w:rPr>
      </w:pPr>
    </w:p>
    <w:p>
      <w:pPr>
        <w:keepNext w:val="0"/>
        <w:keepLines w:val="0"/>
        <w:pageBreakBefore w:val="0"/>
        <w:widowControl w:val="0"/>
        <w:kinsoku/>
        <w:wordWrap/>
        <w:overflowPunct/>
        <w:topLinePunct/>
        <w:autoSpaceDE/>
        <w:autoSpaceDN/>
        <w:bidi w:val="0"/>
        <w:adjustRightInd/>
        <w:snapToGrid/>
        <w:spacing w:line="580" w:lineRule="exact"/>
        <w:textAlignment w:val="auto"/>
        <w:rPr>
          <w:rFonts w:hint="eastAsia" w:ascii="仿宋" w:hAnsi="仿宋" w:eastAsia="仿宋" w:cs="仿宋"/>
          <w:sz w:val="32"/>
          <w:szCs w:val="32"/>
        </w:rPr>
      </w:pPr>
    </w:p>
    <w:p>
      <w:pPr>
        <w:keepNext w:val="0"/>
        <w:keepLines w:val="0"/>
        <w:pageBreakBefore w:val="0"/>
        <w:widowControl w:val="0"/>
        <w:kinsoku/>
        <w:wordWrap/>
        <w:overflowPunct/>
        <w:topLinePunct/>
        <w:autoSpaceDE/>
        <w:autoSpaceDN/>
        <w:bidi w:val="0"/>
        <w:adjustRightInd/>
        <w:snapToGrid/>
        <w:spacing w:line="580" w:lineRule="exact"/>
        <w:textAlignment w:val="auto"/>
        <w:rPr>
          <w:rFonts w:hint="eastAsia" w:ascii="仿宋" w:hAnsi="仿宋" w:eastAsia="仿宋" w:cs="仿宋"/>
          <w:sz w:val="32"/>
          <w:szCs w:val="32"/>
        </w:rPr>
      </w:pPr>
    </w:p>
    <w:p>
      <w:pPr>
        <w:keepNext w:val="0"/>
        <w:keepLines w:val="0"/>
        <w:pageBreakBefore w:val="0"/>
        <w:widowControl w:val="0"/>
        <w:kinsoku/>
        <w:wordWrap/>
        <w:overflowPunct/>
        <w:topLinePunct/>
        <w:autoSpaceDE/>
        <w:autoSpaceDN/>
        <w:bidi w:val="0"/>
        <w:adjustRightInd/>
        <w:snapToGrid/>
        <w:spacing w:line="580" w:lineRule="exact"/>
        <w:textAlignment w:val="auto"/>
        <w:rPr>
          <w:rFonts w:hint="eastAsia" w:ascii="仿宋" w:hAnsi="仿宋" w:eastAsia="仿宋" w:cs="仿宋"/>
          <w:sz w:val="32"/>
          <w:szCs w:val="32"/>
        </w:rPr>
      </w:pPr>
    </w:p>
    <w:p>
      <w:pPr>
        <w:keepNext w:val="0"/>
        <w:keepLines w:val="0"/>
        <w:pageBreakBefore w:val="0"/>
        <w:widowControl w:val="0"/>
        <w:kinsoku/>
        <w:wordWrap/>
        <w:overflowPunct/>
        <w:topLinePunct/>
        <w:autoSpaceDE/>
        <w:autoSpaceDN/>
        <w:bidi w:val="0"/>
        <w:adjustRightInd/>
        <w:snapToGrid/>
        <w:spacing w:line="240" w:lineRule="auto"/>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574665" cy="8098790"/>
            <wp:effectExtent l="0" t="0" r="6985" b="16510"/>
            <wp:docPr id="3" name="图片 6" descr="页面提取自－内政办发32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页面提取自－内政办发32号"/>
                    <pic:cNvPicPr>
                      <a:picLocks noChangeAspect="1"/>
                    </pic:cNvPicPr>
                  </pic:nvPicPr>
                  <pic:blipFill>
                    <a:blip r:embed="rId8"/>
                    <a:stretch>
                      <a:fillRect/>
                    </a:stretch>
                  </pic:blipFill>
                  <pic:spPr>
                    <a:xfrm>
                      <a:off x="0" y="0"/>
                      <a:ext cx="5574665" cy="8098790"/>
                    </a:xfrm>
                    <a:prstGeom prst="rect">
                      <a:avLst/>
                    </a:prstGeom>
                    <a:noFill/>
                    <a:ln>
                      <a:noFill/>
                    </a:ln>
                  </pic:spPr>
                </pic:pic>
              </a:graphicData>
            </a:graphic>
          </wp:inline>
        </w:drawing>
      </w:r>
    </w:p>
    <w:p>
      <w:pPr>
        <w:keepNext w:val="0"/>
        <w:keepLines w:val="0"/>
        <w:pageBreakBefore w:val="0"/>
        <w:widowControl w:val="0"/>
        <w:kinsoku/>
        <w:wordWrap/>
        <w:overflowPunct/>
        <w:topLinePunct/>
        <w:autoSpaceDE/>
        <w:autoSpaceDN/>
        <w:bidi w:val="0"/>
        <w:adjustRightInd/>
        <w:snapToGrid/>
        <w:spacing w:line="580" w:lineRule="exact"/>
        <w:textAlignment w:val="auto"/>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3</w:t>
      </w:r>
      <w:bookmarkEnd w:id="44"/>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eastAsia="zh-CN"/>
        </w:rPr>
      </w:pPr>
    </w:p>
    <w:p>
      <w:pPr>
        <w:keepNext w:val="0"/>
        <w:keepLines w:val="0"/>
        <w:pageBreakBefore w:val="0"/>
        <w:widowControl w:val="0"/>
        <w:kinsoku/>
        <w:wordWrap/>
        <w:overflowPunct/>
        <w:topLinePunct/>
        <w:autoSpaceDE/>
        <w:autoSpaceDN/>
        <w:bidi w:val="0"/>
        <w:adjustRightInd/>
        <w:snapToGrid/>
        <w:spacing w:line="58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内蒙古自治区大面积停电</w:t>
      </w:r>
    </w:p>
    <w:p>
      <w:pPr>
        <w:keepNext w:val="0"/>
        <w:keepLines w:val="0"/>
        <w:pageBreakBefore w:val="0"/>
        <w:widowControl w:val="0"/>
        <w:kinsoku/>
        <w:wordWrap/>
        <w:overflowPunct/>
        <w:topLinePunct/>
        <w:autoSpaceDE/>
        <w:autoSpaceDN/>
        <w:bidi w:val="0"/>
        <w:adjustRightInd/>
        <w:snapToGrid/>
        <w:spacing w:line="58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事件应急指挥部组成及工作职责</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rPr>
      </w:pP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w:t>
      </w:r>
      <w:r>
        <w:rPr>
          <w:rFonts w:hint="eastAsia" w:ascii="黑体" w:hAnsi="黑体" w:eastAsia="黑体" w:cs="黑体"/>
          <w:sz w:val="32"/>
          <w:szCs w:val="32"/>
          <w:lang w:val="en-US" w:eastAsia="zh-CN"/>
        </w:rPr>
        <w:t>自治区大面积停电事件应急</w:t>
      </w:r>
      <w:r>
        <w:rPr>
          <w:rFonts w:hint="eastAsia" w:ascii="黑体" w:hAnsi="黑体" w:eastAsia="黑体" w:cs="黑体"/>
          <w:sz w:val="32"/>
          <w:szCs w:val="32"/>
        </w:rPr>
        <w:t>指挥部</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一</w:t>
      </w: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指挥部组成</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楷体" w:hAnsi="楷体" w:eastAsia="楷体" w:cs="楷体"/>
          <w:sz w:val="32"/>
          <w:szCs w:val="32"/>
          <w:lang w:eastAsia="zh-CN"/>
        </w:rPr>
        <w:t>指 挥 长：</w:t>
      </w:r>
      <w:r>
        <w:rPr>
          <w:rFonts w:hint="eastAsia" w:ascii="仿宋" w:hAnsi="仿宋" w:eastAsia="仿宋" w:cs="仿宋"/>
          <w:sz w:val="32"/>
          <w:szCs w:val="32"/>
        </w:rPr>
        <w:t>自治区</w:t>
      </w:r>
      <w:r>
        <w:rPr>
          <w:rFonts w:hint="eastAsia" w:ascii="仿宋" w:hAnsi="仿宋" w:eastAsia="仿宋" w:cs="仿宋"/>
          <w:sz w:val="32"/>
          <w:szCs w:val="32"/>
          <w:lang w:eastAsia="zh-CN"/>
        </w:rPr>
        <w:t>人民政府</w:t>
      </w:r>
      <w:r>
        <w:rPr>
          <w:rFonts w:hint="eastAsia" w:ascii="仿宋" w:hAnsi="仿宋" w:eastAsia="仿宋" w:cs="仿宋"/>
          <w:sz w:val="32"/>
          <w:szCs w:val="32"/>
        </w:rPr>
        <w:t>分管副主席</w:t>
      </w:r>
    </w:p>
    <w:p>
      <w:pPr>
        <w:keepNext w:val="0"/>
        <w:keepLines w:val="0"/>
        <w:pageBreakBefore w:val="0"/>
        <w:widowControl w:val="0"/>
        <w:kinsoku/>
        <w:wordWrap/>
        <w:overflowPunct/>
        <w:topLinePunct/>
        <w:autoSpaceDE/>
        <w:autoSpaceDN/>
        <w:bidi w:val="0"/>
        <w:adjustRightInd/>
        <w:snapToGrid/>
        <w:spacing w:line="580" w:lineRule="exact"/>
        <w:ind w:left="2238" w:leftChars="304" w:hanging="1600" w:hangingChars="500"/>
        <w:textAlignment w:val="auto"/>
        <w:rPr>
          <w:rFonts w:hint="eastAsia" w:ascii="仿宋" w:hAnsi="仿宋" w:eastAsia="仿宋" w:cs="仿宋"/>
          <w:sz w:val="32"/>
          <w:szCs w:val="32"/>
          <w:lang w:val="en-US" w:eastAsia="zh-CN"/>
        </w:rPr>
      </w:pPr>
      <w:r>
        <w:rPr>
          <w:rFonts w:hint="eastAsia" w:ascii="楷体" w:hAnsi="楷体" w:eastAsia="楷体" w:cs="楷体"/>
          <w:sz w:val="32"/>
          <w:szCs w:val="32"/>
          <w:lang w:eastAsia="zh-CN"/>
        </w:rPr>
        <w:t>副指挥长：</w:t>
      </w:r>
      <w:r>
        <w:rPr>
          <w:rFonts w:hint="eastAsia" w:ascii="仿宋" w:hAnsi="仿宋" w:eastAsia="仿宋" w:cs="仿宋"/>
          <w:sz w:val="32"/>
          <w:szCs w:val="32"/>
        </w:rPr>
        <w:t>自治区人民政府</w:t>
      </w:r>
      <w:r>
        <w:rPr>
          <w:rFonts w:hint="eastAsia" w:ascii="仿宋" w:hAnsi="仿宋" w:eastAsia="仿宋" w:cs="仿宋"/>
          <w:sz w:val="32"/>
          <w:szCs w:val="32"/>
          <w:lang w:eastAsia="zh-CN"/>
        </w:rPr>
        <w:t>相关</w:t>
      </w:r>
      <w:r>
        <w:rPr>
          <w:rFonts w:hint="eastAsia" w:ascii="仿宋" w:hAnsi="仿宋" w:eastAsia="仿宋" w:cs="仿宋"/>
          <w:sz w:val="32"/>
          <w:szCs w:val="32"/>
        </w:rPr>
        <w:t>副秘书长</w:t>
      </w:r>
      <w:r>
        <w:rPr>
          <w:rFonts w:hint="eastAsia" w:ascii="仿宋" w:hAnsi="仿宋" w:eastAsia="仿宋" w:cs="仿宋"/>
          <w:sz w:val="32"/>
          <w:szCs w:val="32"/>
          <w:lang w:val="en-US" w:eastAsia="zh-CN"/>
        </w:rPr>
        <w:t>或自治区人民政府办公厅分管副主任</w:t>
      </w:r>
    </w:p>
    <w:p>
      <w:pPr>
        <w:keepNext w:val="0"/>
        <w:keepLines w:val="0"/>
        <w:pageBreakBefore w:val="0"/>
        <w:widowControl w:val="0"/>
        <w:kinsoku/>
        <w:wordWrap/>
        <w:overflowPunct/>
        <w:topLinePunct/>
        <w:autoSpaceDE/>
        <w:autoSpaceDN/>
        <w:bidi w:val="0"/>
        <w:adjustRightInd/>
        <w:snapToGrid/>
        <w:spacing w:line="580" w:lineRule="exact"/>
        <w:ind w:firstLine="2240" w:firstLineChars="700"/>
        <w:textAlignment w:val="auto"/>
        <w:rPr>
          <w:rFonts w:hint="eastAsia" w:ascii="仿宋" w:hAnsi="仿宋" w:eastAsia="仿宋" w:cs="仿宋"/>
          <w:sz w:val="32"/>
          <w:szCs w:val="32"/>
          <w:lang w:eastAsia="zh-CN"/>
        </w:rPr>
      </w:pPr>
      <w:r>
        <w:rPr>
          <w:rFonts w:hint="eastAsia" w:ascii="仿宋" w:hAnsi="仿宋" w:eastAsia="仿宋" w:cs="仿宋"/>
          <w:sz w:val="32"/>
          <w:szCs w:val="32"/>
        </w:rPr>
        <w:t>自治区</w:t>
      </w:r>
      <w:r>
        <w:rPr>
          <w:rFonts w:hint="eastAsia" w:ascii="仿宋" w:hAnsi="仿宋" w:eastAsia="仿宋" w:cs="仿宋"/>
          <w:sz w:val="32"/>
          <w:szCs w:val="32"/>
          <w:lang w:eastAsia="zh-CN"/>
        </w:rPr>
        <w:t>能源局局长</w:t>
      </w:r>
    </w:p>
    <w:p>
      <w:pPr>
        <w:keepNext w:val="0"/>
        <w:keepLines w:val="0"/>
        <w:pageBreakBefore w:val="0"/>
        <w:widowControl w:val="0"/>
        <w:kinsoku/>
        <w:wordWrap/>
        <w:overflowPunct/>
        <w:topLinePunct/>
        <w:autoSpaceDE/>
        <w:autoSpaceDN/>
        <w:bidi w:val="0"/>
        <w:adjustRightInd/>
        <w:snapToGrid/>
        <w:spacing w:line="580" w:lineRule="exact"/>
        <w:ind w:firstLine="2240" w:firstLineChars="700"/>
        <w:textAlignment w:val="auto"/>
        <w:rPr>
          <w:rFonts w:hint="eastAsia" w:ascii="仿宋" w:hAnsi="仿宋" w:eastAsia="仿宋" w:cs="仿宋"/>
          <w:sz w:val="32"/>
          <w:szCs w:val="32"/>
        </w:rPr>
      </w:pPr>
      <w:r>
        <w:rPr>
          <w:rFonts w:hint="eastAsia" w:ascii="仿宋" w:hAnsi="仿宋" w:eastAsia="仿宋" w:cs="仿宋"/>
          <w:sz w:val="32"/>
          <w:szCs w:val="32"/>
        </w:rPr>
        <w:t>国家能源局华北监管局局长</w:t>
      </w:r>
    </w:p>
    <w:p>
      <w:pPr>
        <w:keepNext w:val="0"/>
        <w:keepLines w:val="0"/>
        <w:pageBreakBefore w:val="0"/>
        <w:widowControl w:val="0"/>
        <w:kinsoku/>
        <w:wordWrap/>
        <w:overflowPunct/>
        <w:topLinePunct/>
        <w:autoSpaceDE/>
        <w:autoSpaceDN/>
        <w:bidi w:val="0"/>
        <w:adjustRightInd/>
        <w:snapToGrid/>
        <w:spacing w:line="580" w:lineRule="exact"/>
        <w:ind w:firstLine="2240" w:firstLineChars="700"/>
        <w:textAlignment w:val="auto"/>
        <w:rPr>
          <w:rFonts w:hint="eastAsia" w:ascii="仿宋" w:hAnsi="仿宋" w:eastAsia="仿宋" w:cs="仿宋"/>
          <w:sz w:val="32"/>
          <w:szCs w:val="32"/>
        </w:rPr>
      </w:pPr>
      <w:r>
        <w:rPr>
          <w:rFonts w:hint="eastAsia" w:ascii="仿宋" w:hAnsi="仿宋" w:eastAsia="仿宋" w:cs="仿宋"/>
          <w:sz w:val="32"/>
          <w:szCs w:val="32"/>
        </w:rPr>
        <w:t>国家能源局东北监管局局长</w:t>
      </w:r>
    </w:p>
    <w:p>
      <w:pPr>
        <w:keepNext w:val="0"/>
        <w:keepLines w:val="0"/>
        <w:pageBreakBefore w:val="0"/>
        <w:widowControl w:val="0"/>
        <w:kinsoku/>
        <w:wordWrap/>
        <w:overflowPunct/>
        <w:topLinePunct/>
        <w:autoSpaceDE/>
        <w:autoSpaceDN/>
        <w:bidi w:val="0"/>
        <w:adjustRightInd/>
        <w:snapToGrid/>
        <w:spacing w:line="580" w:lineRule="exact"/>
        <w:ind w:firstLine="2240" w:firstLineChars="700"/>
        <w:textAlignment w:val="auto"/>
        <w:rPr>
          <w:rFonts w:hint="eastAsia" w:ascii="仿宋" w:hAnsi="仿宋" w:eastAsia="仿宋" w:cs="仿宋"/>
          <w:sz w:val="32"/>
          <w:szCs w:val="32"/>
          <w:lang w:eastAsia="zh-CN"/>
        </w:rPr>
      </w:pPr>
      <w:r>
        <w:rPr>
          <w:rFonts w:hint="eastAsia" w:ascii="仿宋" w:hAnsi="仿宋" w:eastAsia="仿宋" w:cs="仿宋"/>
          <w:sz w:val="32"/>
          <w:szCs w:val="32"/>
        </w:rPr>
        <w:t>内蒙古电力（集团）有限责任公司</w:t>
      </w:r>
      <w:r>
        <w:rPr>
          <w:rFonts w:hint="eastAsia" w:ascii="仿宋" w:hAnsi="仿宋" w:eastAsia="仿宋" w:cs="仿宋"/>
          <w:sz w:val="32"/>
          <w:szCs w:val="32"/>
          <w:lang w:val="en-US" w:eastAsia="zh-CN"/>
        </w:rPr>
        <w:t>董事长</w:t>
      </w:r>
    </w:p>
    <w:p>
      <w:pPr>
        <w:keepNext w:val="0"/>
        <w:keepLines w:val="0"/>
        <w:pageBreakBefore w:val="0"/>
        <w:widowControl w:val="0"/>
        <w:kinsoku/>
        <w:wordWrap/>
        <w:overflowPunct/>
        <w:topLinePunct/>
        <w:autoSpaceDE/>
        <w:autoSpaceDN/>
        <w:bidi w:val="0"/>
        <w:adjustRightInd/>
        <w:snapToGrid/>
        <w:spacing w:line="580" w:lineRule="exact"/>
        <w:ind w:firstLine="2240" w:firstLineChars="700"/>
        <w:textAlignment w:val="auto"/>
        <w:rPr>
          <w:rFonts w:hint="eastAsia" w:ascii="仿宋" w:hAnsi="仿宋" w:eastAsia="仿宋" w:cs="仿宋"/>
          <w:sz w:val="32"/>
          <w:szCs w:val="32"/>
          <w:lang w:eastAsia="zh-CN"/>
        </w:rPr>
      </w:pPr>
      <w:r>
        <w:rPr>
          <w:rFonts w:hint="eastAsia" w:ascii="仿宋" w:hAnsi="仿宋" w:eastAsia="仿宋" w:cs="仿宋"/>
          <w:sz w:val="32"/>
          <w:szCs w:val="32"/>
        </w:rPr>
        <w:t>国网内蒙古东部电力有限公司</w:t>
      </w:r>
      <w:r>
        <w:rPr>
          <w:rFonts w:hint="eastAsia" w:ascii="仿宋" w:hAnsi="仿宋" w:eastAsia="仿宋" w:cs="仿宋"/>
          <w:sz w:val="32"/>
          <w:szCs w:val="32"/>
          <w:lang w:val="en-US" w:eastAsia="zh-CN"/>
        </w:rPr>
        <w:t>董事长</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楷体" w:hAnsi="楷体" w:eastAsia="楷体" w:cs="楷体"/>
          <w:sz w:val="32"/>
          <w:szCs w:val="32"/>
          <w:lang w:val="en-US" w:eastAsia="zh-CN"/>
        </w:rPr>
        <w:t>成　　员：</w:t>
      </w:r>
      <w:r>
        <w:rPr>
          <w:rFonts w:hint="eastAsia" w:ascii="仿宋" w:hAnsi="仿宋" w:eastAsia="仿宋" w:cs="仿宋"/>
          <w:sz w:val="32"/>
          <w:szCs w:val="32"/>
          <w:lang w:val="en-US" w:eastAsia="zh-CN"/>
        </w:rPr>
        <w:t>自治区党委宣传部、党委网信办、能源局、发展</w:t>
      </w:r>
      <w:r>
        <w:rPr>
          <w:rFonts w:hint="eastAsia" w:ascii="仿宋" w:hAnsi="仿宋" w:eastAsia="仿宋" w:cs="仿宋"/>
          <w:spacing w:val="-6"/>
          <w:sz w:val="32"/>
          <w:szCs w:val="32"/>
          <w:lang w:val="en-US" w:eastAsia="zh-CN"/>
        </w:rPr>
        <w:t>改革委、公安厅、民政厅、财政厅、自然资源厅、生态化环厅、</w:t>
      </w:r>
      <w:r>
        <w:rPr>
          <w:rFonts w:hint="eastAsia" w:ascii="仿宋" w:hAnsi="仿宋" w:eastAsia="仿宋" w:cs="仿宋"/>
          <w:sz w:val="32"/>
          <w:szCs w:val="32"/>
          <w:lang w:val="en-US" w:eastAsia="zh-CN"/>
        </w:rPr>
        <w:t>住房城乡建设厅、交通运输厅、水利厅、商务厅、卫生健康委、应急管理厅、广电局、林草局、粮食和储备局，内蒙古消防救援总队、内蒙古气象局、内蒙古地震局、内蒙古通信管理局、武警内蒙古总队、国家能源局华北监管局、国家能源局东北监管局、民航内蒙古安全监管局、</w:t>
      </w:r>
      <w:r>
        <w:rPr>
          <w:rFonts w:hint="eastAsia" w:ascii="仿宋" w:hAnsi="仿宋" w:eastAsia="仿宋" w:cs="仿宋"/>
          <w:sz w:val="32"/>
          <w:szCs w:val="32"/>
          <w:lang w:eastAsia="zh-CN"/>
        </w:rPr>
        <w:t>中国铁路呼和浩特局集团有限公司</w:t>
      </w:r>
      <w:r>
        <w:rPr>
          <w:rFonts w:hint="eastAsia" w:ascii="仿宋" w:hAnsi="仿宋" w:eastAsia="仿宋" w:cs="仿宋"/>
          <w:sz w:val="32"/>
          <w:szCs w:val="32"/>
          <w:lang w:val="en-US" w:eastAsia="zh-CN"/>
        </w:rPr>
        <w:t>、内蒙古民航机场集团有限责任公司、内蒙古电力（集团）有限责任公司、</w:t>
      </w:r>
      <w:r>
        <w:rPr>
          <w:rFonts w:hint="eastAsia" w:ascii="仿宋" w:hAnsi="仿宋" w:eastAsia="仿宋" w:cs="仿宋"/>
          <w:sz w:val="32"/>
          <w:szCs w:val="32"/>
        </w:rPr>
        <w:t>国网内蒙古东部电力有限公司</w:t>
      </w:r>
      <w:r>
        <w:rPr>
          <w:rFonts w:hint="eastAsia" w:ascii="仿宋" w:hAnsi="仿宋" w:eastAsia="仿宋" w:cs="仿宋"/>
          <w:sz w:val="32"/>
          <w:szCs w:val="32"/>
          <w:lang w:val="en-US" w:eastAsia="zh-CN"/>
        </w:rPr>
        <w:t>等部门单位和企业分管负责同志。根据应对处置工作需要，可增加有关盟行政公署、市人民政府，旗县（市、区）人民政府及其他相关部门单位、相关电力企业负责同志。</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自治区大面积停电应急组织指挥部办公室设在自治区</w:t>
      </w:r>
      <w:r>
        <w:rPr>
          <w:rFonts w:hint="eastAsia" w:ascii="仿宋" w:hAnsi="仿宋" w:eastAsia="仿宋" w:cs="仿宋"/>
          <w:sz w:val="32"/>
          <w:szCs w:val="32"/>
          <w:lang w:eastAsia="zh-CN"/>
        </w:rPr>
        <w:t>能源局</w:t>
      </w:r>
      <w:r>
        <w:rPr>
          <w:rFonts w:hint="eastAsia" w:ascii="仿宋" w:hAnsi="仿宋" w:eastAsia="仿宋" w:cs="仿宋"/>
          <w:sz w:val="32"/>
          <w:szCs w:val="32"/>
        </w:rPr>
        <w:t>，负责自治区大面积停电事件具体应对处置工作的指导协调和组织管理工作。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sz w:val="32"/>
          <w:szCs w:val="32"/>
          <w:lang w:eastAsia="zh-CN"/>
        </w:rPr>
      </w:pPr>
      <w:r>
        <w:rPr>
          <w:rFonts w:hint="eastAsia" w:ascii="楷体" w:hAnsi="楷体" w:eastAsia="楷体" w:cs="楷体"/>
          <w:sz w:val="32"/>
          <w:szCs w:val="32"/>
          <w:lang w:val="en-US" w:eastAsia="zh-CN"/>
        </w:rPr>
        <w:t>（二）主要</w:t>
      </w:r>
      <w:r>
        <w:rPr>
          <w:rFonts w:hint="eastAsia" w:ascii="楷体" w:hAnsi="楷体" w:eastAsia="楷体" w:cs="楷体"/>
          <w:sz w:val="32"/>
          <w:szCs w:val="32"/>
          <w:lang w:eastAsia="zh-CN"/>
        </w:rPr>
        <w:t>职责</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在自治区人民政府和国家应急指挥机构的领导下，统一实施自治区大面积停电应急处置、事故抢险、电网恢复等各项应急工</w:t>
      </w:r>
      <w:r>
        <w:rPr>
          <w:rFonts w:hint="eastAsia" w:ascii="仿宋" w:hAnsi="仿宋" w:eastAsia="仿宋" w:cs="仿宋"/>
          <w:spacing w:val="6"/>
          <w:sz w:val="32"/>
          <w:szCs w:val="32"/>
        </w:rPr>
        <w:t>作；协调自治区各相关地区、各</w:t>
      </w:r>
      <w:r>
        <w:rPr>
          <w:rFonts w:hint="eastAsia" w:ascii="仿宋" w:hAnsi="仿宋" w:eastAsia="仿宋" w:cs="仿宋"/>
          <w:spacing w:val="6"/>
          <w:sz w:val="32"/>
          <w:szCs w:val="32"/>
          <w:lang w:eastAsia="zh-CN"/>
        </w:rPr>
        <w:t>相关部门单位</w:t>
      </w:r>
      <w:r>
        <w:rPr>
          <w:rFonts w:hint="eastAsia" w:ascii="仿宋" w:hAnsi="仿宋" w:eastAsia="仿宋" w:cs="仿宋"/>
          <w:spacing w:val="6"/>
          <w:sz w:val="32"/>
          <w:szCs w:val="32"/>
        </w:rPr>
        <w:t>、各应急指挥机构</w:t>
      </w:r>
      <w:r>
        <w:rPr>
          <w:rFonts w:hint="eastAsia" w:ascii="仿宋" w:hAnsi="仿宋" w:eastAsia="仿宋" w:cs="仿宋"/>
          <w:sz w:val="32"/>
          <w:szCs w:val="32"/>
        </w:rPr>
        <w:t>之间的关系，协调与相关省（区、市）电力应急指挥机构的关</w:t>
      </w:r>
      <w:r>
        <w:rPr>
          <w:rFonts w:hint="eastAsia" w:ascii="仿宋" w:hAnsi="仿宋" w:eastAsia="仿宋" w:cs="仿宋"/>
          <w:spacing w:val="0"/>
          <w:sz w:val="32"/>
          <w:szCs w:val="32"/>
        </w:rPr>
        <w:t>系，协调指挥社会应急救援工作；研究重大应急决策和部署；</w:t>
      </w:r>
      <w:r>
        <w:rPr>
          <w:rFonts w:hint="eastAsia" w:ascii="仿宋" w:hAnsi="仿宋" w:eastAsia="仿宋" w:cs="仿宋"/>
          <w:spacing w:val="6"/>
          <w:sz w:val="32"/>
          <w:szCs w:val="32"/>
        </w:rPr>
        <w:t>决定调整相应级别和终止应急预案；配合国家大面积停电调查组工作。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黑体" w:hAnsi="黑体" w:eastAsia="黑体" w:cs="黑体"/>
          <w:sz w:val="32"/>
          <w:szCs w:val="32"/>
          <w:lang w:val="en-US" w:eastAsia="zh-CN"/>
        </w:rPr>
        <w:t>二、自治区指挥部专业组及职责</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自治区大面积停电事件应急</w:t>
      </w:r>
      <w:r>
        <w:rPr>
          <w:rFonts w:hint="eastAsia" w:ascii="仿宋" w:hAnsi="仿宋" w:eastAsia="仿宋" w:cs="仿宋"/>
          <w:sz w:val="32"/>
          <w:szCs w:val="32"/>
        </w:rPr>
        <w:t>指挥部</w:t>
      </w:r>
      <w:r>
        <w:rPr>
          <w:rFonts w:hint="eastAsia" w:ascii="仿宋" w:hAnsi="仿宋" w:eastAsia="仿宋" w:cs="仿宋"/>
          <w:sz w:val="32"/>
          <w:szCs w:val="32"/>
          <w:lang w:val="en-US" w:eastAsia="zh-CN"/>
        </w:rPr>
        <w:t>根据需要设立</w:t>
      </w:r>
      <w:r>
        <w:rPr>
          <w:rFonts w:hint="eastAsia" w:ascii="仿宋" w:hAnsi="仿宋" w:eastAsia="仿宋" w:cs="仿宋"/>
          <w:sz w:val="32"/>
          <w:szCs w:val="32"/>
        </w:rPr>
        <w:t>电力恢复组</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舆情信息</w:t>
      </w:r>
      <w:r>
        <w:rPr>
          <w:rFonts w:hint="eastAsia" w:ascii="仿宋" w:hAnsi="仿宋" w:eastAsia="仿宋" w:cs="仿宋"/>
          <w:sz w:val="32"/>
          <w:szCs w:val="32"/>
        </w:rPr>
        <w:t>组</w:t>
      </w:r>
      <w:r>
        <w:rPr>
          <w:rFonts w:hint="eastAsia" w:ascii="仿宋" w:hAnsi="仿宋" w:eastAsia="仿宋" w:cs="仿宋"/>
          <w:sz w:val="32"/>
          <w:szCs w:val="32"/>
          <w:lang w:eastAsia="zh-CN"/>
        </w:rPr>
        <w:t>、</w:t>
      </w:r>
      <w:r>
        <w:rPr>
          <w:rFonts w:hint="eastAsia" w:ascii="仿宋" w:hAnsi="仿宋" w:eastAsia="仿宋" w:cs="仿宋"/>
          <w:sz w:val="32"/>
          <w:szCs w:val="32"/>
        </w:rPr>
        <w:t>综合保障组</w:t>
      </w:r>
      <w:r>
        <w:rPr>
          <w:rFonts w:hint="eastAsia" w:ascii="仿宋" w:hAnsi="仿宋" w:eastAsia="仿宋" w:cs="仿宋"/>
          <w:sz w:val="32"/>
          <w:szCs w:val="32"/>
          <w:lang w:eastAsia="zh-CN"/>
        </w:rPr>
        <w:t>、</w:t>
      </w:r>
      <w:r>
        <w:rPr>
          <w:rFonts w:hint="eastAsia" w:ascii="仿宋" w:hAnsi="仿宋" w:eastAsia="仿宋" w:cs="仿宋"/>
          <w:sz w:val="32"/>
          <w:szCs w:val="32"/>
        </w:rPr>
        <w:t>社会治安组</w:t>
      </w:r>
      <w:r>
        <w:rPr>
          <w:rFonts w:hint="eastAsia" w:ascii="仿宋" w:hAnsi="仿宋" w:eastAsia="仿宋" w:cs="仿宋"/>
          <w:sz w:val="32"/>
          <w:szCs w:val="32"/>
          <w:lang w:val="en-US" w:eastAsia="zh-CN"/>
        </w:rPr>
        <w:t>4个专业工作组。各工作组成员及职责分工如下：</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（一）电力恢复组</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由自治区能源局牵头，自治区发展改革委、应急管理厅、公安厅、林草局，内蒙古地震局、内蒙古气象局、内蒙古消防救援总队、武警内蒙古总队、内蒙古电力（集团）有限责任公司、</w:t>
      </w:r>
      <w:r>
        <w:rPr>
          <w:rFonts w:hint="eastAsia" w:ascii="仿宋" w:hAnsi="仿宋" w:eastAsia="仿宋" w:cs="仿宋"/>
          <w:sz w:val="32"/>
          <w:szCs w:val="32"/>
          <w:lang w:eastAsia="zh-CN"/>
        </w:rPr>
        <w:t>国网内蒙古东部电力有限公司、</w:t>
      </w:r>
      <w:r>
        <w:rPr>
          <w:rFonts w:hint="eastAsia" w:ascii="仿宋" w:hAnsi="仿宋" w:eastAsia="仿宋" w:cs="仿宋"/>
          <w:sz w:val="32"/>
          <w:szCs w:val="32"/>
          <w:lang w:val="en-US" w:eastAsia="zh-CN"/>
        </w:rPr>
        <w:t>国家能源局华北监管局、国家能源局东北监管局等相关部门单位参加，视情况增加其他电力企业。</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主要职责：组织进行技术研判，开展事态分析；组织电力抢修恢复工作，尽快恢复受影响区域供电；做好重要电力用户、重点区域应急供电；组织跨区域的电力应急抢修协调工作；协调消防、武警有关力量参与应对。</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（二）综合保障组</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由自治区发展改革委、能源局牵头，自治区工业和信息化厅、公安厅、民政厅、财政厅、自然资源厅、生态环境厅、自治区住</w:t>
      </w:r>
      <w:r>
        <w:rPr>
          <w:rFonts w:hint="eastAsia" w:ascii="仿宋" w:hAnsi="仿宋" w:eastAsia="仿宋" w:cs="仿宋"/>
          <w:spacing w:val="11"/>
          <w:sz w:val="32"/>
          <w:szCs w:val="32"/>
          <w:lang w:val="en-US" w:eastAsia="zh-CN"/>
        </w:rPr>
        <w:t>房城乡建设厅、交通运输厅、水利厅、商务厅、卫生健康委、</w:t>
      </w:r>
      <w:r>
        <w:rPr>
          <w:rFonts w:hint="eastAsia" w:ascii="仿宋" w:hAnsi="仿宋" w:eastAsia="仿宋" w:cs="仿宋"/>
          <w:spacing w:val="6"/>
          <w:sz w:val="32"/>
          <w:szCs w:val="32"/>
          <w:lang w:val="en-US" w:eastAsia="zh-CN"/>
        </w:rPr>
        <w:t>应急管理厅、广电局、粮食和储备局，民航内蒙古安全监管局、中国铁路呼和浩特局集团有限公司、内蒙古民航机场集团有限责任公司、内蒙古电力（集团）有限责任公司、国网内蒙古东部电力有限公司等相关部门单位参加，视情况增加其他部门和企业。</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主要职责：落实应急人员、资金和物资；组织做好应急救援装备物资及生产生活物资的紧急生产、储备、调拨和紧急配送工作；及时组织调运基本生活必需品，保障群众基本生活和市场供</w:t>
      </w:r>
      <w:r>
        <w:rPr>
          <w:rFonts w:hint="eastAsia" w:ascii="仿宋" w:hAnsi="仿宋" w:eastAsia="仿宋" w:cs="仿宋"/>
          <w:spacing w:val="6"/>
          <w:sz w:val="32"/>
          <w:szCs w:val="32"/>
          <w:lang w:val="en-US" w:eastAsia="zh-CN"/>
        </w:rPr>
        <w:t>应；维护供水、供气、供热、通信、广播电视等设施正常运行；</w:t>
      </w:r>
      <w:r>
        <w:rPr>
          <w:rFonts w:hint="eastAsia" w:ascii="仿宋" w:hAnsi="仿宋" w:eastAsia="仿宋" w:cs="仿宋"/>
          <w:sz w:val="32"/>
          <w:szCs w:val="32"/>
          <w:lang w:val="en-US" w:eastAsia="zh-CN"/>
        </w:rPr>
        <w:t>维护防汛抗旱、水文监测、水文预警预报等设施正常运行；维护铁路、道路、民航等基本交通运行；督导受影响区域医疗卫生机构实施自保电应急启动和临时应急措施，保障医疗卫生服务，组织应急救护，保障人民群众生命安全。</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（三）舆情信息组</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由自治区党委宣传部牵头，自治区党委网信办、能源局、发展改革委、广电局、公安厅，国家能源局华北监管局、国家能源局东北监管局、内蒙古电力（集团）有限责任公司、国网内蒙古东部电力有限公司等相关部门单位参加。</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主要职责：组织开展事件进展、应急处置工作情况等权威信息发布，加强新闻宣传报道；收集分析舆情和社会公众动态，加强媒体和互联网管理，正确引导舆论；及时澄清不实信息，回应社会关切。</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（四）社会治安组</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由自治区公安厅牵头，自治区党委网信办、能源局、发展改革委、民政厅、商务厅、粮食和储备局，武警内蒙古总队等部门单位参加。</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主要职责：加强对重点区域、重点单位的警戒；加强受影响区域社会治安管理，严厉打击借机传播谣言制造社会恐慌，以及趁机盗窃、抢劫、哄抢等违法犯罪行为；加强救灾物资存放点等</w:t>
      </w:r>
      <w:r>
        <w:rPr>
          <w:rFonts w:hint="eastAsia" w:ascii="仿宋" w:hAnsi="仿宋" w:eastAsia="仿宋" w:cs="仿宋"/>
          <w:spacing w:val="6"/>
          <w:sz w:val="32"/>
          <w:szCs w:val="32"/>
          <w:lang w:val="en-US" w:eastAsia="zh-CN"/>
        </w:rPr>
        <w:t>重点地区治安管控；加强对基本生活必需品的市场监管和调控，打击囤积居奇行为；做好矛盾纠纷化解等工作，切实维护社会稳定。</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三、</w:t>
      </w:r>
      <w:r>
        <w:rPr>
          <w:rFonts w:hint="eastAsia" w:ascii="黑体" w:hAnsi="黑体" w:eastAsia="黑体" w:cs="黑体"/>
          <w:sz w:val="32"/>
          <w:szCs w:val="32"/>
          <w:lang w:val="en-US" w:eastAsia="zh-CN"/>
        </w:rPr>
        <w:t>自治区指挥部</w:t>
      </w:r>
      <w:r>
        <w:rPr>
          <w:rFonts w:hint="eastAsia" w:ascii="黑体" w:hAnsi="黑体" w:eastAsia="黑体" w:cs="黑体"/>
          <w:sz w:val="32"/>
          <w:szCs w:val="32"/>
        </w:rPr>
        <w:t>成员单位职责</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一</w:t>
      </w:r>
      <w:r>
        <w:rPr>
          <w:rFonts w:hint="eastAsia" w:ascii="仿宋" w:hAnsi="仿宋" w:eastAsia="仿宋" w:cs="仿宋"/>
          <w:sz w:val="32"/>
          <w:szCs w:val="32"/>
          <w:lang w:eastAsia="zh-CN"/>
        </w:rPr>
        <w:t>）自治区</w:t>
      </w:r>
      <w:r>
        <w:rPr>
          <w:rFonts w:hint="eastAsia" w:ascii="仿宋" w:hAnsi="仿宋" w:eastAsia="仿宋" w:cs="仿宋"/>
          <w:sz w:val="32"/>
          <w:szCs w:val="32"/>
        </w:rPr>
        <w:t>党委宣传部：</w:t>
      </w:r>
      <w:r>
        <w:rPr>
          <w:rFonts w:hint="eastAsia" w:ascii="仿宋" w:hAnsi="仿宋" w:eastAsia="仿宋" w:cs="仿宋"/>
          <w:sz w:val="32"/>
          <w:szCs w:val="32"/>
          <w:lang w:eastAsia="zh-CN"/>
        </w:rPr>
        <w:t>负责会同自治区能源局等相关部门单位做好大面积停电事件信息发布、舆论引导等工作，必要时召开新闻发布会及时</w:t>
      </w:r>
      <w:r>
        <w:rPr>
          <w:rFonts w:hint="eastAsia" w:ascii="仿宋" w:hAnsi="仿宋" w:eastAsia="仿宋" w:cs="仿宋"/>
          <w:sz w:val="32"/>
          <w:szCs w:val="32"/>
        </w:rPr>
        <w:t>解疑释惑、澄清事实</w:t>
      </w:r>
      <w:r>
        <w:rPr>
          <w:rFonts w:hint="eastAsia" w:ascii="仿宋" w:hAnsi="仿宋" w:eastAsia="仿宋" w:cs="仿宋"/>
          <w:sz w:val="32"/>
          <w:szCs w:val="32"/>
          <w:lang w:eastAsia="zh-CN"/>
        </w:rPr>
        <w:t>、</w:t>
      </w:r>
      <w:r>
        <w:rPr>
          <w:rFonts w:hint="eastAsia" w:ascii="仿宋" w:hAnsi="仿宋" w:eastAsia="仿宋" w:cs="仿宋"/>
          <w:sz w:val="32"/>
          <w:szCs w:val="32"/>
        </w:rPr>
        <w:t>批驳谣言</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二</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自治区党委网信办：</w:t>
      </w:r>
      <w:r>
        <w:rPr>
          <w:rFonts w:hint="eastAsia" w:ascii="仿宋" w:hAnsi="仿宋" w:eastAsia="仿宋" w:cs="仿宋"/>
          <w:sz w:val="32"/>
          <w:szCs w:val="32"/>
        </w:rPr>
        <w:t>负责会同</w:t>
      </w:r>
      <w:r>
        <w:rPr>
          <w:rFonts w:hint="eastAsia" w:ascii="仿宋" w:hAnsi="仿宋" w:eastAsia="仿宋" w:cs="仿宋"/>
          <w:sz w:val="32"/>
          <w:szCs w:val="32"/>
          <w:lang w:eastAsia="zh-CN"/>
        </w:rPr>
        <w:t>相关部门单位</w:t>
      </w:r>
      <w:r>
        <w:rPr>
          <w:rFonts w:hint="eastAsia" w:ascii="仿宋" w:hAnsi="仿宋" w:eastAsia="仿宋" w:cs="仿宋"/>
          <w:sz w:val="32"/>
          <w:szCs w:val="32"/>
        </w:rPr>
        <w:t>做好大面积停电事件的舆情监控、舆论引导、信息管控等工作，配合做好媒体报道等有关工作。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三</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自治区</w:t>
      </w:r>
      <w:r>
        <w:rPr>
          <w:rFonts w:hint="eastAsia" w:ascii="仿宋" w:hAnsi="仿宋" w:eastAsia="仿宋" w:cs="仿宋"/>
          <w:sz w:val="32"/>
          <w:szCs w:val="32"/>
        </w:rPr>
        <w:t>能源局：承担自治区大面积停电应急组织指挥机构办公室职责</w:t>
      </w:r>
      <w:r>
        <w:rPr>
          <w:rFonts w:hint="eastAsia" w:ascii="仿宋" w:hAnsi="仿宋" w:eastAsia="仿宋" w:cs="仿宋"/>
          <w:sz w:val="32"/>
          <w:szCs w:val="32"/>
          <w:lang w:eastAsia="zh-CN"/>
        </w:rPr>
        <w:t>，</w:t>
      </w:r>
      <w:r>
        <w:rPr>
          <w:rFonts w:hint="eastAsia" w:ascii="仿宋" w:hAnsi="仿宋" w:eastAsia="仿宋" w:cs="仿宋"/>
          <w:sz w:val="32"/>
          <w:szCs w:val="32"/>
        </w:rPr>
        <w:t>负责自治区大面积停</w:t>
      </w:r>
      <w:r>
        <w:rPr>
          <w:rFonts w:hint="eastAsia" w:ascii="仿宋" w:hAnsi="仿宋" w:eastAsia="仿宋" w:cs="仿宋"/>
          <w:spacing w:val="6"/>
          <w:sz w:val="32"/>
          <w:szCs w:val="32"/>
        </w:rPr>
        <w:t>电应急指挥部日常工作；</w:t>
      </w:r>
      <w:r>
        <w:rPr>
          <w:rFonts w:hint="eastAsia" w:ascii="仿宋" w:hAnsi="仿宋" w:eastAsia="仿宋" w:cs="仿宋"/>
          <w:sz w:val="32"/>
          <w:szCs w:val="32"/>
        </w:rPr>
        <w:t>负责监测分析全区电力运行情况</w:t>
      </w:r>
      <w:r>
        <w:rPr>
          <w:rFonts w:hint="eastAsia" w:ascii="仿宋" w:hAnsi="仿宋" w:eastAsia="仿宋" w:cs="仿宋"/>
          <w:sz w:val="32"/>
          <w:szCs w:val="32"/>
          <w:lang w:eastAsia="zh-CN"/>
        </w:rPr>
        <w:t>，</w:t>
      </w:r>
      <w:r>
        <w:rPr>
          <w:rFonts w:hint="eastAsia" w:ascii="仿宋" w:hAnsi="仿宋" w:eastAsia="仿宋" w:cs="仿宋"/>
          <w:sz w:val="32"/>
          <w:szCs w:val="32"/>
        </w:rPr>
        <w:t>协调处理电力运行和电网运行中的重大问题</w:t>
      </w:r>
      <w:r>
        <w:rPr>
          <w:rFonts w:hint="eastAsia" w:ascii="仿宋" w:hAnsi="仿宋" w:eastAsia="仿宋" w:cs="仿宋"/>
          <w:sz w:val="32"/>
          <w:szCs w:val="32"/>
          <w:lang w:eastAsia="zh-CN"/>
        </w:rPr>
        <w:t>；</w:t>
      </w:r>
      <w:r>
        <w:rPr>
          <w:rFonts w:hint="eastAsia" w:ascii="仿宋" w:hAnsi="仿宋" w:eastAsia="仿宋" w:cs="仿宋"/>
          <w:sz w:val="32"/>
          <w:szCs w:val="32"/>
        </w:rPr>
        <w:t>负责组织</w:t>
      </w:r>
      <w:r>
        <w:rPr>
          <w:rFonts w:hint="eastAsia" w:ascii="仿宋" w:hAnsi="仿宋" w:eastAsia="仿宋" w:cs="仿宋"/>
          <w:sz w:val="32"/>
          <w:szCs w:val="32"/>
          <w:lang w:eastAsia="zh-CN"/>
        </w:rPr>
        <w:t>协调相</w:t>
      </w:r>
      <w:r>
        <w:rPr>
          <w:rFonts w:hint="eastAsia" w:ascii="仿宋" w:hAnsi="仿宋" w:eastAsia="仿宋" w:cs="仿宋"/>
          <w:sz w:val="32"/>
          <w:szCs w:val="32"/>
        </w:rPr>
        <w:t>关</w:t>
      </w:r>
      <w:r>
        <w:rPr>
          <w:rFonts w:hint="eastAsia" w:ascii="仿宋" w:hAnsi="仿宋" w:eastAsia="仿宋" w:cs="仿宋"/>
          <w:sz w:val="32"/>
          <w:szCs w:val="32"/>
          <w:lang w:eastAsia="zh-CN"/>
        </w:rPr>
        <w:t>部门</w:t>
      </w:r>
      <w:r>
        <w:rPr>
          <w:rFonts w:hint="eastAsia" w:ascii="仿宋" w:hAnsi="仿宋" w:eastAsia="仿宋" w:cs="仿宋"/>
          <w:sz w:val="32"/>
          <w:szCs w:val="32"/>
        </w:rPr>
        <w:t>单位</w:t>
      </w:r>
      <w:r>
        <w:rPr>
          <w:rFonts w:hint="eastAsia" w:ascii="仿宋" w:hAnsi="仿宋" w:eastAsia="仿宋" w:cs="仿宋"/>
          <w:sz w:val="32"/>
          <w:szCs w:val="32"/>
          <w:lang w:eastAsia="zh-CN"/>
        </w:rPr>
        <w:t>、电力</w:t>
      </w:r>
      <w:r>
        <w:rPr>
          <w:rFonts w:hint="eastAsia" w:ascii="仿宋" w:hAnsi="仿宋" w:eastAsia="仿宋" w:cs="仿宋"/>
          <w:sz w:val="32"/>
          <w:szCs w:val="32"/>
        </w:rPr>
        <w:t>企业</w:t>
      </w:r>
      <w:r>
        <w:rPr>
          <w:rFonts w:hint="eastAsia" w:ascii="仿宋" w:hAnsi="仿宋" w:eastAsia="仿宋" w:cs="仿宋"/>
          <w:sz w:val="32"/>
          <w:szCs w:val="32"/>
          <w:lang w:eastAsia="zh-CN"/>
        </w:rPr>
        <w:t>、</w:t>
      </w:r>
      <w:r>
        <w:rPr>
          <w:rFonts w:hint="eastAsia" w:ascii="仿宋" w:hAnsi="仿宋" w:eastAsia="仿宋" w:cs="仿宋"/>
          <w:sz w:val="32"/>
          <w:szCs w:val="32"/>
        </w:rPr>
        <w:t>专家分析研判大面积停电事态分析，电力企业制定恢复供电方案</w:t>
      </w:r>
      <w:r>
        <w:rPr>
          <w:rFonts w:hint="eastAsia" w:ascii="仿宋" w:hAnsi="仿宋" w:eastAsia="仿宋" w:cs="仿宋"/>
          <w:sz w:val="32"/>
          <w:szCs w:val="32"/>
          <w:lang w:eastAsia="zh-CN"/>
        </w:rPr>
        <w:t>；</w:t>
      </w:r>
      <w:r>
        <w:rPr>
          <w:rFonts w:hint="eastAsia" w:ascii="仿宋" w:hAnsi="仿宋" w:eastAsia="仿宋" w:cs="仿宋"/>
          <w:sz w:val="32"/>
          <w:szCs w:val="32"/>
        </w:rPr>
        <w:t>组织协调相关部门</w:t>
      </w:r>
      <w:r>
        <w:rPr>
          <w:rFonts w:hint="eastAsia" w:ascii="仿宋" w:hAnsi="仿宋" w:eastAsia="仿宋" w:cs="仿宋"/>
          <w:sz w:val="32"/>
          <w:szCs w:val="32"/>
          <w:lang w:eastAsia="zh-CN"/>
        </w:rPr>
        <w:t>单位</w:t>
      </w:r>
      <w:r>
        <w:rPr>
          <w:rFonts w:hint="eastAsia" w:ascii="仿宋" w:hAnsi="仿宋" w:eastAsia="仿宋" w:cs="仿宋"/>
          <w:sz w:val="32"/>
          <w:szCs w:val="32"/>
        </w:rPr>
        <w:t>和电力企业开展大面积停电事件应急处置与应急救援工作</w:t>
      </w:r>
      <w:r>
        <w:rPr>
          <w:rFonts w:hint="eastAsia" w:ascii="仿宋" w:hAnsi="仿宋" w:eastAsia="仿宋" w:cs="仿宋"/>
          <w:sz w:val="32"/>
          <w:szCs w:val="32"/>
          <w:lang w:eastAsia="zh-CN"/>
        </w:rPr>
        <w:t>；</w:t>
      </w:r>
      <w:r>
        <w:rPr>
          <w:rFonts w:hint="eastAsia" w:ascii="仿宋" w:hAnsi="仿宋" w:eastAsia="仿宋" w:cs="仿宋"/>
          <w:sz w:val="32"/>
          <w:szCs w:val="32"/>
        </w:rPr>
        <w:t>协调煤炭、天然气、油品等应急保障物资的调拨。</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四</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自治区</w:t>
      </w:r>
      <w:r>
        <w:rPr>
          <w:rFonts w:hint="eastAsia" w:ascii="仿宋" w:hAnsi="仿宋" w:eastAsia="仿宋" w:cs="仿宋"/>
          <w:sz w:val="32"/>
          <w:szCs w:val="32"/>
          <w:lang w:eastAsia="zh-CN"/>
        </w:rPr>
        <w:t>发展改革委</w:t>
      </w:r>
      <w:r>
        <w:rPr>
          <w:rFonts w:hint="eastAsia" w:ascii="仿宋" w:hAnsi="仿宋" w:eastAsia="仿宋" w:cs="仿宋"/>
          <w:sz w:val="32"/>
          <w:szCs w:val="32"/>
        </w:rPr>
        <w:t>：</w:t>
      </w:r>
      <w:r>
        <w:rPr>
          <w:rFonts w:hint="eastAsia" w:ascii="仿宋" w:hAnsi="仿宋" w:eastAsia="仿宋" w:cs="仿宋"/>
          <w:sz w:val="32"/>
          <w:szCs w:val="32"/>
          <w:lang w:val="en-US" w:eastAsia="zh-CN"/>
        </w:rPr>
        <w:t>协调做好重要民生商品价格调控工作，会同相关部门单位保障重要民生商品的有效供给和价格总体平稳。</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五</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自治区</w:t>
      </w:r>
      <w:r>
        <w:rPr>
          <w:rFonts w:hint="eastAsia" w:ascii="仿宋" w:hAnsi="仿宋" w:eastAsia="仿宋" w:cs="仿宋"/>
          <w:sz w:val="32"/>
          <w:szCs w:val="32"/>
        </w:rPr>
        <w:t>公安厅、武警内蒙古总队：负责保障应急情况下重点部位、突发事件现场的安全保卫、治安管理等工作；负责</w:t>
      </w:r>
      <w:r>
        <w:rPr>
          <w:rFonts w:hint="eastAsia" w:ascii="仿宋" w:hAnsi="仿宋" w:eastAsia="仿宋" w:cs="仿宋"/>
          <w:spacing w:val="-6"/>
          <w:sz w:val="32"/>
          <w:szCs w:val="32"/>
        </w:rPr>
        <w:t>维护事故现场抢险的外部治安秩序，疏散处于危险地段的人员，</w:t>
      </w:r>
      <w:r>
        <w:rPr>
          <w:rFonts w:hint="eastAsia" w:ascii="仿宋" w:hAnsi="仿宋" w:eastAsia="仿宋" w:cs="仿宋"/>
          <w:sz w:val="32"/>
          <w:szCs w:val="32"/>
        </w:rPr>
        <w:t>防范治安事件；负责保障救援物资及人员运输的道路交通安全畅通，必要时实施交通管制；配合做好善后社会稳定等工作。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六</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自治区</w:t>
      </w:r>
      <w:r>
        <w:rPr>
          <w:rFonts w:hint="eastAsia" w:ascii="仿宋" w:hAnsi="仿宋" w:eastAsia="仿宋" w:cs="仿宋"/>
          <w:sz w:val="32"/>
          <w:szCs w:val="32"/>
        </w:rPr>
        <w:t>民政厅：配合做好伤亡人员的善后处理工作。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七</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自治区</w:t>
      </w:r>
      <w:r>
        <w:rPr>
          <w:rFonts w:hint="eastAsia" w:ascii="仿宋" w:hAnsi="仿宋" w:eastAsia="仿宋" w:cs="仿宋"/>
          <w:sz w:val="32"/>
          <w:szCs w:val="32"/>
        </w:rPr>
        <w:t>财政厅：负责协调落实应急救灾资金，对大面积停电事件处置工作提供必要的资金保障。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八</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自治区</w:t>
      </w:r>
      <w:r>
        <w:rPr>
          <w:rFonts w:hint="eastAsia" w:ascii="仿宋" w:hAnsi="仿宋" w:eastAsia="仿宋" w:cs="仿宋"/>
          <w:sz w:val="32"/>
          <w:szCs w:val="32"/>
        </w:rPr>
        <w:t>自然资源厅：负责提供停电区域已有地图、遥感影像等基础测绘成果和数据，提供自治区北斗卫星导航连续运行参考站定位服务。</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九</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自治区</w:t>
      </w:r>
      <w:r>
        <w:rPr>
          <w:rFonts w:hint="eastAsia" w:ascii="仿宋" w:hAnsi="仿宋" w:eastAsia="仿宋" w:cs="仿宋"/>
          <w:sz w:val="32"/>
          <w:szCs w:val="32"/>
        </w:rPr>
        <w:t>生态环境厅：</w:t>
      </w:r>
      <w:r>
        <w:rPr>
          <w:rFonts w:hint="eastAsia" w:ascii="仿宋" w:hAnsi="仿宋" w:eastAsia="仿宋" w:cs="仿宋"/>
          <w:sz w:val="32"/>
          <w:szCs w:val="32"/>
          <w:lang w:val="en-US" w:eastAsia="zh-CN"/>
        </w:rPr>
        <w:t>负责事故现场周围环境污染的应急监测工作</w:t>
      </w:r>
      <w:r>
        <w:rPr>
          <w:rFonts w:hint="eastAsia" w:ascii="仿宋" w:hAnsi="仿宋" w:eastAsia="仿宋" w:cs="仿宋"/>
          <w:sz w:val="32"/>
          <w:szCs w:val="32"/>
        </w:rPr>
        <w:t>。</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十</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自治区</w:t>
      </w:r>
      <w:r>
        <w:rPr>
          <w:rFonts w:hint="eastAsia" w:ascii="仿宋" w:hAnsi="仿宋" w:eastAsia="仿宋" w:cs="仿宋"/>
          <w:sz w:val="32"/>
          <w:szCs w:val="32"/>
        </w:rPr>
        <w:t>住房城乡建设厅：负责协调和指导恢复城市供水、供气、</w:t>
      </w:r>
      <w:r>
        <w:rPr>
          <w:rFonts w:hint="eastAsia" w:ascii="仿宋" w:hAnsi="仿宋" w:eastAsia="仿宋" w:cs="仿宋"/>
          <w:sz w:val="32"/>
          <w:szCs w:val="32"/>
          <w:lang w:eastAsia="zh-CN"/>
        </w:rPr>
        <w:t>供热、</w:t>
      </w:r>
      <w:r>
        <w:rPr>
          <w:rFonts w:hint="eastAsia" w:ascii="仿宋" w:hAnsi="仿宋" w:eastAsia="仿宋" w:cs="仿宋"/>
          <w:sz w:val="32"/>
          <w:szCs w:val="32"/>
        </w:rPr>
        <w:t>市政照明、污水处理、排水防涝等公用设施运行，保障居民基本生活需要。</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十一</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自治区</w:t>
      </w:r>
      <w:r>
        <w:rPr>
          <w:rFonts w:hint="eastAsia" w:ascii="仿宋" w:hAnsi="仿宋" w:eastAsia="仿宋" w:cs="仿宋"/>
          <w:sz w:val="32"/>
          <w:szCs w:val="32"/>
        </w:rPr>
        <w:t>交通运输厅：负责落实应急所需物资的运输保障。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十二</w:t>
      </w:r>
      <w:r>
        <w:rPr>
          <w:rFonts w:hint="eastAsia" w:ascii="仿宋" w:hAnsi="仿宋" w:eastAsia="仿宋" w:cs="仿宋"/>
          <w:sz w:val="32"/>
          <w:szCs w:val="32"/>
          <w:lang w:eastAsia="zh-CN"/>
        </w:rPr>
        <w:t>）</w:t>
      </w:r>
      <w:r>
        <w:rPr>
          <w:rFonts w:hint="eastAsia" w:ascii="仿宋" w:hAnsi="仿宋" w:eastAsia="仿宋" w:cs="仿宋"/>
          <w:sz w:val="32"/>
          <w:szCs w:val="32"/>
        </w:rPr>
        <w:t>自治区水利厅：负责及时提供大面积停电事发区域水文监测、预报、预警等信息</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必要时协调启动农村牧区供水应急响应</w:t>
      </w:r>
      <w:r>
        <w:rPr>
          <w:rFonts w:hint="eastAsia" w:ascii="仿宋" w:hAnsi="仿宋" w:eastAsia="仿宋" w:cs="仿宋"/>
          <w:sz w:val="32"/>
          <w:szCs w:val="32"/>
        </w:rPr>
        <w:t>。</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十三</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自治区</w:t>
      </w:r>
      <w:r>
        <w:rPr>
          <w:rFonts w:hint="eastAsia" w:ascii="仿宋" w:hAnsi="仿宋" w:eastAsia="仿宋" w:cs="仿宋"/>
          <w:sz w:val="32"/>
          <w:szCs w:val="32"/>
        </w:rPr>
        <w:t>商务厅：</w:t>
      </w:r>
      <w:r>
        <w:rPr>
          <w:rFonts w:hint="eastAsia" w:ascii="仿宋" w:hAnsi="仿宋" w:eastAsia="仿宋" w:cs="仿宋"/>
          <w:sz w:val="32"/>
          <w:szCs w:val="32"/>
          <w:lang w:val="en-US" w:eastAsia="zh-CN"/>
        </w:rPr>
        <w:t>主要负责生活必需品市场监测和保障生活必需品市场供应。</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十四</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自治区卫生健康委</w:t>
      </w:r>
      <w:r>
        <w:rPr>
          <w:rFonts w:hint="eastAsia" w:ascii="仿宋" w:hAnsi="仿宋" w:eastAsia="仿宋" w:cs="仿宋"/>
          <w:sz w:val="32"/>
          <w:szCs w:val="32"/>
        </w:rPr>
        <w:t>：</w:t>
      </w:r>
      <w:r>
        <w:rPr>
          <w:rFonts w:hint="eastAsia" w:ascii="仿宋" w:hAnsi="仿宋" w:eastAsia="仿宋" w:cs="仿宋"/>
          <w:sz w:val="32"/>
          <w:szCs w:val="32"/>
          <w:lang w:val="en-US" w:eastAsia="zh-CN"/>
        </w:rPr>
        <w:t>负责组织协调医疗应急救援和卫生防疫工作，并为地方医疗卫生机构提供技术支持。</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十五</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自治区</w:t>
      </w:r>
      <w:r>
        <w:rPr>
          <w:rFonts w:hint="eastAsia" w:ascii="仿宋" w:hAnsi="仿宋" w:eastAsia="仿宋" w:cs="仿宋"/>
          <w:sz w:val="32"/>
          <w:szCs w:val="32"/>
        </w:rPr>
        <w:t>应急</w:t>
      </w:r>
      <w:r>
        <w:rPr>
          <w:rFonts w:hint="eastAsia" w:ascii="仿宋" w:hAnsi="仿宋" w:eastAsia="仿宋" w:cs="仿宋"/>
          <w:sz w:val="32"/>
          <w:szCs w:val="32"/>
          <w:lang w:eastAsia="zh-CN"/>
        </w:rPr>
        <w:t>管理</w:t>
      </w:r>
      <w:r>
        <w:rPr>
          <w:rFonts w:hint="eastAsia" w:ascii="仿宋" w:hAnsi="仿宋" w:eastAsia="仿宋" w:cs="仿宋"/>
          <w:sz w:val="32"/>
          <w:szCs w:val="32"/>
        </w:rPr>
        <w:t>厅：</w:t>
      </w:r>
      <w:r>
        <w:rPr>
          <w:rFonts w:hint="eastAsia" w:ascii="仿宋" w:hAnsi="仿宋" w:eastAsia="仿宋" w:cs="仿宋"/>
          <w:sz w:val="32"/>
          <w:szCs w:val="32"/>
          <w:lang w:eastAsia="zh-CN"/>
        </w:rPr>
        <w:t>负责组织协调相关应急救援队伍参与电力企业重、特大生产安全事故应急处置工作；</w:t>
      </w:r>
      <w:r>
        <w:rPr>
          <w:rFonts w:hint="eastAsia" w:ascii="仿宋" w:hAnsi="仿宋" w:eastAsia="仿宋" w:cs="仿宋"/>
          <w:sz w:val="32"/>
          <w:szCs w:val="32"/>
        </w:rPr>
        <w:t>对符合条件的受事件影响群众实施基本生活救助。</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十六</w:t>
      </w:r>
      <w:r>
        <w:rPr>
          <w:rFonts w:hint="eastAsia" w:ascii="仿宋" w:hAnsi="仿宋" w:eastAsia="仿宋" w:cs="仿宋"/>
          <w:sz w:val="32"/>
          <w:szCs w:val="32"/>
          <w:lang w:eastAsia="zh-CN"/>
        </w:rPr>
        <w:t>）</w:t>
      </w:r>
      <w:r>
        <w:rPr>
          <w:rFonts w:hint="eastAsia" w:ascii="仿宋" w:hAnsi="仿宋" w:eastAsia="仿宋" w:cs="仿宋"/>
          <w:sz w:val="32"/>
          <w:szCs w:val="32"/>
        </w:rPr>
        <w:t>自治区</w:t>
      </w:r>
      <w:r>
        <w:rPr>
          <w:rFonts w:hint="eastAsia" w:ascii="仿宋" w:hAnsi="仿宋" w:eastAsia="仿宋" w:cs="仿宋"/>
          <w:sz w:val="32"/>
          <w:szCs w:val="32"/>
          <w:lang w:eastAsia="zh-CN"/>
        </w:rPr>
        <w:t>广电局</w:t>
      </w:r>
      <w:r>
        <w:rPr>
          <w:rFonts w:hint="eastAsia" w:ascii="仿宋" w:hAnsi="仿宋" w:eastAsia="仿宋" w:cs="仿宋"/>
          <w:sz w:val="32"/>
          <w:szCs w:val="32"/>
        </w:rPr>
        <w:t>：</w:t>
      </w:r>
      <w:r>
        <w:rPr>
          <w:rFonts w:hint="eastAsia" w:ascii="仿宋" w:hAnsi="仿宋" w:eastAsia="仿宋" w:cs="仿宋"/>
          <w:sz w:val="32"/>
          <w:szCs w:val="32"/>
          <w:lang w:eastAsia="zh-CN"/>
        </w:rPr>
        <w:t>在条件允许的情况下，负责及时启动应急广播系统，按照应急信息播发指令，播发相关应急信息。</w:t>
      </w:r>
      <w:r>
        <w:rPr>
          <w:rFonts w:hint="eastAsia" w:ascii="仿宋" w:hAnsi="仿宋" w:eastAsia="仿宋" w:cs="仿宋"/>
          <w:spacing w:val="6"/>
          <w:sz w:val="32"/>
          <w:szCs w:val="32"/>
          <w:lang w:eastAsia="zh-CN"/>
        </w:rPr>
        <w:t>组织系统相关单位启动备用电源，保障广播电视信号安全优质播出。</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十七</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自治区</w:t>
      </w:r>
      <w:r>
        <w:rPr>
          <w:rFonts w:hint="eastAsia" w:ascii="仿宋" w:hAnsi="仿宋" w:eastAsia="仿宋" w:cs="仿宋"/>
          <w:sz w:val="32"/>
          <w:szCs w:val="32"/>
        </w:rPr>
        <w:t>林草局：依法对电力线路保护区内种植危及电力设施安全植物的行为进行监管，负责指导事故区域内树木处置工作。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十八</w:t>
      </w:r>
      <w:r>
        <w:rPr>
          <w:rFonts w:hint="eastAsia" w:ascii="仿宋" w:hAnsi="仿宋" w:eastAsia="仿宋" w:cs="仿宋"/>
          <w:sz w:val="32"/>
          <w:szCs w:val="32"/>
          <w:lang w:eastAsia="zh-CN"/>
        </w:rPr>
        <w:t>）自治区粮食和储备局：根据自治区应急管理厅的动用指令，按程序组织救灾物资的出库。</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十九</w:t>
      </w:r>
      <w:r>
        <w:rPr>
          <w:rFonts w:hint="eastAsia" w:ascii="仿宋" w:hAnsi="仿宋" w:eastAsia="仿宋" w:cs="仿宋"/>
          <w:sz w:val="32"/>
          <w:szCs w:val="32"/>
          <w:lang w:eastAsia="zh-CN"/>
        </w:rPr>
        <w:t>）内蒙古</w:t>
      </w:r>
      <w:r>
        <w:rPr>
          <w:rFonts w:hint="eastAsia" w:ascii="仿宋" w:hAnsi="仿宋" w:eastAsia="仿宋" w:cs="仿宋"/>
          <w:sz w:val="32"/>
          <w:szCs w:val="32"/>
        </w:rPr>
        <w:t>消防救援总队：负责消防救助、控制和消除火灾险情等专业工作。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二十</w:t>
      </w:r>
      <w:r>
        <w:rPr>
          <w:rFonts w:hint="eastAsia" w:ascii="仿宋" w:hAnsi="仿宋" w:eastAsia="仿宋" w:cs="仿宋"/>
          <w:sz w:val="32"/>
          <w:szCs w:val="32"/>
          <w:lang w:eastAsia="zh-CN"/>
        </w:rPr>
        <w:t>）内蒙古</w:t>
      </w:r>
      <w:r>
        <w:rPr>
          <w:rFonts w:hint="eastAsia" w:ascii="仿宋" w:hAnsi="仿宋" w:eastAsia="仿宋" w:cs="仿宋"/>
          <w:sz w:val="32"/>
          <w:szCs w:val="32"/>
        </w:rPr>
        <w:t>气象局：</w:t>
      </w:r>
      <w:r>
        <w:rPr>
          <w:rFonts w:hint="eastAsia" w:ascii="仿宋" w:hAnsi="仿宋" w:eastAsia="仿宋" w:cs="仿宋"/>
          <w:sz w:val="32"/>
          <w:szCs w:val="32"/>
          <w:lang w:eastAsia="zh-CN"/>
        </w:rPr>
        <w:t>负责天气</w:t>
      </w:r>
      <w:r>
        <w:rPr>
          <w:rFonts w:hint="eastAsia" w:ascii="仿宋" w:hAnsi="仿宋" w:eastAsia="仿宋" w:cs="仿宋"/>
          <w:sz w:val="32"/>
          <w:szCs w:val="32"/>
        </w:rPr>
        <w:t>监测、预报、预测，及时提供气象信息服务，</w:t>
      </w:r>
      <w:r>
        <w:rPr>
          <w:rFonts w:hint="eastAsia" w:ascii="仿宋" w:hAnsi="仿宋" w:eastAsia="仿宋" w:cs="仿宋"/>
          <w:sz w:val="32"/>
          <w:szCs w:val="32"/>
          <w:lang w:eastAsia="zh-CN"/>
        </w:rPr>
        <w:t>配合电力部门开展</w:t>
      </w:r>
      <w:r>
        <w:rPr>
          <w:rFonts w:hint="eastAsia" w:ascii="仿宋" w:hAnsi="仿宋" w:eastAsia="仿宋" w:cs="仿宋"/>
          <w:sz w:val="32"/>
          <w:szCs w:val="32"/>
        </w:rPr>
        <w:t>因气象灾害引发的事故灾害调查、评估及气象分析等工作。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二十一</w:t>
      </w:r>
      <w:r>
        <w:rPr>
          <w:rFonts w:hint="eastAsia" w:ascii="仿宋" w:hAnsi="仿宋" w:eastAsia="仿宋" w:cs="仿宋"/>
          <w:sz w:val="32"/>
          <w:szCs w:val="32"/>
          <w:lang w:eastAsia="zh-CN"/>
        </w:rPr>
        <w:t>）内蒙古</w:t>
      </w:r>
      <w:r>
        <w:rPr>
          <w:rFonts w:hint="eastAsia" w:ascii="仿宋" w:hAnsi="仿宋" w:eastAsia="仿宋" w:cs="仿宋"/>
          <w:sz w:val="32"/>
          <w:szCs w:val="32"/>
        </w:rPr>
        <w:t>地震局：负责震情跟踪监视工作，及时通报相关信息，开展现场震害调查与评估等工作。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二十二</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内蒙古</w:t>
      </w:r>
      <w:r>
        <w:rPr>
          <w:rFonts w:hint="eastAsia" w:ascii="仿宋" w:hAnsi="仿宋" w:eastAsia="仿宋" w:cs="仿宋"/>
          <w:sz w:val="32"/>
          <w:szCs w:val="32"/>
        </w:rPr>
        <w:t>通信管理局：组织、协调</w:t>
      </w:r>
      <w:r>
        <w:rPr>
          <w:rFonts w:hint="eastAsia" w:ascii="仿宋" w:hAnsi="仿宋" w:eastAsia="仿宋" w:cs="仿宋"/>
          <w:sz w:val="32"/>
          <w:szCs w:val="32"/>
          <w:lang w:eastAsia="zh-CN"/>
        </w:rPr>
        <w:t>自治区</w:t>
      </w:r>
      <w:r>
        <w:rPr>
          <w:rFonts w:hint="eastAsia" w:ascii="仿宋" w:hAnsi="仿宋" w:eastAsia="仿宋" w:cs="仿宋"/>
          <w:sz w:val="32"/>
          <w:szCs w:val="32"/>
        </w:rPr>
        <w:t>内各基础电信运营企业、铁塔公司，做好公用通信网应急通信保障工作。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二十三</w:t>
      </w:r>
      <w:r>
        <w:rPr>
          <w:rFonts w:hint="eastAsia" w:ascii="仿宋" w:hAnsi="仿宋" w:eastAsia="仿宋" w:cs="仿宋"/>
          <w:sz w:val="32"/>
          <w:szCs w:val="32"/>
          <w:lang w:eastAsia="zh-CN"/>
        </w:rPr>
        <w:t>）</w:t>
      </w:r>
      <w:r>
        <w:rPr>
          <w:rFonts w:hint="eastAsia" w:ascii="仿宋" w:hAnsi="仿宋" w:eastAsia="仿宋" w:cs="仿宋"/>
          <w:spacing w:val="11"/>
          <w:sz w:val="32"/>
          <w:szCs w:val="32"/>
          <w:lang w:val="en-US" w:eastAsia="zh-CN"/>
        </w:rPr>
        <w:t>国家能源局华北监管局、国家能源局东北监管局</w:t>
      </w:r>
      <w:r>
        <w:rPr>
          <w:rFonts w:hint="eastAsia" w:ascii="仿宋" w:hAnsi="仿宋" w:eastAsia="仿宋" w:cs="仿宋"/>
          <w:spacing w:val="11"/>
          <w:sz w:val="32"/>
          <w:szCs w:val="32"/>
        </w:rPr>
        <w:t>：</w:t>
      </w:r>
      <w:r>
        <w:rPr>
          <w:rFonts w:hint="eastAsia" w:ascii="仿宋" w:hAnsi="仿宋" w:eastAsia="仿宋" w:cs="仿宋"/>
          <w:sz w:val="32"/>
          <w:szCs w:val="32"/>
        </w:rPr>
        <w:t>指导和督促电力企业做好大面积停电应急抢修和电网恢复供电工作，派员参加工作组赴现场指导协调事件应急工作。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（二十四）民航内蒙古安全监管局：督导辖区民航各单位在大面积停电后的应急处置工作，维护民航基本交通通行，协调抢险救援物资运输工作。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二十五</w:t>
      </w:r>
      <w:r>
        <w:rPr>
          <w:rFonts w:hint="eastAsia" w:ascii="仿宋" w:hAnsi="仿宋" w:eastAsia="仿宋" w:cs="仿宋"/>
          <w:sz w:val="32"/>
          <w:szCs w:val="32"/>
          <w:lang w:eastAsia="zh-CN"/>
        </w:rPr>
        <w:t>）中国铁路呼和浩特局集团有限公司</w:t>
      </w:r>
      <w:r>
        <w:rPr>
          <w:rFonts w:hint="eastAsia" w:ascii="仿宋" w:hAnsi="仿宋" w:eastAsia="仿宋" w:cs="仿宋"/>
          <w:sz w:val="32"/>
          <w:szCs w:val="32"/>
        </w:rPr>
        <w:t>：指导所属铁路系统启动大面积停电应急预案，开启应急处置，保障抢险物资、设备和抗灾人员的铁路运输高效运转。</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（二十六）内蒙古民航机场集团有限责任公司：负责组织集团管理的机场启动大面积停电应急预案，开启应急处置，协调抢险救援物资运输工作。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二十七</w:t>
      </w:r>
      <w:r>
        <w:rPr>
          <w:rFonts w:hint="eastAsia" w:ascii="仿宋" w:hAnsi="仿宋" w:eastAsia="仿宋" w:cs="仿宋"/>
          <w:sz w:val="32"/>
          <w:szCs w:val="32"/>
          <w:lang w:eastAsia="zh-CN"/>
        </w:rPr>
        <w:t>）内蒙古电力（集团）有限责任公司</w:t>
      </w:r>
      <w:r>
        <w:rPr>
          <w:rFonts w:hint="eastAsia" w:ascii="仿宋" w:hAnsi="仿宋" w:eastAsia="仿宋" w:cs="仿宋"/>
          <w:sz w:val="32"/>
          <w:szCs w:val="32"/>
        </w:rPr>
        <w:t>、</w:t>
      </w:r>
      <w:r>
        <w:rPr>
          <w:rFonts w:hint="eastAsia" w:ascii="仿宋" w:hAnsi="仿宋" w:eastAsia="仿宋" w:cs="仿宋"/>
          <w:sz w:val="32"/>
          <w:szCs w:val="32"/>
          <w:lang w:eastAsia="zh-CN"/>
        </w:rPr>
        <w:t>国网内蒙古东部电力有限公司</w:t>
      </w:r>
      <w:r>
        <w:rPr>
          <w:rFonts w:hint="eastAsia" w:ascii="仿宋" w:hAnsi="仿宋" w:eastAsia="仿宋" w:cs="仿宋"/>
          <w:sz w:val="32"/>
          <w:szCs w:val="32"/>
        </w:rPr>
        <w:t>：负责电网运行状态监控，隐患排查治理，故障分析与研判；指挥电网事故处理，控制事故范围，防止事故进一步扩大；保障重点地区、重要负荷、重要客户的电力供应；组织电力抢修队伍，调集电力应急物资，开展电网应急抢修，及时恢复电力供应。协调电网、电厂、客户之间的供电恢复，及时报告电网大面积停电有关情况。</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二十八</w:t>
      </w:r>
      <w:r>
        <w:rPr>
          <w:rFonts w:hint="eastAsia" w:ascii="仿宋" w:hAnsi="仿宋" w:eastAsia="仿宋" w:cs="仿宋"/>
          <w:sz w:val="32"/>
          <w:szCs w:val="32"/>
          <w:lang w:eastAsia="zh-CN"/>
        </w:rPr>
        <w:t>）</w:t>
      </w:r>
      <w:r>
        <w:rPr>
          <w:rFonts w:hint="eastAsia" w:ascii="仿宋" w:hAnsi="仿宋" w:eastAsia="仿宋" w:cs="仿宋"/>
          <w:sz w:val="32"/>
          <w:szCs w:val="32"/>
        </w:rPr>
        <w:t>相关发电企业：负责本单位在应急情况下的生产调度和应急处置，完善</w:t>
      </w:r>
      <w:r>
        <w:rPr>
          <w:rFonts w:hint="eastAsia" w:ascii="仿宋" w:hAnsi="仿宋" w:eastAsia="仿宋" w:cs="仿宋"/>
          <w:sz w:val="32"/>
          <w:szCs w:val="32"/>
          <w:lang w:eastAsia="zh-CN"/>
        </w:rPr>
        <w:t>“</w:t>
      </w:r>
      <w:r>
        <w:rPr>
          <w:rFonts w:hint="eastAsia" w:ascii="仿宋" w:hAnsi="仿宋" w:eastAsia="仿宋" w:cs="仿宋"/>
          <w:sz w:val="32"/>
          <w:szCs w:val="32"/>
        </w:rPr>
        <w:t>保厂用电</w:t>
      </w:r>
      <w:r>
        <w:rPr>
          <w:rFonts w:hint="eastAsia" w:ascii="仿宋" w:hAnsi="仿宋" w:eastAsia="仿宋" w:cs="仿宋"/>
          <w:sz w:val="32"/>
          <w:szCs w:val="32"/>
          <w:lang w:eastAsia="zh-CN"/>
        </w:rPr>
        <w:t>”</w:t>
      </w:r>
      <w:r>
        <w:rPr>
          <w:rFonts w:hint="eastAsia" w:ascii="仿宋" w:hAnsi="仿宋" w:eastAsia="仿宋" w:cs="仿宋"/>
          <w:sz w:val="32"/>
          <w:szCs w:val="32"/>
        </w:rPr>
        <w:t>措施，确保机组的启动能力和运行安全。发生大面积停电事件后，做好应急物资供应，及时恢复机组并网运行和调整出力，为地区电网恢复供电与稳定运行提供保障。</w:t>
      </w:r>
    </w:p>
    <w:p>
      <w:pPr>
        <w:keepNext w:val="0"/>
        <w:keepLines w:val="0"/>
        <w:pageBreakBefore w:val="0"/>
        <w:widowControl w:val="0"/>
        <w:kinsoku/>
        <w:wordWrap/>
        <w:overflowPunct/>
        <w:topLinePunct/>
        <w:autoSpaceDE/>
        <w:autoSpaceDN/>
        <w:bidi w:val="0"/>
        <w:adjustRightInd/>
        <w:snapToGrid/>
        <w:spacing w:line="58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bookmarkStart w:id="45" w:name="_Toc32636"/>
      <w:r>
        <w:rPr>
          <w:rFonts w:hint="eastAsia" w:ascii="黑体" w:hAnsi="黑体" w:eastAsia="黑体" w:cs="黑体"/>
          <w:sz w:val="32"/>
          <w:szCs w:val="32"/>
          <w:lang w:val="en-US" w:eastAsia="zh-CN"/>
        </w:rPr>
        <w:t>附件4</w:t>
      </w:r>
      <w:bookmarkEnd w:id="45"/>
    </w:p>
    <w:p>
      <w:pPr>
        <w:keepNext w:val="0"/>
        <w:keepLines w:val="0"/>
        <w:pageBreakBefore w:val="0"/>
        <w:widowControl w:val="0"/>
        <w:kinsoku/>
        <w:wordWrap/>
        <w:overflowPunct/>
        <w:topLinePunct/>
        <w:autoSpaceDE/>
        <w:autoSpaceDN/>
        <w:bidi w:val="0"/>
        <w:adjustRightInd/>
        <w:snapToGrid/>
        <w:spacing w:line="300" w:lineRule="exact"/>
        <w:jc w:val="center"/>
        <w:textAlignment w:val="auto"/>
        <w:rPr>
          <w:rFonts w:hint="eastAsia" w:ascii="方正小标宋_GBK" w:hAnsi="方正小标宋_GBK" w:eastAsia="方正小标宋_GBK" w:cs="方正小标宋_GBK"/>
          <w:sz w:val="44"/>
          <w:szCs w:val="44"/>
          <w:lang w:val="en-US" w:eastAsia="zh-CN"/>
        </w:rPr>
      </w:pPr>
    </w:p>
    <w:p>
      <w:pPr>
        <w:keepNext w:val="0"/>
        <w:keepLines w:val="0"/>
        <w:pageBreakBefore w:val="0"/>
        <w:widowControl w:val="0"/>
        <w:kinsoku/>
        <w:wordWrap/>
        <w:overflowPunct/>
        <w:topLinePunct/>
        <w:autoSpaceDE/>
        <w:autoSpaceDN/>
        <w:bidi w:val="0"/>
        <w:adjustRightInd/>
        <w:snapToGrid/>
        <w:spacing w:line="580"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内蒙古自治区大面积停电事件应急响应流程图</w:t>
      </w:r>
    </w:p>
    <w:p>
      <w:pPr>
        <w:bidi w:val="0"/>
        <w:rPr>
          <w:rFonts w:hint="eastAsia" w:ascii="仿宋_GB2312" w:hAnsi="宋体" w:cs="Arial"/>
          <w:szCs w:val="32"/>
        </w:rPr>
      </w:pPr>
      <w:r>
        <w:rPr>
          <w:rFonts w:hint="eastAsia" w:eastAsia="宋体"/>
          <w:lang w:eastAsia="zh-CN"/>
        </w:rPr>
        <w:drawing>
          <wp:anchor distT="0" distB="0" distL="114300" distR="114300" simplePos="0" relativeHeight="251658240" behindDoc="1" locked="0" layoutInCell="1" allowOverlap="1">
            <wp:simplePos x="0" y="0"/>
            <wp:positionH relativeFrom="column">
              <wp:posOffset>9525</wp:posOffset>
            </wp:positionH>
            <wp:positionV relativeFrom="paragraph">
              <wp:posOffset>121285</wp:posOffset>
            </wp:positionV>
            <wp:extent cx="5685155" cy="7120255"/>
            <wp:effectExtent l="0" t="0" r="10795" b="4445"/>
            <wp:wrapNone/>
            <wp:docPr id="1" name="图片 27" descr="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7" descr="32-2"/>
                    <pic:cNvPicPr>
                      <a:picLocks noChangeAspect="1"/>
                    </pic:cNvPicPr>
                  </pic:nvPicPr>
                  <pic:blipFill>
                    <a:blip r:embed="rId9"/>
                    <a:stretch>
                      <a:fillRect/>
                    </a:stretch>
                  </pic:blipFill>
                  <pic:spPr>
                    <a:xfrm>
                      <a:off x="0" y="0"/>
                      <a:ext cx="5685155" cy="7120255"/>
                    </a:xfrm>
                    <a:prstGeom prst="rect">
                      <a:avLst/>
                    </a:prstGeom>
                    <a:noFill/>
                    <a:ln>
                      <a:noFill/>
                    </a:ln>
                  </pic:spPr>
                </pic:pic>
              </a:graphicData>
            </a:graphic>
          </wp:anchor>
        </w:drawing>
      </w:r>
    </w:p>
    <w:p>
      <w:pPr>
        <w:bidi w:val="0"/>
        <w:rPr>
          <w:rFonts w:hint="eastAsia" w:ascii="仿宋_GB2312" w:hAnsi="宋体" w:cs="Arial"/>
          <w:szCs w:val="32"/>
        </w:rPr>
      </w:pPr>
    </w:p>
    <w:p>
      <w:pPr>
        <w:bidi w:val="0"/>
        <w:rPr>
          <w:rFonts w:hint="eastAsia" w:ascii="仿宋_GB2312" w:hAnsi="宋体" w:cs="Arial"/>
          <w:szCs w:val="32"/>
        </w:rPr>
      </w:pPr>
    </w:p>
    <w:p>
      <w:pPr>
        <w:bidi w:val="0"/>
        <w:rPr>
          <w:rFonts w:hint="eastAsia" w:ascii="仿宋_GB2312" w:hAnsi="宋体" w:cs="Arial"/>
          <w:szCs w:val="32"/>
        </w:rPr>
      </w:pPr>
    </w:p>
    <w:p>
      <w:pPr>
        <w:bidi w:val="0"/>
        <w:rPr>
          <w:rFonts w:hint="eastAsia" w:ascii="仿宋_GB2312" w:hAnsi="宋体" w:cs="Arial"/>
          <w:szCs w:val="32"/>
        </w:rPr>
      </w:pPr>
    </w:p>
    <w:p>
      <w:pPr>
        <w:bidi w:val="0"/>
        <w:rPr>
          <w:rFonts w:hint="eastAsia" w:ascii="仿宋_GB2312" w:hAnsi="宋体" w:cs="Arial"/>
          <w:szCs w:val="32"/>
        </w:rPr>
      </w:pPr>
    </w:p>
    <w:p>
      <w:pPr>
        <w:bidi w:val="0"/>
        <w:rPr>
          <w:rFonts w:hint="eastAsia" w:ascii="仿宋_GB2312" w:hAnsi="宋体" w:cs="Arial"/>
          <w:szCs w:val="32"/>
        </w:rPr>
      </w:pPr>
    </w:p>
    <w:p>
      <w:pPr>
        <w:bidi w:val="0"/>
        <w:rPr>
          <w:rFonts w:hint="eastAsia" w:ascii="仿宋_GB2312" w:hAnsi="宋体" w:cs="Arial"/>
          <w:szCs w:val="32"/>
        </w:rPr>
      </w:pPr>
    </w:p>
    <w:p>
      <w:pPr>
        <w:bidi w:val="0"/>
        <w:rPr>
          <w:rFonts w:hint="eastAsia" w:ascii="仿宋_GB2312" w:hAnsi="宋体" w:cs="Arial"/>
          <w:szCs w:val="32"/>
        </w:rPr>
      </w:pPr>
    </w:p>
    <w:p>
      <w:pPr>
        <w:bidi w:val="0"/>
        <w:rPr>
          <w:rFonts w:hint="eastAsia" w:ascii="仿宋_GB2312" w:hAnsi="宋体" w:cs="Arial"/>
          <w:szCs w:val="32"/>
        </w:rPr>
      </w:pPr>
    </w:p>
    <w:p>
      <w:pPr>
        <w:bidi w:val="0"/>
        <w:rPr>
          <w:rFonts w:hint="eastAsia" w:ascii="仿宋_GB2312" w:hAnsi="宋体" w:cs="Arial"/>
          <w:szCs w:val="32"/>
        </w:rPr>
      </w:pPr>
    </w:p>
    <w:p>
      <w:pPr>
        <w:bidi w:val="0"/>
        <w:rPr>
          <w:rFonts w:hint="eastAsia" w:ascii="仿宋_GB2312" w:hAnsi="宋体" w:cs="Arial"/>
          <w:szCs w:val="32"/>
        </w:rPr>
      </w:pPr>
    </w:p>
    <w:p>
      <w:pPr>
        <w:bidi w:val="0"/>
        <w:rPr>
          <w:rFonts w:hint="eastAsia" w:ascii="仿宋_GB2312" w:hAnsi="宋体" w:cs="Arial"/>
          <w:szCs w:val="32"/>
        </w:rPr>
      </w:pPr>
    </w:p>
    <w:p>
      <w:pPr>
        <w:bidi w:val="0"/>
        <w:rPr>
          <w:rFonts w:hint="eastAsia" w:ascii="仿宋_GB2312" w:hAnsi="宋体" w:cs="Arial"/>
          <w:szCs w:val="32"/>
        </w:rPr>
      </w:pPr>
    </w:p>
    <w:p>
      <w:pPr>
        <w:bidi w:val="0"/>
        <w:rPr>
          <w:rFonts w:hint="eastAsia" w:ascii="仿宋_GB2312" w:hAnsi="宋体" w:cs="Arial"/>
          <w:szCs w:val="32"/>
        </w:rPr>
      </w:pPr>
    </w:p>
    <w:p>
      <w:pPr>
        <w:bidi w:val="0"/>
        <w:rPr>
          <w:rFonts w:hint="eastAsia" w:ascii="仿宋_GB2312" w:hAnsi="宋体" w:cs="Arial"/>
          <w:szCs w:val="32"/>
        </w:rPr>
      </w:pPr>
    </w:p>
    <w:p>
      <w:pPr>
        <w:bidi w:val="0"/>
        <w:rPr>
          <w:rFonts w:hint="eastAsia" w:ascii="仿宋_GB2312" w:hAnsi="宋体" w:cs="Arial"/>
          <w:szCs w:val="32"/>
        </w:rPr>
      </w:pPr>
    </w:p>
    <w:p>
      <w:pPr>
        <w:bidi w:val="0"/>
        <w:rPr>
          <w:rFonts w:hint="eastAsia" w:ascii="仿宋_GB2312" w:hAnsi="宋体" w:cs="Arial"/>
          <w:szCs w:val="32"/>
        </w:rPr>
      </w:pPr>
    </w:p>
    <w:p>
      <w:pPr>
        <w:bidi w:val="0"/>
        <w:rPr>
          <w:rFonts w:hint="eastAsia" w:ascii="仿宋_GB2312" w:hAnsi="宋体" w:cs="Arial"/>
          <w:szCs w:val="32"/>
        </w:rPr>
      </w:pPr>
    </w:p>
    <w:p>
      <w:pPr>
        <w:bidi w:val="0"/>
        <w:rPr>
          <w:rFonts w:hint="eastAsia" w:ascii="仿宋_GB2312" w:hAnsi="宋体" w:cs="Arial"/>
          <w:szCs w:val="32"/>
        </w:rPr>
      </w:pPr>
    </w:p>
    <w:p>
      <w:pPr>
        <w:bidi w:val="0"/>
        <w:rPr>
          <w:rFonts w:hint="eastAsia" w:ascii="仿宋_GB2312" w:hAnsi="宋体" w:cs="Arial"/>
          <w:szCs w:val="32"/>
        </w:rPr>
      </w:pPr>
    </w:p>
    <w:p>
      <w:pPr>
        <w:rPr>
          <w:rFonts w:hint="eastAsia" w:eastAsia="宋体"/>
          <w:lang w:eastAsia="zh-CN"/>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eastAsia="宋体"/>
          <w:lang w:eastAsia="zh-CN"/>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rPr>
          <w:rFonts w:hint="eastAsia"/>
        </w:rPr>
      </w:pPr>
    </w:p>
    <w:p>
      <w:pPr>
        <w:pStyle w:val="2"/>
        <w:rPr>
          <w:rFonts w:hint="eastAsia"/>
        </w:rPr>
      </w:pPr>
    </w:p>
    <w:p>
      <w:pPr>
        <w:rPr>
          <w:rFonts w:hint="eastAsia"/>
        </w:rPr>
      </w:pPr>
    </w:p>
    <w:tbl>
      <w:tblPr>
        <w:tblStyle w:val="14"/>
        <w:tblW w:w="8956" w:type="dxa"/>
        <w:jc w:val="center"/>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5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56" w:type="dxa"/>
            <w:noWrap w:val="0"/>
            <w:vAlign w:val="top"/>
          </w:tcPr>
          <w:p>
            <w:pPr>
              <w:spacing w:line="400" w:lineRule="exact"/>
              <w:ind w:firstLine="280" w:firstLineChars="100"/>
              <w:rPr>
                <w:rFonts w:hint="eastAsia" w:ascii="仿宋_GB2312" w:eastAsia="仿宋_GB2312"/>
                <w:sz w:val="28"/>
              </w:rPr>
            </w:pPr>
            <w:r>
              <w:rPr>
                <w:rFonts w:hint="eastAsia" w:ascii="仿宋_GB2312" w:eastAsia="仿宋_GB2312"/>
                <w:sz w:val="28"/>
              </w:rPr>
              <w:t>抄送：自治区党委各部门，内蒙古军区，武警内蒙古总队。</w:t>
            </w:r>
          </w:p>
          <w:p>
            <w:pPr>
              <w:spacing w:line="400" w:lineRule="exact"/>
              <w:rPr>
                <w:rFonts w:hint="eastAsia" w:ascii="仿宋_GB2312" w:eastAsia="仿宋_GB2312"/>
                <w:sz w:val="28"/>
                <w:lang w:eastAsia="zh-CN"/>
              </w:rPr>
            </w:pPr>
            <w:r>
              <w:rPr>
                <w:rFonts w:hint="eastAsia" w:ascii="仿宋_GB2312" w:eastAsia="仿宋_GB2312"/>
                <w:sz w:val="28"/>
                <w:lang w:val="en-US" w:eastAsia="zh-CN"/>
              </w:rPr>
              <w:t xml:space="preserve">        </w:t>
            </w:r>
            <w:r>
              <w:rPr>
                <w:rFonts w:hint="eastAsia" w:ascii="仿宋_GB2312" w:eastAsia="仿宋_GB2312"/>
                <w:sz w:val="28"/>
              </w:rPr>
              <w:t>自治区人大常委会办公厅</w:t>
            </w:r>
            <w:r>
              <w:rPr>
                <w:rFonts w:hint="eastAsia" w:ascii="仿宋_GB2312" w:eastAsia="仿宋_GB2312"/>
                <w:sz w:val="28"/>
                <w:lang w:eastAsia="zh-CN"/>
              </w:rPr>
              <w:t>，自治区</w:t>
            </w:r>
            <w:r>
              <w:rPr>
                <w:rFonts w:hint="eastAsia" w:ascii="仿宋_GB2312" w:eastAsia="仿宋_GB2312"/>
                <w:sz w:val="28"/>
              </w:rPr>
              <w:t>政协办公厅，</w:t>
            </w:r>
            <w:r>
              <w:rPr>
                <w:rFonts w:hint="eastAsia" w:ascii="仿宋_GB2312" w:eastAsia="仿宋_GB2312"/>
                <w:sz w:val="28"/>
                <w:lang w:eastAsia="zh-CN"/>
              </w:rPr>
              <w:t>自治区监委，</w:t>
            </w:r>
          </w:p>
          <w:p>
            <w:pPr>
              <w:spacing w:line="400" w:lineRule="exact"/>
              <w:rPr>
                <w:rFonts w:hint="eastAsia" w:ascii="仿宋_GB2312" w:eastAsia="仿宋_GB2312"/>
                <w:sz w:val="28"/>
              </w:rPr>
            </w:pPr>
            <w:r>
              <w:rPr>
                <w:rFonts w:hint="eastAsia" w:ascii="仿宋_GB2312" w:eastAsia="仿宋_GB2312"/>
                <w:sz w:val="28"/>
                <w:lang w:val="en-US" w:eastAsia="zh-CN"/>
              </w:rPr>
              <w:t xml:space="preserve">        </w:t>
            </w:r>
            <w:r>
              <w:rPr>
                <w:rFonts w:hint="eastAsia" w:ascii="仿宋_GB2312" w:eastAsia="仿宋_GB2312"/>
                <w:sz w:val="28"/>
                <w:lang w:eastAsia="zh-CN"/>
              </w:rPr>
              <w:t>自治区高</w:t>
            </w:r>
            <w:r>
              <w:rPr>
                <w:rFonts w:hint="eastAsia" w:ascii="仿宋_GB2312" w:eastAsia="仿宋_GB2312"/>
                <w:sz w:val="28"/>
              </w:rPr>
              <w:t>级人民法院，</w:t>
            </w:r>
            <w:r>
              <w:rPr>
                <w:rFonts w:hint="eastAsia" w:ascii="仿宋_GB2312" w:eastAsia="仿宋_GB2312"/>
                <w:sz w:val="28"/>
                <w:lang w:eastAsia="zh-CN"/>
              </w:rPr>
              <w:t>自治区人民</w:t>
            </w:r>
            <w:r>
              <w:rPr>
                <w:rFonts w:hint="eastAsia" w:ascii="仿宋_GB2312" w:eastAsia="仿宋_GB2312"/>
                <w:sz w:val="28"/>
              </w:rPr>
              <w:t>检察院。</w:t>
            </w:r>
          </w:p>
          <w:p>
            <w:pPr>
              <w:spacing w:line="400" w:lineRule="exact"/>
              <w:rPr>
                <w:rFonts w:ascii="仿宋_GB2312" w:eastAsia="仿宋_GB2312"/>
                <w:sz w:val="28"/>
              </w:rPr>
            </w:pPr>
            <w:r>
              <w:rPr>
                <w:rFonts w:hint="eastAsia" w:ascii="仿宋_GB2312" w:eastAsia="仿宋_GB2312"/>
                <w:sz w:val="28"/>
                <w:lang w:val="en-US" w:eastAsia="zh-CN"/>
              </w:rPr>
              <w:t xml:space="preserve">        </w:t>
            </w:r>
            <w:r>
              <w:rPr>
                <w:rFonts w:hint="eastAsia" w:ascii="仿宋_GB2312" w:eastAsia="仿宋_GB2312"/>
                <w:sz w:val="28"/>
                <w:lang w:eastAsia="zh-CN"/>
              </w:rPr>
              <w:t>各民主党派区委会，</w:t>
            </w:r>
            <w:r>
              <w:rPr>
                <w:rFonts w:hint="eastAsia" w:ascii="仿宋_GB2312" w:eastAsia="仿宋_GB2312"/>
                <w:sz w:val="28"/>
              </w:rPr>
              <w:t>各人民团体，新闻单位。</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56" w:type="dxa"/>
            <w:noWrap w:val="0"/>
            <w:vAlign w:val="top"/>
          </w:tcPr>
          <w:p>
            <w:pPr>
              <w:ind w:firstLine="280" w:firstLineChars="100"/>
              <w:rPr>
                <w:rFonts w:ascii="仿宋_GB2312" w:eastAsia="仿宋_GB2312"/>
                <w:sz w:val="28"/>
              </w:rPr>
            </w:pPr>
            <w:r>
              <w:rPr>
                <w:rFonts w:hint="eastAsia" w:ascii="仿宋_GB2312" w:eastAsia="仿宋_GB2312"/>
                <w:sz w:val="28"/>
              </w:rPr>
              <w:t>内蒙古自治区人民政府办公厅文电处       202</w:t>
            </w:r>
            <w:r>
              <w:rPr>
                <w:rFonts w:hint="eastAsia" w:ascii="仿宋_GB2312" w:eastAsia="仿宋_GB2312"/>
                <w:sz w:val="28"/>
                <w:lang w:val="en-US" w:eastAsia="zh-CN"/>
              </w:rPr>
              <w:t>5</w:t>
            </w:r>
            <w:r>
              <w:rPr>
                <w:rFonts w:hint="eastAsia" w:ascii="仿宋_GB2312" w:eastAsia="仿宋_GB2312"/>
                <w:sz w:val="28"/>
              </w:rPr>
              <w:t>年</w:t>
            </w:r>
            <w:r>
              <w:rPr>
                <w:rFonts w:hint="eastAsia" w:ascii="仿宋_GB2312" w:eastAsia="仿宋_GB2312"/>
                <w:sz w:val="28"/>
                <w:lang w:val="en-US" w:eastAsia="zh-CN"/>
              </w:rPr>
              <w:t>7</w:t>
            </w:r>
            <w:r>
              <w:rPr>
                <w:rFonts w:hint="eastAsia" w:ascii="仿宋_GB2312" w:eastAsia="仿宋_GB2312"/>
                <w:sz w:val="28"/>
              </w:rPr>
              <w:t>月</w:t>
            </w:r>
            <w:r>
              <w:rPr>
                <w:rFonts w:hint="eastAsia" w:ascii="仿宋_GB2312" w:eastAsia="仿宋_GB2312"/>
                <w:sz w:val="28"/>
                <w:lang w:val="en-US" w:eastAsia="zh-CN"/>
              </w:rPr>
              <w:t>26</w:t>
            </w:r>
            <w:r>
              <w:rPr>
                <w:rFonts w:hint="eastAsia" w:ascii="仿宋_GB2312" w:eastAsia="仿宋_GB2312"/>
                <w:sz w:val="28"/>
              </w:rPr>
              <w:t>日印发</w:t>
            </w:r>
          </w:p>
        </w:tc>
      </w:tr>
    </w:tbl>
    <w:p>
      <w:pPr>
        <w:spacing w:line="20" w:lineRule="exact"/>
        <w:rPr>
          <w:rFonts w:hint="eastAsia"/>
        </w:rPr>
      </w:pPr>
      <w:r>
        <w:rPr>
          <w:rFonts w:hint="eastAsia" w:eastAsia="宋体"/>
          <w:lang w:eastAsia="zh-CN"/>
        </w:rPr>
        <w:drawing>
          <wp:anchor distT="0" distB="0" distL="114300" distR="114300" simplePos="0" relativeHeight="251660288" behindDoc="0" locked="0" layoutInCell="1" allowOverlap="1">
            <wp:simplePos x="0" y="0"/>
            <wp:positionH relativeFrom="column">
              <wp:posOffset>3695700</wp:posOffset>
            </wp:positionH>
            <wp:positionV relativeFrom="paragraph">
              <wp:posOffset>222885</wp:posOffset>
            </wp:positionV>
            <wp:extent cx="1790700" cy="523875"/>
            <wp:effectExtent l="0" t="0" r="0" b="9525"/>
            <wp:wrapSquare wrapText="bothSides"/>
            <wp:docPr id="2" name="图片 28" descr="NZBF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8" descr="NZBF32"/>
                    <pic:cNvPicPr>
                      <a:picLocks noChangeAspect="1"/>
                    </pic:cNvPicPr>
                  </pic:nvPicPr>
                  <pic:blipFill>
                    <a:blip r:embed="rId10"/>
                    <a:stretch>
                      <a:fillRect/>
                    </a:stretch>
                  </pic:blipFill>
                  <pic:spPr>
                    <a:xfrm>
                      <a:off x="0" y="0"/>
                      <a:ext cx="1790700" cy="523875"/>
                    </a:xfrm>
                    <a:prstGeom prst="rect">
                      <a:avLst/>
                    </a:prstGeom>
                    <a:noFill/>
                    <a:ln>
                      <a:noFill/>
                    </a:ln>
                  </pic:spPr>
                </pic:pic>
              </a:graphicData>
            </a:graphic>
          </wp:anchor>
        </w:drawing>
      </w:r>
    </w:p>
    <w:sectPr>
      <w:headerReference r:id="rId3" w:type="default"/>
      <w:footerReference r:id="rId5" w:type="default"/>
      <w:headerReference r:id="rId4" w:type="even"/>
      <w:footerReference r:id="rId6" w:type="even"/>
      <w:pgSz w:w="11906" w:h="16838"/>
      <w:pgMar w:top="2098" w:right="1474" w:bottom="1701" w:left="1474" w:header="851" w:footer="1304" w:gutter="0"/>
      <w:pgNumType w:fmt="numberInDash"/>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moder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ongolian Baiti">
    <w:panose1 w:val="03000500000000000000"/>
    <w:charset w:val="00"/>
    <w:family w:val="script"/>
    <w:pitch w:val="default"/>
    <w:sig w:usb0="80000023" w:usb1="00000000" w:usb2="00020000" w:usb3="00000000" w:csb0="00000001"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3000502000000000000"/>
    <w:charset w:val="86"/>
    <w:family w:val="auto"/>
    <w:pitch w:val="default"/>
    <w:sig w:usb0="00000000" w:usb1="00000000" w:usb2="00000000" w:usb3="00000000" w:csb0="00040000" w:csb1="00000000"/>
  </w:font>
  <w:font w:name="华文仿宋">
    <w:altName w:val="方正仿宋_GBK"/>
    <w:panose1 w:val="02010600040101010101"/>
    <w:charset w:val="00"/>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pPr>
    <w:r>
      <w:rPr>
        <w:sz w:val="18"/>
      </w:rPr>
      <mc:AlternateContent>
        <mc:Choice Requires="wps">
          <w:drawing>
            <wp:anchor distT="0" distB="0" distL="114300" distR="114300" simplePos="0" relativeHeight="251658240" behindDoc="0" locked="0" layoutInCell="1" allowOverlap="1">
              <wp:simplePos x="0" y="0"/>
              <wp:positionH relativeFrom="margin">
                <wp:posOffset>5082540</wp:posOffset>
              </wp:positionH>
              <wp:positionV relativeFrom="paragraph">
                <wp:posOffset>-104775</wp:posOffset>
              </wp:positionV>
              <wp:extent cx="1828800" cy="1828800"/>
              <wp:effectExtent l="0" t="0" r="0" b="0"/>
              <wp:wrapNone/>
              <wp:docPr id="4"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9"/>
                            <w:rPr>
                              <w:rStyle w:val="17"/>
                              <w:rFonts w:hint="eastAsia" w:ascii="宋体" w:hAnsi="宋体"/>
                              <w:sz w:val="28"/>
                              <w:szCs w:val="28"/>
                            </w:rPr>
                          </w:pPr>
                          <w:r>
                            <w:rPr>
                              <w:rFonts w:hint="eastAsia" w:ascii="宋体" w:hAnsi="宋体"/>
                              <w:sz w:val="28"/>
                              <w:szCs w:val="28"/>
                            </w:rPr>
                            <w:fldChar w:fldCharType="begin"/>
                          </w:r>
                          <w:r>
                            <w:rPr>
                              <w:rStyle w:val="17"/>
                              <w:rFonts w:hint="eastAsia" w:ascii="宋体" w:hAnsi="宋体"/>
                              <w:sz w:val="28"/>
                              <w:szCs w:val="28"/>
                            </w:rPr>
                            <w:instrText xml:space="preserve">PAGE  </w:instrText>
                          </w:r>
                          <w:r>
                            <w:rPr>
                              <w:rFonts w:hint="eastAsia" w:ascii="宋体" w:hAnsi="宋体"/>
                              <w:sz w:val="28"/>
                              <w:szCs w:val="28"/>
                            </w:rPr>
                            <w:fldChar w:fldCharType="separate"/>
                          </w:r>
                          <w:r>
                            <w:rPr>
                              <w:rStyle w:val="17"/>
                              <w:rFonts w:ascii="宋体" w:hAnsi="宋体"/>
                              <w:sz w:val="28"/>
                              <w:szCs w:val="28"/>
                            </w:rPr>
                            <w:t>- 1 -</w:t>
                          </w:r>
                          <w:r>
                            <w:rPr>
                              <w:rFonts w:hint="eastAsia" w:ascii="宋体" w:hAnsi="宋体"/>
                              <w:sz w:val="28"/>
                              <w:szCs w:val="28"/>
                            </w:rPr>
                            <w:fldChar w:fldCharType="end"/>
                          </w:r>
                        </w:p>
                      </w:txbxContent>
                    </wps:txbx>
                    <wps:bodyPr vert="horz" wrap="none" lIns="0" tIns="0" rIns="0" bIns="0" anchor="t" anchorCtr="0" upright="0">
                      <a:spAutoFit/>
                    </wps:bodyPr>
                  </wps:wsp>
                </a:graphicData>
              </a:graphic>
            </wp:anchor>
          </w:drawing>
        </mc:Choice>
        <mc:Fallback>
          <w:pict>
            <v:shape id="文本框 5" o:spid="_x0000_s1026" o:spt="202" type="#_x0000_t202" style="position:absolute;left:0pt;margin-left:400.2pt;margin-top:-8.25pt;height:144pt;width:144pt;mso-position-horizontal-relative:margin;mso-wrap-style:none;z-index:251658240;mso-width-relative:page;mso-height-relative:page;" filled="f" stroked="f" coordsize="21600,21600" o:gfxdata="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YElTFdsAAAAMAQAADwAAAAAAAAABACAAAAAiAAAA&#10;ZHJzL2Rvd25yZXYueG1sUEsBAhQAFAAAAAgAh07iQCC6E47LAQAAegMAAA4AAAAAAAAAAQAgAAAA&#10;KgEAAGRycy9lMm9Eb2MueG1sUEsFBgAAAAAGAAYAWQEAAGcFAAAAAA==&#10;">
              <v:fill on="f" focussize="0,0"/>
              <v:stroke on="f" weight="1.25pt"/>
              <v:imagedata o:title=""/>
              <o:lock v:ext="edit" aspectratio="f"/>
              <v:textbox inset="0mm,0mm,0mm,0mm" style="mso-fit-shape-to-text:t;">
                <w:txbxContent>
                  <w:p>
                    <w:pPr>
                      <w:pStyle w:val="9"/>
                      <w:rPr>
                        <w:rStyle w:val="17"/>
                        <w:rFonts w:hint="eastAsia" w:ascii="宋体" w:hAnsi="宋体"/>
                        <w:sz w:val="28"/>
                        <w:szCs w:val="28"/>
                      </w:rPr>
                    </w:pPr>
                    <w:r>
                      <w:rPr>
                        <w:rFonts w:hint="eastAsia" w:ascii="宋体" w:hAnsi="宋体"/>
                        <w:sz w:val="28"/>
                        <w:szCs w:val="28"/>
                      </w:rPr>
                      <w:fldChar w:fldCharType="begin"/>
                    </w:r>
                    <w:r>
                      <w:rPr>
                        <w:rStyle w:val="17"/>
                        <w:rFonts w:hint="eastAsia" w:ascii="宋体" w:hAnsi="宋体"/>
                        <w:sz w:val="28"/>
                        <w:szCs w:val="28"/>
                      </w:rPr>
                      <w:instrText xml:space="preserve">PAGE  </w:instrText>
                    </w:r>
                    <w:r>
                      <w:rPr>
                        <w:rFonts w:hint="eastAsia" w:ascii="宋体" w:hAnsi="宋体"/>
                        <w:sz w:val="28"/>
                        <w:szCs w:val="28"/>
                      </w:rPr>
                      <w:fldChar w:fldCharType="separate"/>
                    </w:r>
                    <w:r>
                      <w:rPr>
                        <w:rStyle w:val="17"/>
                        <w:rFonts w:ascii="宋体" w:hAnsi="宋体"/>
                        <w:sz w:val="28"/>
                        <w:szCs w:val="28"/>
                      </w:rPr>
                      <w:t>- 1 -</w:t>
                    </w:r>
                    <w:r>
                      <w:rPr>
                        <w:rFonts w:hint="eastAsia" w:ascii="宋体" w:hAnsi="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pPr>
    <w:r>
      <w:rPr>
        <w:sz w:val="18"/>
      </w:rPr>
      <mc:AlternateContent>
        <mc:Choice Requires="wps">
          <w:drawing>
            <wp:anchor distT="0" distB="0" distL="114300" distR="114300" simplePos="0" relativeHeight="251659264" behindDoc="0" locked="0" layoutInCell="1" allowOverlap="1">
              <wp:simplePos x="0" y="0"/>
              <wp:positionH relativeFrom="margin">
                <wp:posOffset>72390</wp:posOffset>
              </wp:positionH>
              <wp:positionV relativeFrom="paragraph">
                <wp:posOffset>-114300</wp:posOffset>
              </wp:positionV>
              <wp:extent cx="1828800" cy="1828800"/>
              <wp:effectExtent l="0" t="0" r="0" b="0"/>
              <wp:wrapNone/>
              <wp:docPr id="5"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9"/>
                            <w:rPr>
                              <w:rStyle w:val="17"/>
                              <w:rFonts w:ascii="宋体" w:hAnsi="宋体"/>
                              <w:sz w:val="28"/>
                              <w:szCs w:val="28"/>
                            </w:rPr>
                          </w:pPr>
                          <w:r>
                            <w:rPr>
                              <w:rFonts w:ascii="宋体" w:hAnsi="宋体"/>
                              <w:sz w:val="28"/>
                              <w:szCs w:val="28"/>
                            </w:rPr>
                            <w:fldChar w:fldCharType="begin"/>
                          </w:r>
                          <w:r>
                            <w:rPr>
                              <w:rStyle w:val="17"/>
                              <w:rFonts w:ascii="宋体" w:hAnsi="宋体"/>
                              <w:sz w:val="28"/>
                              <w:szCs w:val="28"/>
                            </w:rPr>
                            <w:instrText xml:space="preserve">PAGE  </w:instrText>
                          </w:r>
                          <w:r>
                            <w:rPr>
                              <w:rFonts w:ascii="宋体" w:hAnsi="宋体"/>
                              <w:sz w:val="28"/>
                              <w:szCs w:val="28"/>
                            </w:rPr>
                            <w:fldChar w:fldCharType="separate"/>
                          </w:r>
                          <w:r>
                            <w:rPr>
                              <w:rStyle w:val="17"/>
                              <w:rFonts w:ascii="宋体" w:hAnsi="宋体"/>
                              <w:sz w:val="28"/>
                              <w:szCs w:val="28"/>
                            </w:rPr>
                            <w:t>- 2 -</w:t>
                          </w:r>
                          <w:r>
                            <w:rPr>
                              <w:rFonts w:ascii="宋体" w:hAnsi="宋体"/>
                              <w:sz w:val="28"/>
                              <w:szCs w:val="28"/>
                            </w:rPr>
                            <w:fldChar w:fldCharType="end"/>
                          </w:r>
                        </w:p>
                      </w:txbxContent>
                    </wps:txbx>
                    <wps:bodyPr vert="horz" wrap="none" lIns="0" tIns="0" rIns="0" bIns="0" anchor="t" anchorCtr="0" upright="0">
                      <a:spAutoFit/>
                    </wps:bodyPr>
                  </wps:wsp>
                </a:graphicData>
              </a:graphic>
            </wp:anchor>
          </w:drawing>
        </mc:Choice>
        <mc:Fallback>
          <w:pict>
            <v:shape id="文本框 6" o:spid="_x0000_s1026" o:spt="202" type="#_x0000_t202" style="position:absolute;left:0pt;margin-left:5.7pt;margin-top:-9pt;height:144pt;width:144pt;mso-position-horizontal-relative:margin;mso-wrap-style:none;z-index:251659264;mso-width-relative:page;mso-height-relative:page;" filled="f" stroked="f" coordsize="21600,21600" o:gfxdata="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TL+3tgAAAAKAQAADwAAAAAAAAABACAAAAAiAAAAZHJz&#10;L2Rvd25yZXYueG1sUEsBAhQAFAAAAAgAh07iQANuKjXLAQAAegMAAA4AAAAAAAAAAQAgAAAAJwEA&#10;AGRycy9lMm9Eb2MueG1sUEsFBgAAAAAGAAYAWQEAAGQFAAAAAA==&#10;">
              <v:fill on="f" focussize="0,0"/>
              <v:stroke on="f" weight="1.25pt"/>
              <v:imagedata o:title=""/>
              <o:lock v:ext="edit" aspectratio="f"/>
              <v:textbox inset="0mm,0mm,0mm,0mm" style="mso-fit-shape-to-text:t;">
                <w:txbxContent>
                  <w:p>
                    <w:pPr>
                      <w:pStyle w:val="9"/>
                      <w:rPr>
                        <w:rStyle w:val="17"/>
                        <w:rFonts w:ascii="宋体" w:hAnsi="宋体"/>
                        <w:sz w:val="28"/>
                        <w:szCs w:val="28"/>
                      </w:rPr>
                    </w:pPr>
                    <w:r>
                      <w:rPr>
                        <w:rFonts w:ascii="宋体" w:hAnsi="宋体"/>
                        <w:sz w:val="28"/>
                        <w:szCs w:val="28"/>
                      </w:rPr>
                      <w:fldChar w:fldCharType="begin"/>
                    </w:r>
                    <w:r>
                      <w:rPr>
                        <w:rStyle w:val="17"/>
                        <w:rFonts w:ascii="宋体" w:hAnsi="宋体"/>
                        <w:sz w:val="28"/>
                        <w:szCs w:val="28"/>
                      </w:rPr>
                      <w:instrText xml:space="preserve">PAGE  </w:instrText>
                    </w:r>
                    <w:r>
                      <w:rPr>
                        <w:rFonts w:ascii="宋体" w:hAnsi="宋体"/>
                        <w:sz w:val="28"/>
                        <w:szCs w:val="28"/>
                      </w:rPr>
                      <w:fldChar w:fldCharType="separate"/>
                    </w:r>
                    <w:r>
                      <w:rPr>
                        <w:rStyle w:val="17"/>
                        <w:rFonts w:ascii="宋体" w:hAnsi="宋体"/>
                        <w:sz w:val="28"/>
                        <w:szCs w:val="28"/>
                      </w:rPr>
                      <w:t>- 2 -</w:t>
                    </w:r>
                    <w:r>
                      <w:rPr>
                        <w:rFonts w:ascii="宋体" w:hAnsi="宋体"/>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revisionView w:markup="0"/>
  <w:documentProtection w:enforcement="0"/>
  <w:defaultTabStop w:val="420"/>
  <w:hyphenationZone w:val="360"/>
  <w:evenAndOddHeaders w:val="1"/>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FAC212"/>
    <w:rsid w:val="0000053B"/>
    <w:rsid w:val="00000BC8"/>
    <w:rsid w:val="00000D35"/>
    <w:rsid w:val="00000E8A"/>
    <w:rsid w:val="00001A5E"/>
    <w:rsid w:val="0001025F"/>
    <w:rsid w:val="00010E72"/>
    <w:rsid w:val="00010FBD"/>
    <w:rsid w:val="000134B5"/>
    <w:rsid w:val="000148CC"/>
    <w:rsid w:val="0001572E"/>
    <w:rsid w:val="0001671F"/>
    <w:rsid w:val="0001751F"/>
    <w:rsid w:val="00017973"/>
    <w:rsid w:val="00017C56"/>
    <w:rsid w:val="00017C8E"/>
    <w:rsid w:val="00017F0C"/>
    <w:rsid w:val="00021290"/>
    <w:rsid w:val="000228A4"/>
    <w:rsid w:val="00024FC9"/>
    <w:rsid w:val="00025291"/>
    <w:rsid w:val="0003004C"/>
    <w:rsid w:val="000305B6"/>
    <w:rsid w:val="00031020"/>
    <w:rsid w:val="00036CC9"/>
    <w:rsid w:val="00037A1D"/>
    <w:rsid w:val="0004119F"/>
    <w:rsid w:val="00041495"/>
    <w:rsid w:val="00043109"/>
    <w:rsid w:val="00043BA4"/>
    <w:rsid w:val="00045126"/>
    <w:rsid w:val="00047737"/>
    <w:rsid w:val="0005120B"/>
    <w:rsid w:val="00053149"/>
    <w:rsid w:val="00055C21"/>
    <w:rsid w:val="00056556"/>
    <w:rsid w:val="00060597"/>
    <w:rsid w:val="00060CE0"/>
    <w:rsid w:val="000615CF"/>
    <w:rsid w:val="0006347A"/>
    <w:rsid w:val="000671EE"/>
    <w:rsid w:val="00070196"/>
    <w:rsid w:val="000701C3"/>
    <w:rsid w:val="00071DE3"/>
    <w:rsid w:val="00071E83"/>
    <w:rsid w:val="0007324B"/>
    <w:rsid w:val="00074623"/>
    <w:rsid w:val="00074AAB"/>
    <w:rsid w:val="00076F96"/>
    <w:rsid w:val="00082970"/>
    <w:rsid w:val="0008397E"/>
    <w:rsid w:val="00090E87"/>
    <w:rsid w:val="00090EB2"/>
    <w:rsid w:val="00091065"/>
    <w:rsid w:val="00097E64"/>
    <w:rsid w:val="000A1E68"/>
    <w:rsid w:val="000A2307"/>
    <w:rsid w:val="000A26F8"/>
    <w:rsid w:val="000A3DA4"/>
    <w:rsid w:val="000A51DB"/>
    <w:rsid w:val="000A7F88"/>
    <w:rsid w:val="000B0241"/>
    <w:rsid w:val="000B182B"/>
    <w:rsid w:val="000B2C2B"/>
    <w:rsid w:val="000B318D"/>
    <w:rsid w:val="000B483E"/>
    <w:rsid w:val="000B76CD"/>
    <w:rsid w:val="000D1918"/>
    <w:rsid w:val="000D2276"/>
    <w:rsid w:val="000D33FD"/>
    <w:rsid w:val="000D46E6"/>
    <w:rsid w:val="000D4B7C"/>
    <w:rsid w:val="000E189F"/>
    <w:rsid w:val="000E242A"/>
    <w:rsid w:val="000E2DE0"/>
    <w:rsid w:val="000E4A4D"/>
    <w:rsid w:val="000E5531"/>
    <w:rsid w:val="000E6931"/>
    <w:rsid w:val="000E7F78"/>
    <w:rsid w:val="000F0166"/>
    <w:rsid w:val="000F1D11"/>
    <w:rsid w:val="000F3390"/>
    <w:rsid w:val="000F3786"/>
    <w:rsid w:val="000F3C60"/>
    <w:rsid w:val="000F7B4B"/>
    <w:rsid w:val="00100F1E"/>
    <w:rsid w:val="00104732"/>
    <w:rsid w:val="00104FB1"/>
    <w:rsid w:val="001106F2"/>
    <w:rsid w:val="00110B09"/>
    <w:rsid w:val="0011191E"/>
    <w:rsid w:val="001147E4"/>
    <w:rsid w:val="00114AC4"/>
    <w:rsid w:val="00114FD2"/>
    <w:rsid w:val="00115C3C"/>
    <w:rsid w:val="001166E7"/>
    <w:rsid w:val="00117691"/>
    <w:rsid w:val="0012067D"/>
    <w:rsid w:val="00120FA6"/>
    <w:rsid w:val="00121523"/>
    <w:rsid w:val="00121A80"/>
    <w:rsid w:val="0012298D"/>
    <w:rsid w:val="00122EA1"/>
    <w:rsid w:val="00124296"/>
    <w:rsid w:val="001243C4"/>
    <w:rsid w:val="0012798F"/>
    <w:rsid w:val="00127D04"/>
    <w:rsid w:val="001303D3"/>
    <w:rsid w:val="001316F8"/>
    <w:rsid w:val="00132688"/>
    <w:rsid w:val="00132E64"/>
    <w:rsid w:val="001332BC"/>
    <w:rsid w:val="001340AD"/>
    <w:rsid w:val="0013461A"/>
    <w:rsid w:val="00134CC2"/>
    <w:rsid w:val="00137385"/>
    <w:rsid w:val="00140625"/>
    <w:rsid w:val="00141687"/>
    <w:rsid w:val="00142107"/>
    <w:rsid w:val="00143758"/>
    <w:rsid w:val="00145C0B"/>
    <w:rsid w:val="00145D2E"/>
    <w:rsid w:val="00146D53"/>
    <w:rsid w:val="00147907"/>
    <w:rsid w:val="00151C4B"/>
    <w:rsid w:val="00151F28"/>
    <w:rsid w:val="00153017"/>
    <w:rsid w:val="00155A0E"/>
    <w:rsid w:val="001602EE"/>
    <w:rsid w:val="001608F4"/>
    <w:rsid w:val="0016554C"/>
    <w:rsid w:val="00166461"/>
    <w:rsid w:val="0016715A"/>
    <w:rsid w:val="001679C2"/>
    <w:rsid w:val="00170824"/>
    <w:rsid w:val="0017273F"/>
    <w:rsid w:val="00172ABF"/>
    <w:rsid w:val="00173AA9"/>
    <w:rsid w:val="00177B68"/>
    <w:rsid w:val="00180CF8"/>
    <w:rsid w:val="00182DBF"/>
    <w:rsid w:val="00183AA6"/>
    <w:rsid w:val="001844AF"/>
    <w:rsid w:val="00184638"/>
    <w:rsid w:val="00187037"/>
    <w:rsid w:val="00194319"/>
    <w:rsid w:val="001948D4"/>
    <w:rsid w:val="00197198"/>
    <w:rsid w:val="001A0A30"/>
    <w:rsid w:val="001A102B"/>
    <w:rsid w:val="001A2BD2"/>
    <w:rsid w:val="001A3639"/>
    <w:rsid w:val="001A72B0"/>
    <w:rsid w:val="001B2E25"/>
    <w:rsid w:val="001B36FF"/>
    <w:rsid w:val="001B6A85"/>
    <w:rsid w:val="001C21AB"/>
    <w:rsid w:val="001C291D"/>
    <w:rsid w:val="001C2E2C"/>
    <w:rsid w:val="001C2FB0"/>
    <w:rsid w:val="001C3230"/>
    <w:rsid w:val="001C4131"/>
    <w:rsid w:val="001C472D"/>
    <w:rsid w:val="001D0ADB"/>
    <w:rsid w:val="001D2A39"/>
    <w:rsid w:val="001D2EC2"/>
    <w:rsid w:val="001D3381"/>
    <w:rsid w:val="001D38D9"/>
    <w:rsid w:val="001D42FD"/>
    <w:rsid w:val="001D50C7"/>
    <w:rsid w:val="001D6269"/>
    <w:rsid w:val="001D62F3"/>
    <w:rsid w:val="001E1712"/>
    <w:rsid w:val="001E3AE1"/>
    <w:rsid w:val="001E4564"/>
    <w:rsid w:val="001E463E"/>
    <w:rsid w:val="001E48FC"/>
    <w:rsid w:val="001E51E8"/>
    <w:rsid w:val="001E5754"/>
    <w:rsid w:val="001E5A4A"/>
    <w:rsid w:val="001F077E"/>
    <w:rsid w:val="001F275C"/>
    <w:rsid w:val="001F4B62"/>
    <w:rsid w:val="001F53DE"/>
    <w:rsid w:val="002014F1"/>
    <w:rsid w:val="002016DC"/>
    <w:rsid w:val="00202305"/>
    <w:rsid w:val="002037DD"/>
    <w:rsid w:val="00203FE2"/>
    <w:rsid w:val="00205C6F"/>
    <w:rsid w:val="002112BA"/>
    <w:rsid w:val="00211B40"/>
    <w:rsid w:val="0021430F"/>
    <w:rsid w:val="0022010B"/>
    <w:rsid w:val="00222BE8"/>
    <w:rsid w:val="00225BC5"/>
    <w:rsid w:val="00226765"/>
    <w:rsid w:val="002301CC"/>
    <w:rsid w:val="00230DF7"/>
    <w:rsid w:val="00233B9B"/>
    <w:rsid w:val="00233CA4"/>
    <w:rsid w:val="00237D8D"/>
    <w:rsid w:val="00243573"/>
    <w:rsid w:val="002438BD"/>
    <w:rsid w:val="00244F58"/>
    <w:rsid w:val="002502FA"/>
    <w:rsid w:val="002508F6"/>
    <w:rsid w:val="00253497"/>
    <w:rsid w:val="00253505"/>
    <w:rsid w:val="002537D8"/>
    <w:rsid w:val="00253D8D"/>
    <w:rsid w:val="00254C91"/>
    <w:rsid w:val="0026009A"/>
    <w:rsid w:val="00260B18"/>
    <w:rsid w:val="00261C1B"/>
    <w:rsid w:val="00263BB4"/>
    <w:rsid w:val="00264B5A"/>
    <w:rsid w:val="00265F33"/>
    <w:rsid w:val="002701FE"/>
    <w:rsid w:val="00271599"/>
    <w:rsid w:val="002750B4"/>
    <w:rsid w:val="002755E6"/>
    <w:rsid w:val="00277086"/>
    <w:rsid w:val="0027732C"/>
    <w:rsid w:val="00284880"/>
    <w:rsid w:val="00286092"/>
    <w:rsid w:val="00290135"/>
    <w:rsid w:val="00294F4F"/>
    <w:rsid w:val="0029606D"/>
    <w:rsid w:val="002973C7"/>
    <w:rsid w:val="002A0CAD"/>
    <w:rsid w:val="002A32E1"/>
    <w:rsid w:val="002A3E00"/>
    <w:rsid w:val="002A5246"/>
    <w:rsid w:val="002A64B4"/>
    <w:rsid w:val="002A67EB"/>
    <w:rsid w:val="002A7BF8"/>
    <w:rsid w:val="002B0F91"/>
    <w:rsid w:val="002B4292"/>
    <w:rsid w:val="002B4C83"/>
    <w:rsid w:val="002C0358"/>
    <w:rsid w:val="002C048B"/>
    <w:rsid w:val="002C1222"/>
    <w:rsid w:val="002C2F22"/>
    <w:rsid w:val="002C409D"/>
    <w:rsid w:val="002C41C0"/>
    <w:rsid w:val="002C4FC3"/>
    <w:rsid w:val="002C5B09"/>
    <w:rsid w:val="002D063C"/>
    <w:rsid w:val="002D22D4"/>
    <w:rsid w:val="002D2CF6"/>
    <w:rsid w:val="002D31DC"/>
    <w:rsid w:val="002D3F3C"/>
    <w:rsid w:val="002D4032"/>
    <w:rsid w:val="002D5A5E"/>
    <w:rsid w:val="002D7462"/>
    <w:rsid w:val="002E0919"/>
    <w:rsid w:val="002E2F22"/>
    <w:rsid w:val="002E3CC3"/>
    <w:rsid w:val="002E55D9"/>
    <w:rsid w:val="002F5BA9"/>
    <w:rsid w:val="00301AC3"/>
    <w:rsid w:val="00302690"/>
    <w:rsid w:val="00302982"/>
    <w:rsid w:val="00303418"/>
    <w:rsid w:val="00316104"/>
    <w:rsid w:val="00317237"/>
    <w:rsid w:val="00321960"/>
    <w:rsid w:val="00322E30"/>
    <w:rsid w:val="00324C04"/>
    <w:rsid w:val="003340DF"/>
    <w:rsid w:val="00334343"/>
    <w:rsid w:val="003347A0"/>
    <w:rsid w:val="00336F88"/>
    <w:rsid w:val="00340FF0"/>
    <w:rsid w:val="00341A6E"/>
    <w:rsid w:val="00342CC3"/>
    <w:rsid w:val="00343E0C"/>
    <w:rsid w:val="00344DA3"/>
    <w:rsid w:val="0034576B"/>
    <w:rsid w:val="00350F9A"/>
    <w:rsid w:val="00351987"/>
    <w:rsid w:val="00351F4C"/>
    <w:rsid w:val="00352A64"/>
    <w:rsid w:val="0035334E"/>
    <w:rsid w:val="003557E4"/>
    <w:rsid w:val="00361A29"/>
    <w:rsid w:val="0036715B"/>
    <w:rsid w:val="00367E4A"/>
    <w:rsid w:val="00371465"/>
    <w:rsid w:val="0037414E"/>
    <w:rsid w:val="0037427E"/>
    <w:rsid w:val="00375606"/>
    <w:rsid w:val="00381A7A"/>
    <w:rsid w:val="00385438"/>
    <w:rsid w:val="00387494"/>
    <w:rsid w:val="003878A5"/>
    <w:rsid w:val="00390619"/>
    <w:rsid w:val="00390C49"/>
    <w:rsid w:val="0039202C"/>
    <w:rsid w:val="00392B94"/>
    <w:rsid w:val="00393F4B"/>
    <w:rsid w:val="00394377"/>
    <w:rsid w:val="003948FC"/>
    <w:rsid w:val="003978C8"/>
    <w:rsid w:val="003A0463"/>
    <w:rsid w:val="003A0C24"/>
    <w:rsid w:val="003A2485"/>
    <w:rsid w:val="003A264D"/>
    <w:rsid w:val="003A31A0"/>
    <w:rsid w:val="003A326C"/>
    <w:rsid w:val="003A3696"/>
    <w:rsid w:val="003A42FA"/>
    <w:rsid w:val="003A5841"/>
    <w:rsid w:val="003A6755"/>
    <w:rsid w:val="003B1AA3"/>
    <w:rsid w:val="003B27EB"/>
    <w:rsid w:val="003B32B0"/>
    <w:rsid w:val="003B59D9"/>
    <w:rsid w:val="003C1EB9"/>
    <w:rsid w:val="003C3249"/>
    <w:rsid w:val="003C3EA0"/>
    <w:rsid w:val="003C419C"/>
    <w:rsid w:val="003C41EC"/>
    <w:rsid w:val="003C4942"/>
    <w:rsid w:val="003D01EF"/>
    <w:rsid w:val="003D14CC"/>
    <w:rsid w:val="003D3B34"/>
    <w:rsid w:val="003D46AE"/>
    <w:rsid w:val="003E323B"/>
    <w:rsid w:val="003E39D4"/>
    <w:rsid w:val="003E549A"/>
    <w:rsid w:val="003E5A89"/>
    <w:rsid w:val="003E7966"/>
    <w:rsid w:val="003F0B67"/>
    <w:rsid w:val="003F1F24"/>
    <w:rsid w:val="003F595E"/>
    <w:rsid w:val="003F6574"/>
    <w:rsid w:val="003F6E09"/>
    <w:rsid w:val="003F728E"/>
    <w:rsid w:val="00402EDB"/>
    <w:rsid w:val="004100FD"/>
    <w:rsid w:val="0041232A"/>
    <w:rsid w:val="004125FC"/>
    <w:rsid w:val="00412AD9"/>
    <w:rsid w:val="00415492"/>
    <w:rsid w:val="004178C8"/>
    <w:rsid w:val="00423C35"/>
    <w:rsid w:val="00424AB3"/>
    <w:rsid w:val="004278D4"/>
    <w:rsid w:val="00430D45"/>
    <w:rsid w:val="00431DA3"/>
    <w:rsid w:val="00432A0C"/>
    <w:rsid w:val="00433DE5"/>
    <w:rsid w:val="00437A54"/>
    <w:rsid w:val="00442031"/>
    <w:rsid w:val="004443C8"/>
    <w:rsid w:val="0044481F"/>
    <w:rsid w:val="004454F7"/>
    <w:rsid w:val="00450079"/>
    <w:rsid w:val="004504E7"/>
    <w:rsid w:val="00452779"/>
    <w:rsid w:val="0045373C"/>
    <w:rsid w:val="00453C0B"/>
    <w:rsid w:val="00456071"/>
    <w:rsid w:val="00456737"/>
    <w:rsid w:val="00456A72"/>
    <w:rsid w:val="00456A79"/>
    <w:rsid w:val="00461EDE"/>
    <w:rsid w:val="004638A8"/>
    <w:rsid w:val="00470220"/>
    <w:rsid w:val="00471E78"/>
    <w:rsid w:val="0047252B"/>
    <w:rsid w:val="00472C32"/>
    <w:rsid w:val="00472D58"/>
    <w:rsid w:val="00473996"/>
    <w:rsid w:val="0047592F"/>
    <w:rsid w:val="004767E9"/>
    <w:rsid w:val="00476AF1"/>
    <w:rsid w:val="00477EF4"/>
    <w:rsid w:val="004823A5"/>
    <w:rsid w:val="00484559"/>
    <w:rsid w:val="004852B6"/>
    <w:rsid w:val="004854B1"/>
    <w:rsid w:val="004876D3"/>
    <w:rsid w:val="004909BB"/>
    <w:rsid w:val="0049197F"/>
    <w:rsid w:val="00493DD9"/>
    <w:rsid w:val="00496CF3"/>
    <w:rsid w:val="00496D57"/>
    <w:rsid w:val="004A135E"/>
    <w:rsid w:val="004A373F"/>
    <w:rsid w:val="004A464E"/>
    <w:rsid w:val="004A4859"/>
    <w:rsid w:val="004B0832"/>
    <w:rsid w:val="004B1D23"/>
    <w:rsid w:val="004B5CC9"/>
    <w:rsid w:val="004B72BC"/>
    <w:rsid w:val="004C0FC4"/>
    <w:rsid w:val="004C1246"/>
    <w:rsid w:val="004C1EC2"/>
    <w:rsid w:val="004C4F15"/>
    <w:rsid w:val="004C61B8"/>
    <w:rsid w:val="004C7700"/>
    <w:rsid w:val="004D028D"/>
    <w:rsid w:val="004D3D71"/>
    <w:rsid w:val="004D4FBD"/>
    <w:rsid w:val="004E1031"/>
    <w:rsid w:val="004E16F4"/>
    <w:rsid w:val="004E2788"/>
    <w:rsid w:val="004E28A4"/>
    <w:rsid w:val="004E3E2A"/>
    <w:rsid w:val="004E441F"/>
    <w:rsid w:val="004F0E59"/>
    <w:rsid w:val="004F1A93"/>
    <w:rsid w:val="004F27DA"/>
    <w:rsid w:val="004F29A2"/>
    <w:rsid w:val="004F2EAE"/>
    <w:rsid w:val="004F2FDA"/>
    <w:rsid w:val="004F49DE"/>
    <w:rsid w:val="004F4C83"/>
    <w:rsid w:val="004F564A"/>
    <w:rsid w:val="004F6088"/>
    <w:rsid w:val="0050055F"/>
    <w:rsid w:val="00501A8E"/>
    <w:rsid w:val="00502983"/>
    <w:rsid w:val="005045F2"/>
    <w:rsid w:val="0051102B"/>
    <w:rsid w:val="0051110B"/>
    <w:rsid w:val="00513E02"/>
    <w:rsid w:val="005141F0"/>
    <w:rsid w:val="00514727"/>
    <w:rsid w:val="0051691A"/>
    <w:rsid w:val="00520B20"/>
    <w:rsid w:val="005216DB"/>
    <w:rsid w:val="00522BE1"/>
    <w:rsid w:val="00525134"/>
    <w:rsid w:val="00527055"/>
    <w:rsid w:val="00527860"/>
    <w:rsid w:val="005302E8"/>
    <w:rsid w:val="005355C1"/>
    <w:rsid w:val="00537C60"/>
    <w:rsid w:val="005403BB"/>
    <w:rsid w:val="00540508"/>
    <w:rsid w:val="00541462"/>
    <w:rsid w:val="00545692"/>
    <w:rsid w:val="00545900"/>
    <w:rsid w:val="00547939"/>
    <w:rsid w:val="0055006E"/>
    <w:rsid w:val="005528A4"/>
    <w:rsid w:val="0055343F"/>
    <w:rsid w:val="005538B1"/>
    <w:rsid w:val="005570A3"/>
    <w:rsid w:val="00557BB6"/>
    <w:rsid w:val="005617E0"/>
    <w:rsid w:val="005618EC"/>
    <w:rsid w:val="005623D2"/>
    <w:rsid w:val="0056793D"/>
    <w:rsid w:val="00570476"/>
    <w:rsid w:val="005758B0"/>
    <w:rsid w:val="0057593B"/>
    <w:rsid w:val="005761DA"/>
    <w:rsid w:val="00576B9B"/>
    <w:rsid w:val="005775A5"/>
    <w:rsid w:val="00577A94"/>
    <w:rsid w:val="00577CD6"/>
    <w:rsid w:val="00581C4B"/>
    <w:rsid w:val="005820C9"/>
    <w:rsid w:val="00582F58"/>
    <w:rsid w:val="005847C1"/>
    <w:rsid w:val="005903E6"/>
    <w:rsid w:val="005906A6"/>
    <w:rsid w:val="00590E74"/>
    <w:rsid w:val="00593B63"/>
    <w:rsid w:val="005A1F8D"/>
    <w:rsid w:val="005A5376"/>
    <w:rsid w:val="005A6087"/>
    <w:rsid w:val="005A67BB"/>
    <w:rsid w:val="005A740E"/>
    <w:rsid w:val="005B0120"/>
    <w:rsid w:val="005B0BCC"/>
    <w:rsid w:val="005B2090"/>
    <w:rsid w:val="005B2A3B"/>
    <w:rsid w:val="005B2A9E"/>
    <w:rsid w:val="005B2AFE"/>
    <w:rsid w:val="005B39F8"/>
    <w:rsid w:val="005B3F4F"/>
    <w:rsid w:val="005C2B4E"/>
    <w:rsid w:val="005C5E3B"/>
    <w:rsid w:val="005C663F"/>
    <w:rsid w:val="005C79E2"/>
    <w:rsid w:val="005D07B3"/>
    <w:rsid w:val="005D1611"/>
    <w:rsid w:val="005D4A7B"/>
    <w:rsid w:val="005E0DCD"/>
    <w:rsid w:val="005E5234"/>
    <w:rsid w:val="005E7F3F"/>
    <w:rsid w:val="005F29F1"/>
    <w:rsid w:val="005F38E6"/>
    <w:rsid w:val="005F6CAA"/>
    <w:rsid w:val="00602DE5"/>
    <w:rsid w:val="0060451F"/>
    <w:rsid w:val="006049B5"/>
    <w:rsid w:val="006054BF"/>
    <w:rsid w:val="0060556C"/>
    <w:rsid w:val="00605FB9"/>
    <w:rsid w:val="006077DA"/>
    <w:rsid w:val="00613495"/>
    <w:rsid w:val="006138A9"/>
    <w:rsid w:val="00616699"/>
    <w:rsid w:val="006217C9"/>
    <w:rsid w:val="006217CD"/>
    <w:rsid w:val="00622118"/>
    <w:rsid w:val="00622A7A"/>
    <w:rsid w:val="00623F3E"/>
    <w:rsid w:val="00626C25"/>
    <w:rsid w:val="00632581"/>
    <w:rsid w:val="00633367"/>
    <w:rsid w:val="0063404D"/>
    <w:rsid w:val="00637C57"/>
    <w:rsid w:val="00640710"/>
    <w:rsid w:val="00642967"/>
    <w:rsid w:val="00643C82"/>
    <w:rsid w:val="0064774E"/>
    <w:rsid w:val="00655583"/>
    <w:rsid w:val="00657A43"/>
    <w:rsid w:val="00660860"/>
    <w:rsid w:val="00660BC7"/>
    <w:rsid w:val="0066177F"/>
    <w:rsid w:val="00661FD1"/>
    <w:rsid w:val="006631A6"/>
    <w:rsid w:val="006635EA"/>
    <w:rsid w:val="0066581C"/>
    <w:rsid w:val="00670F37"/>
    <w:rsid w:val="00674510"/>
    <w:rsid w:val="0067548C"/>
    <w:rsid w:val="0068029A"/>
    <w:rsid w:val="00684358"/>
    <w:rsid w:val="00686D4F"/>
    <w:rsid w:val="00687BC5"/>
    <w:rsid w:val="00691763"/>
    <w:rsid w:val="0069233D"/>
    <w:rsid w:val="006A28D5"/>
    <w:rsid w:val="006A3076"/>
    <w:rsid w:val="006A3B57"/>
    <w:rsid w:val="006A4BE5"/>
    <w:rsid w:val="006A55AD"/>
    <w:rsid w:val="006A65EF"/>
    <w:rsid w:val="006B6188"/>
    <w:rsid w:val="006C492D"/>
    <w:rsid w:val="006C6369"/>
    <w:rsid w:val="006D2826"/>
    <w:rsid w:val="006D44DF"/>
    <w:rsid w:val="006D582C"/>
    <w:rsid w:val="006D6106"/>
    <w:rsid w:val="006E16EF"/>
    <w:rsid w:val="006E58B8"/>
    <w:rsid w:val="006E628F"/>
    <w:rsid w:val="006E7D08"/>
    <w:rsid w:val="006F0642"/>
    <w:rsid w:val="006F069F"/>
    <w:rsid w:val="006F0977"/>
    <w:rsid w:val="006F19A2"/>
    <w:rsid w:val="006F320A"/>
    <w:rsid w:val="006F4AF1"/>
    <w:rsid w:val="006F6C03"/>
    <w:rsid w:val="006F793B"/>
    <w:rsid w:val="006F7A1E"/>
    <w:rsid w:val="007014BE"/>
    <w:rsid w:val="00704458"/>
    <w:rsid w:val="0070677A"/>
    <w:rsid w:val="00707093"/>
    <w:rsid w:val="00707748"/>
    <w:rsid w:val="00707A12"/>
    <w:rsid w:val="007103AB"/>
    <w:rsid w:val="007107BA"/>
    <w:rsid w:val="00710CE7"/>
    <w:rsid w:val="007227D3"/>
    <w:rsid w:val="00730BED"/>
    <w:rsid w:val="007327B6"/>
    <w:rsid w:val="00737112"/>
    <w:rsid w:val="007375F9"/>
    <w:rsid w:val="007377CC"/>
    <w:rsid w:val="007418CF"/>
    <w:rsid w:val="007443AD"/>
    <w:rsid w:val="00745BA7"/>
    <w:rsid w:val="00745F2F"/>
    <w:rsid w:val="007469D2"/>
    <w:rsid w:val="0075198B"/>
    <w:rsid w:val="007543DE"/>
    <w:rsid w:val="007566F0"/>
    <w:rsid w:val="00760780"/>
    <w:rsid w:val="00763624"/>
    <w:rsid w:val="0076441E"/>
    <w:rsid w:val="0076657F"/>
    <w:rsid w:val="00766D83"/>
    <w:rsid w:val="00774B22"/>
    <w:rsid w:val="00777A09"/>
    <w:rsid w:val="007837F3"/>
    <w:rsid w:val="007904A7"/>
    <w:rsid w:val="00794C4E"/>
    <w:rsid w:val="007963A2"/>
    <w:rsid w:val="007A6F05"/>
    <w:rsid w:val="007B097B"/>
    <w:rsid w:val="007B6642"/>
    <w:rsid w:val="007C5CDC"/>
    <w:rsid w:val="007C6DEF"/>
    <w:rsid w:val="007C7C36"/>
    <w:rsid w:val="007D1C46"/>
    <w:rsid w:val="007D340E"/>
    <w:rsid w:val="007D5A8A"/>
    <w:rsid w:val="007D62CA"/>
    <w:rsid w:val="007D66C2"/>
    <w:rsid w:val="007D765B"/>
    <w:rsid w:val="007E0BFD"/>
    <w:rsid w:val="007E158B"/>
    <w:rsid w:val="007E20CA"/>
    <w:rsid w:val="007F042D"/>
    <w:rsid w:val="007F0737"/>
    <w:rsid w:val="007F0940"/>
    <w:rsid w:val="007F19AC"/>
    <w:rsid w:val="007F1E62"/>
    <w:rsid w:val="007F24F6"/>
    <w:rsid w:val="007F2A0D"/>
    <w:rsid w:val="007F2A7E"/>
    <w:rsid w:val="007F552B"/>
    <w:rsid w:val="007F63EC"/>
    <w:rsid w:val="00800C47"/>
    <w:rsid w:val="00803F1B"/>
    <w:rsid w:val="008056A7"/>
    <w:rsid w:val="00805852"/>
    <w:rsid w:val="00805B22"/>
    <w:rsid w:val="00810805"/>
    <w:rsid w:val="00810F55"/>
    <w:rsid w:val="00811A91"/>
    <w:rsid w:val="00811DF8"/>
    <w:rsid w:val="00814958"/>
    <w:rsid w:val="008149CF"/>
    <w:rsid w:val="00816CA5"/>
    <w:rsid w:val="00817FC3"/>
    <w:rsid w:val="00823E54"/>
    <w:rsid w:val="008244BB"/>
    <w:rsid w:val="00824A4E"/>
    <w:rsid w:val="008254E7"/>
    <w:rsid w:val="0083477F"/>
    <w:rsid w:val="00837152"/>
    <w:rsid w:val="00837596"/>
    <w:rsid w:val="00840886"/>
    <w:rsid w:val="008408A0"/>
    <w:rsid w:val="00846E88"/>
    <w:rsid w:val="008501A5"/>
    <w:rsid w:val="00854ADE"/>
    <w:rsid w:val="008576F0"/>
    <w:rsid w:val="00857C89"/>
    <w:rsid w:val="00857FE1"/>
    <w:rsid w:val="008611F2"/>
    <w:rsid w:val="0086125A"/>
    <w:rsid w:val="00861E1F"/>
    <w:rsid w:val="00861EE2"/>
    <w:rsid w:val="00862598"/>
    <w:rsid w:val="00864151"/>
    <w:rsid w:val="00865C0D"/>
    <w:rsid w:val="00867F1E"/>
    <w:rsid w:val="008707CA"/>
    <w:rsid w:val="00871650"/>
    <w:rsid w:val="00872A55"/>
    <w:rsid w:val="00873542"/>
    <w:rsid w:val="00880C71"/>
    <w:rsid w:val="0088117B"/>
    <w:rsid w:val="00882531"/>
    <w:rsid w:val="0088714E"/>
    <w:rsid w:val="00887FA5"/>
    <w:rsid w:val="008926B7"/>
    <w:rsid w:val="0089561E"/>
    <w:rsid w:val="008A0590"/>
    <w:rsid w:val="008A7D03"/>
    <w:rsid w:val="008B063A"/>
    <w:rsid w:val="008B066F"/>
    <w:rsid w:val="008B2878"/>
    <w:rsid w:val="008B2A80"/>
    <w:rsid w:val="008B4122"/>
    <w:rsid w:val="008B534E"/>
    <w:rsid w:val="008B536E"/>
    <w:rsid w:val="008B5F79"/>
    <w:rsid w:val="008B61CE"/>
    <w:rsid w:val="008C2242"/>
    <w:rsid w:val="008C2FFC"/>
    <w:rsid w:val="008C3D85"/>
    <w:rsid w:val="008D2512"/>
    <w:rsid w:val="008D3423"/>
    <w:rsid w:val="008D416F"/>
    <w:rsid w:val="008D6580"/>
    <w:rsid w:val="008E1E2A"/>
    <w:rsid w:val="008E277B"/>
    <w:rsid w:val="008E3748"/>
    <w:rsid w:val="008E45DE"/>
    <w:rsid w:val="008E765D"/>
    <w:rsid w:val="008F733C"/>
    <w:rsid w:val="00904292"/>
    <w:rsid w:val="00910626"/>
    <w:rsid w:val="00910AC9"/>
    <w:rsid w:val="0091236B"/>
    <w:rsid w:val="009135EF"/>
    <w:rsid w:val="009150AA"/>
    <w:rsid w:val="009167EA"/>
    <w:rsid w:val="00916E26"/>
    <w:rsid w:val="00917CF5"/>
    <w:rsid w:val="009203AD"/>
    <w:rsid w:val="00920BA7"/>
    <w:rsid w:val="00921D50"/>
    <w:rsid w:val="00923ABF"/>
    <w:rsid w:val="009257CF"/>
    <w:rsid w:val="00926D34"/>
    <w:rsid w:val="00926E93"/>
    <w:rsid w:val="00927FAF"/>
    <w:rsid w:val="0093066E"/>
    <w:rsid w:val="00930C66"/>
    <w:rsid w:val="00932131"/>
    <w:rsid w:val="00933AD4"/>
    <w:rsid w:val="00935D37"/>
    <w:rsid w:val="00936389"/>
    <w:rsid w:val="00940633"/>
    <w:rsid w:val="009413D6"/>
    <w:rsid w:val="009418C7"/>
    <w:rsid w:val="00942DC2"/>
    <w:rsid w:val="009433EF"/>
    <w:rsid w:val="00943770"/>
    <w:rsid w:val="0094465F"/>
    <w:rsid w:val="00947975"/>
    <w:rsid w:val="00956CA1"/>
    <w:rsid w:val="00957FC8"/>
    <w:rsid w:val="0096020A"/>
    <w:rsid w:val="00960DBD"/>
    <w:rsid w:val="00960E8B"/>
    <w:rsid w:val="009618C6"/>
    <w:rsid w:val="0096652B"/>
    <w:rsid w:val="00967743"/>
    <w:rsid w:val="009700AC"/>
    <w:rsid w:val="00970E4B"/>
    <w:rsid w:val="0097162D"/>
    <w:rsid w:val="0097473C"/>
    <w:rsid w:val="00974D3A"/>
    <w:rsid w:val="0097594A"/>
    <w:rsid w:val="00977B8C"/>
    <w:rsid w:val="00980419"/>
    <w:rsid w:val="00980D23"/>
    <w:rsid w:val="00983562"/>
    <w:rsid w:val="00985E2D"/>
    <w:rsid w:val="00990379"/>
    <w:rsid w:val="0099164F"/>
    <w:rsid w:val="00994467"/>
    <w:rsid w:val="00994538"/>
    <w:rsid w:val="00995057"/>
    <w:rsid w:val="0099782D"/>
    <w:rsid w:val="00997D7A"/>
    <w:rsid w:val="009A323D"/>
    <w:rsid w:val="009A477F"/>
    <w:rsid w:val="009A4D6E"/>
    <w:rsid w:val="009A54A9"/>
    <w:rsid w:val="009B0F62"/>
    <w:rsid w:val="009B4126"/>
    <w:rsid w:val="009B4573"/>
    <w:rsid w:val="009B5ABF"/>
    <w:rsid w:val="009B6906"/>
    <w:rsid w:val="009B7AF2"/>
    <w:rsid w:val="009B7E26"/>
    <w:rsid w:val="009C0CFE"/>
    <w:rsid w:val="009C323E"/>
    <w:rsid w:val="009C3D15"/>
    <w:rsid w:val="009D16DF"/>
    <w:rsid w:val="009D1830"/>
    <w:rsid w:val="009D1AC9"/>
    <w:rsid w:val="009D1DF7"/>
    <w:rsid w:val="009D3B7A"/>
    <w:rsid w:val="009D417C"/>
    <w:rsid w:val="009D455E"/>
    <w:rsid w:val="009E41F1"/>
    <w:rsid w:val="009E6969"/>
    <w:rsid w:val="009F13D4"/>
    <w:rsid w:val="009F14F1"/>
    <w:rsid w:val="009F1CFB"/>
    <w:rsid w:val="009F1DFF"/>
    <w:rsid w:val="009F35D0"/>
    <w:rsid w:val="009F3B9B"/>
    <w:rsid w:val="009F5A1E"/>
    <w:rsid w:val="009F69BD"/>
    <w:rsid w:val="009F69DB"/>
    <w:rsid w:val="009F6E0B"/>
    <w:rsid w:val="00A0130C"/>
    <w:rsid w:val="00A013CD"/>
    <w:rsid w:val="00A027F4"/>
    <w:rsid w:val="00A0337F"/>
    <w:rsid w:val="00A055DB"/>
    <w:rsid w:val="00A0595F"/>
    <w:rsid w:val="00A12557"/>
    <w:rsid w:val="00A12B15"/>
    <w:rsid w:val="00A1338D"/>
    <w:rsid w:val="00A156FF"/>
    <w:rsid w:val="00A15728"/>
    <w:rsid w:val="00A15F73"/>
    <w:rsid w:val="00A1646A"/>
    <w:rsid w:val="00A17257"/>
    <w:rsid w:val="00A1771F"/>
    <w:rsid w:val="00A17737"/>
    <w:rsid w:val="00A206AD"/>
    <w:rsid w:val="00A21826"/>
    <w:rsid w:val="00A223A7"/>
    <w:rsid w:val="00A22CDE"/>
    <w:rsid w:val="00A22ED2"/>
    <w:rsid w:val="00A23026"/>
    <w:rsid w:val="00A23044"/>
    <w:rsid w:val="00A26DD8"/>
    <w:rsid w:val="00A3282B"/>
    <w:rsid w:val="00A3667B"/>
    <w:rsid w:val="00A41CDE"/>
    <w:rsid w:val="00A42678"/>
    <w:rsid w:val="00A44782"/>
    <w:rsid w:val="00A51056"/>
    <w:rsid w:val="00A52ADA"/>
    <w:rsid w:val="00A54A96"/>
    <w:rsid w:val="00A54C2D"/>
    <w:rsid w:val="00A55F01"/>
    <w:rsid w:val="00A5779D"/>
    <w:rsid w:val="00A62053"/>
    <w:rsid w:val="00A65D06"/>
    <w:rsid w:val="00A66B95"/>
    <w:rsid w:val="00A67E61"/>
    <w:rsid w:val="00A746B2"/>
    <w:rsid w:val="00A74FC4"/>
    <w:rsid w:val="00A8034A"/>
    <w:rsid w:val="00A81344"/>
    <w:rsid w:val="00A8144C"/>
    <w:rsid w:val="00A82198"/>
    <w:rsid w:val="00A85729"/>
    <w:rsid w:val="00A869B9"/>
    <w:rsid w:val="00A871E1"/>
    <w:rsid w:val="00A872AA"/>
    <w:rsid w:val="00A87303"/>
    <w:rsid w:val="00A925C8"/>
    <w:rsid w:val="00A92FAC"/>
    <w:rsid w:val="00A93C26"/>
    <w:rsid w:val="00A9486C"/>
    <w:rsid w:val="00A94FB8"/>
    <w:rsid w:val="00A96790"/>
    <w:rsid w:val="00AA07BD"/>
    <w:rsid w:val="00AA3212"/>
    <w:rsid w:val="00AA3545"/>
    <w:rsid w:val="00AA4BD1"/>
    <w:rsid w:val="00AB27A7"/>
    <w:rsid w:val="00AB301E"/>
    <w:rsid w:val="00AB38D9"/>
    <w:rsid w:val="00AB7DAC"/>
    <w:rsid w:val="00AC1974"/>
    <w:rsid w:val="00AC2132"/>
    <w:rsid w:val="00AC4D0F"/>
    <w:rsid w:val="00AC6193"/>
    <w:rsid w:val="00AC685E"/>
    <w:rsid w:val="00AD04B0"/>
    <w:rsid w:val="00AD0907"/>
    <w:rsid w:val="00AD29ED"/>
    <w:rsid w:val="00AD5212"/>
    <w:rsid w:val="00AD57D5"/>
    <w:rsid w:val="00AE14C5"/>
    <w:rsid w:val="00AE36EC"/>
    <w:rsid w:val="00AE43B0"/>
    <w:rsid w:val="00AE4C6F"/>
    <w:rsid w:val="00AE5AAD"/>
    <w:rsid w:val="00AE5CC0"/>
    <w:rsid w:val="00AE688F"/>
    <w:rsid w:val="00AF0A6F"/>
    <w:rsid w:val="00AF2682"/>
    <w:rsid w:val="00AF31FA"/>
    <w:rsid w:val="00AF375F"/>
    <w:rsid w:val="00AF400E"/>
    <w:rsid w:val="00AF4411"/>
    <w:rsid w:val="00AF51A3"/>
    <w:rsid w:val="00AF53DE"/>
    <w:rsid w:val="00AF6933"/>
    <w:rsid w:val="00AF7027"/>
    <w:rsid w:val="00B00D15"/>
    <w:rsid w:val="00B041F1"/>
    <w:rsid w:val="00B05A19"/>
    <w:rsid w:val="00B05C1E"/>
    <w:rsid w:val="00B0602B"/>
    <w:rsid w:val="00B065B9"/>
    <w:rsid w:val="00B07A9F"/>
    <w:rsid w:val="00B12051"/>
    <w:rsid w:val="00B1350C"/>
    <w:rsid w:val="00B13789"/>
    <w:rsid w:val="00B15D33"/>
    <w:rsid w:val="00B162C3"/>
    <w:rsid w:val="00B22EA7"/>
    <w:rsid w:val="00B246E2"/>
    <w:rsid w:val="00B269DB"/>
    <w:rsid w:val="00B332D7"/>
    <w:rsid w:val="00B3342A"/>
    <w:rsid w:val="00B34CE7"/>
    <w:rsid w:val="00B40DCF"/>
    <w:rsid w:val="00B41574"/>
    <w:rsid w:val="00B43C7B"/>
    <w:rsid w:val="00B4489A"/>
    <w:rsid w:val="00B4656E"/>
    <w:rsid w:val="00B47AB4"/>
    <w:rsid w:val="00B509ED"/>
    <w:rsid w:val="00B5388B"/>
    <w:rsid w:val="00B54162"/>
    <w:rsid w:val="00B542D3"/>
    <w:rsid w:val="00B560B0"/>
    <w:rsid w:val="00B56A1E"/>
    <w:rsid w:val="00B57284"/>
    <w:rsid w:val="00B57DEF"/>
    <w:rsid w:val="00B6035B"/>
    <w:rsid w:val="00B64E58"/>
    <w:rsid w:val="00B666ED"/>
    <w:rsid w:val="00B70DED"/>
    <w:rsid w:val="00B713FA"/>
    <w:rsid w:val="00B7317D"/>
    <w:rsid w:val="00B73533"/>
    <w:rsid w:val="00B73E35"/>
    <w:rsid w:val="00B76556"/>
    <w:rsid w:val="00B836D5"/>
    <w:rsid w:val="00B840AB"/>
    <w:rsid w:val="00B84FE0"/>
    <w:rsid w:val="00B90C4D"/>
    <w:rsid w:val="00B92C79"/>
    <w:rsid w:val="00B952EB"/>
    <w:rsid w:val="00B96270"/>
    <w:rsid w:val="00B97680"/>
    <w:rsid w:val="00BA069E"/>
    <w:rsid w:val="00BA0EAF"/>
    <w:rsid w:val="00BA12FD"/>
    <w:rsid w:val="00BA5DE0"/>
    <w:rsid w:val="00BA69BB"/>
    <w:rsid w:val="00BA7956"/>
    <w:rsid w:val="00BA7B67"/>
    <w:rsid w:val="00BB143A"/>
    <w:rsid w:val="00BB77ED"/>
    <w:rsid w:val="00BC07D9"/>
    <w:rsid w:val="00BC0F68"/>
    <w:rsid w:val="00BC5ACB"/>
    <w:rsid w:val="00BD0A62"/>
    <w:rsid w:val="00BD0B0A"/>
    <w:rsid w:val="00BD156F"/>
    <w:rsid w:val="00BD1AAA"/>
    <w:rsid w:val="00BD3403"/>
    <w:rsid w:val="00BD3778"/>
    <w:rsid w:val="00BD384E"/>
    <w:rsid w:val="00BD6CB8"/>
    <w:rsid w:val="00BE03FB"/>
    <w:rsid w:val="00BE1A66"/>
    <w:rsid w:val="00BE25B8"/>
    <w:rsid w:val="00BE472B"/>
    <w:rsid w:val="00BE5150"/>
    <w:rsid w:val="00BE5638"/>
    <w:rsid w:val="00BF04ED"/>
    <w:rsid w:val="00BF37DC"/>
    <w:rsid w:val="00BF60EE"/>
    <w:rsid w:val="00BF7550"/>
    <w:rsid w:val="00C0138E"/>
    <w:rsid w:val="00C023A4"/>
    <w:rsid w:val="00C03B39"/>
    <w:rsid w:val="00C03DAB"/>
    <w:rsid w:val="00C0403E"/>
    <w:rsid w:val="00C05D5F"/>
    <w:rsid w:val="00C062CC"/>
    <w:rsid w:val="00C06C13"/>
    <w:rsid w:val="00C076E1"/>
    <w:rsid w:val="00C10609"/>
    <w:rsid w:val="00C1296E"/>
    <w:rsid w:val="00C168B8"/>
    <w:rsid w:val="00C16B94"/>
    <w:rsid w:val="00C2004B"/>
    <w:rsid w:val="00C22AFA"/>
    <w:rsid w:val="00C24A34"/>
    <w:rsid w:val="00C275DE"/>
    <w:rsid w:val="00C344E7"/>
    <w:rsid w:val="00C34C2B"/>
    <w:rsid w:val="00C471EE"/>
    <w:rsid w:val="00C5090D"/>
    <w:rsid w:val="00C516A1"/>
    <w:rsid w:val="00C531FF"/>
    <w:rsid w:val="00C53663"/>
    <w:rsid w:val="00C543E3"/>
    <w:rsid w:val="00C54463"/>
    <w:rsid w:val="00C625FA"/>
    <w:rsid w:val="00C632E3"/>
    <w:rsid w:val="00C644C7"/>
    <w:rsid w:val="00C659D0"/>
    <w:rsid w:val="00C65F9B"/>
    <w:rsid w:val="00C66A8C"/>
    <w:rsid w:val="00C67DA4"/>
    <w:rsid w:val="00C70168"/>
    <w:rsid w:val="00C70F21"/>
    <w:rsid w:val="00C71935"/>
    <w:rsid w:val="00C72875"/>
    <w:rsid w:val="00C72993"/>
    <w:rsid w:val="00C757DA"/>
    <w:rsid w:val="00C77A95"/>
    <w:rsid w:val="00C80569"/>
    <w:rsid w:val="00C81A60"/>
    <w:rsid w:val="00C82864"/>
    <w:rsid w:val="00C86D95"/>
    <w:rsid w:val="00C903C3"/>
    <w:rsid w:val="00C9086C"/>
    <w:rsid w:val="00C91FF9"/>
    <w:rsid w:val="00C92F43"/>
    <w:rsid w:val="00C944E5"/>
    <w:rsid w:val="00C96FC0"/>
    <w:rsid w:val="00C97C5A"/>
    <w:rsid w:val="00CA30D7"/>
    <w:rsid w:val="00CA4F90"/>
    <w:rsid w:val="00CA7846"/>
    <w:rsid w:val="00CB3AE8"/>
    <w:rsid w:val="00CB3EA3"/>
    <w:rsid w:val="00CB5D2C"/>
    <w:rsid w:val="00CC14E4"/>
    <w:rsid w:val="00CC2443"/>
    <w:rsid w:val="00CD1675"/>
    <w:rsid w:val="00CD399D"/>
    <w:rsid w:val="00CD4642"/>
    <w:rsid w:val="00CD5308"/>
    <w:rsid w:val="00CE2266"/>
    <w:rsid w:val="00CE5E6E"/>
    <w:rsid w:val="00CE618F"/>
    <w:rsid w:val="00CE6508"/>
    <w:rsid w:val="00CF21D5"/>
    <w:rsid w:val="00CF77E7"/>
    <w:rsid w:val="00CF7E4F"/>
    <w:rsid w:val="00D023FE"/>
    <w:rsid w:val="00D0487F"/>
    <w:rsid w:val="00D101F0"/>
    <w:rsid w:val="00D1209D"/>
    <w:rsid w:val="00D122FC"/>
    <w:rsid w:val="00D13AEB"/>
    <w:rsid w:val="00D14674"/>
    <w:rsid w:val="00D14BFB"/>
    <w:rsid w:val="00D17773"/>
    <w:rsid w:val="00D178DE"/>
    <w:rsid w:val="00D202DB"/>
    <w:rsid w:val="00D21A57"/>
    <w:rsid w:val="00D2210B"/>
    <w:rsid w:val="00D222CE"/>
    <w:rsid w:val="00D252DC"/>
    <w:rsid w:val="00D3737D"/>
    <w:rsid w:val="00D37406"/>
    <w:rsid w:val="00D377BF"/>
    <w:rsid w:val="00D4207E"/>
    <w:rsid w:val="00D420D3"/>
    <w:rsid w:val="00D44386"/>
    <w:rsid w:val="00D444F3"/>
    <w:rsid w:val="00D4554B"/>
    <w:rsid w:val="00D530AF"/>
    <w:rsid w:val="00D54B07"/>
    <w:rsid w:val="00D55776"/>
    <w:rsid w:val="00D57267"/>
    <w:rsid w:val="00D60772"/>
    <w:rsid w:val="00D60878"/>
    <w:rsid w:val="00D60B47"/>
    <w:rsid w:val="00D616FD"/>
    <w:rsid w:val="00D6281A"/>
    <w:rsid w:val="00D719F3"/>
    <w:rsid w:val="00D721B4"/>
    <w:rsid w:val="00D74F18"/>
    <w:rsid w:val="00D81C3D"/>
    <w:rsid w:val="00D82CD2"/>
    <w:rsid w:val="00D83463"/>
    <w:rsid w:val="00D83650"/>
    <w:rsid w:val="00D87EE7"/>
    <w:rsid w:val="00D91482"/>
    <w:rsid w:val="00D9267E"/>
    <w:rsid w:val="00D92D78"/>
    <w:rsid w:val="00D932EE"/>
    <w:rsid w:val="00D94B63"/>
    <w:rsid w:val="00D94EA0"/>
    <w:rsid w:val="00D96622"/>
    <w:rsid w:val="00D9708A"/>
    <w:rsid w:val="00D97AB1"/>
    <w:rsid w:val="00DA1925"/>
    <w:rsid w:val="00DA35CA"/>
    <w:rsid w:val="00DA70FF"/>
    <w:rsid w:val="00DB0CCF"/>
    <w:rsid w:val="00DB3818"/>
    <w:rsid w:val="00DB4518"/>
    <w:rsid w:val="00DB6B93"/>
    <w:rsid w:val="00DB6C2C"/>
    <w:rsid w:val="00DC0A4B"/>
    <w:rsid w:val="00DC0E9B"/>
    <w:rsid w:val="00DC21CC"/>
    <w:rsid w:val="00DC73F9"/>
    <w:rsid w:val="00DC7CCD"/>
    <w:rsid w:val="00DD19B7"/>
    <w:rsid w:val="00DD22BC"/>
    <w:rsid w:val="00DE279C"/>
    <w:rsid w:val="00DE52B4"/>
    <w:rsid w:val="00DF14B1"/>
    <w:rsid w:val="00DF1A59"/>
    <w:rsid w:val="00DF35B5"/>
    <w:rsid w:val="00DF5F69"/>
    <w:rsid w:val="00DF761C"/>
    <w:rsid w:val="00E0152C"/>
    <w:rsid w:val="00E05300"/>
    <w:rsid w:val="00E06B2D"/>
    <w:rsid w:val="00E06E06"/>
    <w:rsid w:val="00E108C6"/>
    <w:rsid w:val="00E11FB2"/>
    <w:rsid w:val="00E12664"/>
    <w:rsid w:val="00E1274D"/>
    <w:rsid w:val="00E13203"/>
    <w:rsid w:val="00E135BE"/>
    <w:rsid w:val="00E13CA2"/>
    <w:rsid w:val="00E14D5C"/>
    <w:rsid w:val="00E15AF3"/>
    <w:rsid w:val="00E161D1"/>
    <w:rsid w:val="00E16572"/>
    <w:rsid w:val="00E1689F"/>
    <w:rsid w:val="00E17254"/>
    <w:rsid w:val="00E212BE"/>
    <w:rsid w:val="00E21FA4"/>
    <w:rsid w:val="00E22D24"/>
    <w:rsid w:val="00E22F24"/>
    <w:rsid w:val="00E2382F"/>
    <w:rsid w:val="00E24E5D"/>
    <w:rsid w:val="00E3217C"/>
    <w:rsid w:val="00E36741"/>
    <w:rsid w:val="00E36C64"/>
    <w:rsid w:val="00E373AE"/>
    <w:rsid w:val="00E41597"/>
    <w:rsid w:val="00E4172D"/>
    <w:rsid w:val="00E4182E"/>
    <w:rsid w:val="00E50413"/>
    <w:rsid w:val="00E55935"/>
    <w:rsid w:val="00E57237"/>
    <w:rsid w:val="00E62506"/>
    <w:rsid w:val="00E63F89"/>
    <w:rsid w:val="00E64BFD"/>
    <w:rsid w:val="00E64C4D"/>
    <w:rsid w:val="00E64EBF"/>
    <w:rsid w:val="00E70383"/>
    <w:rsid w:val="00E709DB"/>
    <w:rsid w:val="00E70F83"/>
    <w:rsid w:val="00E75B4B"/>
    <w:rsid w:val="00E8016B"/>
    <w:rsid w:val="00E80617"/>
    <w:rsid w:val="00E8163D"/>
    <w:rsid w:val="00E85B61"/>
    <w:rsid w:val="00E87088"/>
    <w:rsid w:val="00E941F7"/>
    <w:rsid w:val="00E95E66"/>
    <w:rsid w:val="00E966C3"/>
    <w:rsid w:val="00E97D6F"/>
    <w:rsid w:val="00E97EB0"/>
    <w:rsid w:val="00EA42FC"/>
    <w:rsid w:val="00EA5D2D"/>
    <w:rsid w:val="00EB67DA"/>
    <w:rsid w:val="00EC29B6"/>
    <w:rsid w:val="00EC6399"/>
    <w:rsid w:val="00EC7B6C"/>
    <w:rsid w:val="00ED00C1"/>
    <w:rsid w:val="00ED059D"/>
    <w:rsid w:val="00ED11DD"/>
    <w:rsid w:val="00ED3579"/>
    <w:rsid w:val="00ED36C0"/>
    <w:rsid w:val="00ED4603"/>
    <w:rsid w:val="00ED6EE5"/>
    <w:rsid w:val="00ED7EF1"/>
    <w:rsid w:val="00EE610D"/>
    <w:rsid w:val="00EE6A58"/>
    <w:rsid w:val="00EF59D3"/>
    <w:rsid w:val="00EF7BA0"/>
    <w:rsid w:val="00F00288"/>
    <w:rsid w:val="00F03745"/>
    <w:rsid w:val="00F03899"/>
    <w:rsid w:val="00F10329"/>
    <w:rsid w:val="00F12718"/>
    <w:rsid w:val="00F12B22"/>
    <w:rsid w:val="00F13C9F"/>
    <w:rsid w:val="00F14EF6"/>
    <w:rsid w:val="00F16E43"/>
    <w:rsid w:val="00F16FED"/>
    <w:rsid w:val="00F17570"/>
    <w:rsid w:val="00F20D57"/>
    <w:rsid w:val="00F22550"/>
    <w:rsid w:val="00F23334"/>
    <w:rsid w:val="00F2738E"/>
    <w:rsid w:val="00F3016E"/>
    <w:rsid w:val="00F3551A"/>
    <w:rsid w:val="00F379AA"/>
    <w:rsid w:val="00F44761"/>
    <w:rsid w:val="00F46AB3"/>
    <w:rsid w:val="00F474B2"/>
    <w:rsid w:val="00F50369"/>
    <w:rsid w:val="00F50692"/>
    <w:rsid w:val="00F5173D"/>
    <w:rsid w:val="00F52276"/>
    <w:rsid w:val="00F565B8"/>
    <w:rsid w:val="00F575A7"/>
    <w:rsid w:val="00F60831"/>
    <w:rsid w:val="00F65AD3"/>
    <w:rsid w:val="00F70531"/>
    <w:rsid w:val="00F71128"/>
    <w:rsid w:val="00F71E53"/>
    <w:rsid w:val="00F72B8E"/>
    <w:rsid w:val="00F72D68"/>
    <w:rsid w:val="00F72EFC"/>
    <w:rsid w:val="00F768AB"/>
    <w:rsid w:val="00F76A08"/>
    <w:rsid w:val="00F81D9A"/>
    <w:rsid w:val="00F85DCD"/>
    <w:rsid w:val="00F875D2"/>
    <w:rsid w:val="00F90490"/>
    <w:rsid w:val="00F9269E"/>
    <w:rsid w:val="00F93577"/>
    <w:rsid w:val="00F94AE4"/>
    <w:rsid w:val="00F97389"/>
    <w:rsid w:val="00F976AC"/>
    <w:rsid w:val="00F97B09"/>
    <w:rsid w:val="00FA12AD"/>
    <w:rsid w:val="00FA1C85"/>
    <w:rsid w:val="00FA3864"/>
    <w:rsid w:val="00FA43C3"/>
    <w:rsid w:val="00FA48E5"/>
    <w:rsid w:val="00FA6964"/>
    <w:rsid w:val="00FA6D1C"/>
    <w:rsid w:val="00FB19A9"/>
    <w:rsid w:val="00FC097D"/>
    <w:rsid w:val="00FC0A54"/>
    <w:rsid w:val="00FC2F2E"/>
    <w:rsid w:val="00FC3A41"/>
    <w:rsid w:val="00FD314F"/>
    <w:rsid w:val="00FD3F68"/>
    <w:rsid w:val="00FD6099"/>
    <w:rsid w:val="00FD668C"/>
    <w:rsid w:val="00FD6BBF"/>
    <w:rsid w:val="00FD707C"/>
    <w:rsid w:val="00FE51BD"/>
    <w:rsid w:val="00FE5DC3"/>
    <w:rsid w:val="00FF095F"/>
    <w:rsid w:val="00FF1779"/>
    <w:rsid w:val="00FF1981"/>
    <w:rsid w:val="00FF2340"/>
    <w:rsid w:val="00FF60C7"/>
    <w:rsid w:val="00FF7392"/>
    <w:rsid w:val="011B684E"/>
    <w:rsid w:val="023B43DC"/>
    <w:rsid w:val="0476471E"/>
    <w:rsid w:val="05462E4F"/>
    <w:rsid w:val="074D26E8"/>
    <w:rsid w:val="07C159C5"/>
    <w:rsid w:val="08185CD4"/>
    <w:rsid w:val="08F86A28"/>
    <w:rsid w:val="099C5089"/>
    <w:rsid w:val="0ACD69C7"/>
    <w:rsid w:val="10AA3895"/>
    <w:rsid w:val="110F26B1"/>
    <w:rsid w:val="117F71CE"/>
    <w:rsid w:val="12A94C8B"/>
    <w:rsid w:val="132B2E71"/>
    <w:rsid w:val="13404ED0"/>
    <w:rsid w:val="15AB77C2"/>
    <w:rsid w:val="17F62E1C"/>
    <w:rsid w:val="19E136D2"/>
    <w:rsid w:val="1A7D41CF"/>
    <w:rsid w:val="1C66043C"/>
    <w:rsid w:val="1F5F5A27"/>
    <w:rsid w:val="1FD3237E"/>
    <w:rsid w:val="1FDF66EF"/>
    <w:rsid w:val="21CE0EBF"/>
    <w:rsid w:val="232D2AE5"/>
    <w:rsid w:val="24485B15"/>
    <w:rsid w:val="249B4CF6"/>
    <w:rsid w:val="28E232CB"/>
    <w:rsid w:val="29A65BC2"/>
    <w:rsid w:val="29FD5BA2"/>
    <w:rsid w:val="2B0375AC"/>
    <w:rsid w:val="2B38CBA9"/>
    <w:rsid w:val="2DF54717"/>
    <w:rsid w:val="2EFC295F"/>
    <w:rsid w:val="2FCD9B8E"/>
    <w:rsid w:val="31A32F7F"/>
    <w:rsid w:val="322D6746"/>
    <w:rsid w:val="36305DC0"/>
    <w:rsid w:val="36AB4F76"/>
    <w:rsid w:val="376FE8B8"/>
    <w:rsid w:val="395B2403"/>
    <w:rsid w:val="3A851764"/>
    <w:rsid w:val="3D1C7256"/>
    <w:rsid w:val="3D6A3A36"/>
    <w:rsid w:val="3E3B0FC3"/>
    <w:rsid w:val="3EA705EE"/>
    <w:rsid w:val="3EA97209"/>
    <w:rsid w:val="3ED5582C"/>
    <w:rsid w:val="3F8B91D9"/>
    <w:rsid w:val="4224574B"/>
    <w:rsid w:val="43B61CB1"/>
    <w:rsid w:val="43BC3CB5"/>
    <w:rsid w:val="456E4695"/>
    <w:rsid w:val="45E01A46"/>
    <w:rsid w:val="47903C8B"/>
    <w:rsid w:val="48035ED4"/>
    <w:rsid w:val="4A456A7E"/>
    <w:rsid w:val="4A7A792E"/>
    <w:rsid w:val="4BB12688"/>
    <w:rsid w:val="4F6F12EE"/>
    <w:rsid w:val="50022206"/>
    <w:rsid w:val="51650C56"/>
    <w:rsid w:val="51762C52"/>
    <w:rsid w:val="5425443B"/>
    <w:rsid w:val="577DA4A1"/>
    <w:rsid w:val="57AB0862"/>
    <w:rsid w:val="5B1E5838"/>
    <w:rsid w:val="5BAE3879"/>
    <w:rsid w:val="5BB11256"/>
    <w:rsid w:val="5BFA42BD"/>
    <w:rsid w:val="5CF9715E"/>
    <w:rsid w:val="5DD3031E"/>
    <w:rsid w:val="5F5B0B32"/>
    <w:rsid w:val="5F6FF182"/>
    <w:rsid w:val="5FDF542D"/>
    <w:rsid w:val="5FF2F483"/>
    <w:rsid w:val="607762E0"/>
    <w:rsid w:val="619D5C96"/>
    <w:rsid w:val="64B86B45"/>
    <w:rsid w:val="662933E5"/>
    <w:rsid w:val="670A5C0C"/>
    <w:rsid w:val="67EF1557"/>
    <w:rsid w:val="6ADF4A21"/>
    <w:rsid w:val="6F2C465B"/>
    <w:rsid w:val="6F862F43"/>
    <w:rsid w:val="6FFDD786"/>
    <w:rsid w:val="6FFF992B"/>
    <w:rsid w:val="701C241B"/>
    <w:rsid w:val="70F7A174"/>
    <w:rsid w:val="719F311C"/>
    <w:rsid w:val="73F71438"/>
    <w:rsid w:val="74E5237E"/>
    <w:rsid w:val="79B7F663"/>
    <w:rsid w:val="7B7AC7C0"/>
    <w:rsid w:val="7BBD086B"/>
    <w:rsid w:val="7BFFBB55"/>
    <w:rsid w:val="7D164783"/>
    <w:rsid w:val="7DFAC212"/>
    <w:rsid w:val="7E960D71"/>
    <w:rsid w:val="7E9DBA5F"/>
    <w:rsid w:val="7EF7B224"/>
    <w:rsid w:val="7F6F8426"/>
    <w:rsid w:val="7F7ED253"/>
    <w:rsid w:val="7FBAFAAD"/>
    <w:rsid w:val="7FCB8A21"/>
    <w:rsid w:val="7FDD50FA"/>
    <w:rsid w:val="7FEEE63B"/>
    <w:rsid w:val="7FF733FE"/>
    <w:rsid w:val="7FFFD8AF"/>
    <w:rsid w:val="8FF5A154"/>
    <w:rsid w:val="9BF905E0"/>
    <w:rsid w:val="9DFD5685"/>
    <w:rsid w:val="9FBFD5FF"/>
    <w:rsid w:val="A37E2B8C"/>
    <w:rsid w:val="B7D746FF"/>
    <w:rsid w:val="B7FF1EF8"/>
    <w:rsid w:val="B9BDE97F"/>
    <w:rsid w:val="BBEFC2B6"/>
    <w:rsid w:val="BDFF755F"/>
    <w:rsid w:val="BF6F12ED"/>
    <w:rsid w:val="BFCA94FB"/>
    <w:rsid w:val="CFB7143A"/>
    <w:rsid w:val="CFFB7CE2"/>
    <w:rsid w:val="D31FFB21"/>
    <w:rsid w:val="D4DF736D"/>
    <w:rsid w:val="D7BFC8B8"/>
    <w:rsid w:val="DEFB6981"/>
    <w:rsid w:val="DFDB3386"/>
    <w:rsid w:val="DFFB1A5B"/>
    <w:rsid w:val="EAFFB45B"/>
    <w:rsid w:val="EB76208D"/>
    <w:rsid w:val="EC4E0D89"/>
    <w:rsid w:val="ED7C8795"/>
    <w:rsid w:val="EFFB3814"/>
    <w:rsid w:val="EFFD958C"/>
    <w:rsid w:val="F376E86D"/>
    <w:rsid w:val="F5374EE8"/>
    <w:rsid w:val="F65DDE74"/>
    <w:rsid w:val="F6FC2135"/>
    <w:rsid w:val="F74BAFDF"/>
    <w:rsid w:val="F7EABD69"/>
    <w:rsid w:val="F7EF9CB7"/>
    <w:rsid w:val="F7F89C7C"/>
    <w:rsid w:val="F7FFC6F2"/>
    <w:rsid w:val="F8FB8CE8"/>
    <w:rsid w:val="FAFF9D8F"/>
    <w:rsid w:val="FC9ABFA1"/>
    <w:rsid w:val="FCCD9FF0"/>
    <w:rsid w:val="FD7F4A09"/>
    <w:rsid w:val="FD7F8349"/>
    <w:rsid w:val="FF1FD286"/>
    <w:rsid w:val="FF3F757C"/>
    <w:rsid w:val="FFBB766C"/>
    <w:rsid w:val="FFDF46AE"/>
    <w:rsid w:val="FFEC4C0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20" w:beforeLines="20" w:beforeAutospacing="0" w:after="20" w:afterLines="20" w:afterAutospacing="0" w:line="360" w:lineRule="auto"/>
      <w:ind w:firstLine="640" w:firstLineChars="200"/>
      <w:outlineLvl w:val="0"/>
    </w:pPr>
    <w:rPr>
      <w:rFonts w:ascii="Times New Roman" w:hAnsi="Times New Roman" w:eastAsia="宋体" w:cs="黑体"/>
      <w:b/>
      <w:kern w:val="44"/>
      <w:sz w:val="32"/>
      <w:szCs w:val="32"/>
      <w:lang w:bidi="ar-SA"/>
    </w:rPr>
  </w:style>
  <w:style w:type="paragraph" w:styleId="4">
    <w:name w:val="heading 2"/>
    <w:basedOn w:val="1"/>
    <w:next w:val="1"/>
    <w:link w:val="18"/>
    <w:unhideWhenUsed/>
    <w:qFormat/>
    <w:uiPriority w:val="0"/>
    <w:pPr>
      <w:keepNext/>
      <w:keepLines/>
      <w:spacing w:line="360" w:lineRule="auto"/>
      <w:ind w:firstLine="640" w:firstLineChars="200"/>
      <w:outlineLvl w:val="1"/>
    </w:pPr>
    <w:rPr>
      <w:rFonts w:ascii="Cambria" w:hAnsi="Cambria" w:eastAsia="楷体" w:cs="楷体"/>
      <w:kern w:val="0"/>
      <w:sz w:val="32"/>
      <w:szCs w:val="32"/>
      <w:lang w:bidi="ar-SA"/>
    </w:rPr>
  </w:style>
  <w:style w:type="character" w:default="1" w:styleId="16">
    <w:name w:val="Default Paragraph Font"/>
    <w:semiHidden/>
    <w:uiPriority w:val="0"/>
  </w:style>
  <w:style w:type="table" w:default="1" w:styleId="14">
    <w:name w:val="Normal Table"/>
    <w:semiHidden/>
    <w:uiPriority w:val="0"/>
    <w:tblPr>
      <w:tblLayout w:type="fixed"/>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rFonts w:ascii="Times New Roman" w:hAnsi="Times New Roman" w:eastAsia="宋体" w:cs="Times New Roman"/>
      <w:szCs w:val="24"/>
      <w:lang w:bidi="ar-SA"/>
    </w:rPr>
  </w:style>
  <w:style w:type="paragraph" w:styleId="5">
    <w:name w:val="Document Map"/>
    <w:basedOn w:val="1"/>
    <w:semiHidden/>
    <w:uiPriority w:val="0"/>
    <w:pPr>
      <w:shd w:val="clear" w:color="auto" w:fill="000080"/>
    </w:pPr>
  </w:style>
  <w:style w:type="paragraph" w:styleId="6">
    <w:name w:val="Body Text"/>
    <w:basedOn w:val="1"/>
    <w:qFormat/>
    <w:uiPriority w:val="0"/>
    <w:pPr>
      <w:suppressAutoHyphens/>
      <w:bidi w:val="0"/>
      <w:spacing w:before="0" w:after="140" w:line="276" w:lineRule="auto"/>
    </w:pPr>
    <w:rPr>
      <w:rFonts w:ascii="Calibri" w:hAnsi="Calibri" w:eastAsia="宋体" w:cs="Times New Roman"/>
      <w:color w:val="auto"/>
      <w:sz w:val="21"/>
      <w:szCs w:val="24"/>
      <w:lang w:bidi="ar-SA"/>
    </w:rPr>
  </w:style>
  <w:style w:type="paragraph" w:styleId="7">
    <w:name w:val="Date"/>
    <w:basedOn w:val="1"/>
    <w:next w:val="1"/>
    <w:link w:val="19"/>
    <w:uiPriority w:val="0"/>
    <w:pPr>
      <w:ind w:left="100" w:leftChars="2500"/>
    </w:pPr>
    <w:rPr>
      <w:rFonts w:ascii="仿宋_GB2312" w:eastAsia="仿宋_GB2312"/>
      <w:sz w:val="32"/>
    </w:rPr>
  </w:style>
  <w:style w:type="paragraph" w:styleId="8">
    <w:name w:val="Balloon Text"/>
    <w:basedOn w:val="1"/>
    <w:semiHidden/>
    <w:uiPriority w:val="0"/>
    <w:rPr>
      <w:sz w:val="18"/>
      <w:szCs w:val="18"/>
    </w:rPr>
  </w:style>
  <w:style w:type="paragraph" w:styleId="9">
    <w:name w:val="footer"/>
    <w:basedOn w:val="1"/>
    <w:link w:val="20"/>
    <w:uiPriority w:val="0"/>
    <w:pPr>
      <w:tabs>
        <w:tab w:val="center" w:pos="4153"/>
        <w:tab w:val="right" w:pos="8306"/>
      </w:tabs>
      <w:snapToGrid w:val="0"/>
      <w:jc w:val="left"/>
    </w:pPr>
    <w:rPr>
      <w:sz w:val="18"/>
      <w:szCs w:val="18"/>
    </w:rPr>
  </w:style>
  <w:style w:type="paragraph" w:styleId="10">
    <w:name w:val="header"/>
    <w:basedOn w:val="1"/>
    <w:link w:val="21"/>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0"/>
    <w:rPr>
      <w:rFonts w:ascii="Times New Roman" w:hAnsi="Times New Roman" w:eastAsia="宋体" w:cs="Times New Roman"/>
      <w:szCs w:val="24"/>
      <w:lang w:bidi="ar-SA"/>
    </w:rPr>
  </w:style>
  <w:style w:type="paragraph" w:styleId="12">
    <w:name w:val="toc 2"/>
    <w:basedOn w:val="1"/>
    <w:next w:val="1"/>
    <w:qFormat/>
    <w:uiPriority w:val="39"/>
    <w:pPr>
      <w:ind w:left="420" w:leftChars="200"/>
    </w:pPr>
    <w:rPr>
      <w:rFonts w:ascii="Times New Roman" w:hAnsi="Times New Roman" w:eastAsia="宋体" w:cs="Times New Roman"/>
      <w:sz w:val="24"/>
      <w:szCs w:val="24"/>
      <w:lang w:bidi="ar-SA"/>
    </w:rPr>
  </w:style>
  <w:style w:type="paragraph" w:styleId="13">
    <w:name w:val="Normal (Web)"/>
    <w:basedOn w:val="1"/>
    <w:qFormat/>
    <w:uiPriority w:val="99"/>
    <w:pPr>
      <w:widowControl/>
      <w:spacing w:before="100" w:beforeLines="0" w:beforeAutospacing="1" w:after="100" w:afterLines="0" w:afterAutospacing="1"/>
      <w:jc w:val="left"/>
    </w:pPr>
    <w:rPr>
      <w:rFonts w:ascii="宋体" w:hAnsi="宋体" w:eastAsia="宋体" w:cs="Times New Roman"/>
      <w:kern w:val="0"/>
      <w:sz w:val="24"/>
      <w:szCs w:val="24"/>
      <w:lang w:bidi="ar-SA"/>
    </w:rPr>
  </w:style>
  <w:style w:type="table" w:styleId="15">
    <w:name w:val="Table Grid"/>
    <w:basedOn w:val="14"/>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7">
    <w:name w:val="page number"/>
    <w:basedOn w:val="16"/>
    <w:uiPriority w:val="0"/>
  </w:style>
  <w:style w:type="character" w:customStyle="1" w:styleId="18">
    <w:name w:val="标题 2 Char"/>
    <w:link w:val="4"/>
    <w:qFormat/>
    <w:uiPriority w:val="0"/>
    <w:rPr>
      <w:rFonts w:ascii="Cambria" w:hAnsi="Cambria" w:eastAsia="楷体" w:cs="楷体"/>
      <w:kern w:val="0"/>
      <w:sz w:val="32"/>
      <w:szCs w:val="32"/>
    </w:rPr>
  </w:style>
  <w:style w:type="character" w:customStyle="1" w:styleId="19">
    <w:name w:val=" Char Char2"/>
    <w:basedOn w:val="16"/>
    <w:link w:val="7"/>
    <w:uiPriority w:val="0"/>
    <w:rPr>
      <w:rFonts w:ascii="仿宋_GB2312" w:hAnsi="Times New Roman" w:eastAsia="仿宋_GB2312" w:cs="Times New Roman"/>
      <w:kern w:val="2"/>
      <w:sz w:val="32"/>
      <w:szCs w:val="24"/>
      <w:lang w:bidi="ar-SA"/>
    </w:rPr>
  </w:style>
  <w:style w:type="character" w:customStyle="1" w:styleId="20">
    <w:name w:val=" Char Char"/>
    <w:basedOn w:val="16"/>
    <w:link w:val="9"/>
    <w:semiHidden/>
    <w:uiPriority w:val="99"/>
    <w:rPr>
      <w:rFonts w:ascii="Calibri" w:hAnsi="Calibri" w:eastAsia="宋体" w:cs="Mongolian Baiti"/>
      <w:kern w:val="2"/>
      <w:sz w:val="18"/>
      <w:szCs w:val="22"/>
    </w:rPr>
  </w:style>
  <w:style w:type="character" w:customStyle="1" w:styleId="21">
    <w:name w:val=" Char Char1"/>
    <w:basedOn w:val="16"/>
    <w:link w:val="10"/>
    <w:semiHidden/>
    <w:uiPriority w:val="99"/>
    <w:rPr>
      <w:rFonts w:ascii="Calibri" w:hAnsi="Calibri" w:eastAsia="宋体" w:cs="Mongolian Baiti"/>
      <w:kern w:val="2"/>
      <w:sz w:val="18"/>
      <w:szCs w:val="22"/>
    </w:rPr>
  </w:style>
  <w:style w:type="character" w:customStyle="1" w:styleId="22">
    <w:name w:val="font41"/>
    <w:basedOn w:val="16"/>
    <w:qFormat/>
    <w:uiPriority w:val="0"/>
    <w:rPr>
      <w:rFonts w:hint="default" w:ascii="仿宋_GB2312" w:hAnsi="Times New Roman" w:eastAsia="仿宋_GB2312" w:cs="仿宋_GB2312"/>
      <w:color w:val="FF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8" Type="http://schemas.openxmlformats.org/officeDocument/2006/relationships/image" Target="media/image1.tiff"/><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3.tif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Lenovo (Beijing) Limited</Company>
  <Pages>2</Pages>
  <Words>15</Words>
  <Characters>87</Characters>
  <Lines>1</Lines>
  <Paragraphs>1</Paragraphs>
  <TotalTime>10</TotalTime>
  <ScaleCrop>false</ScaleCrop>
  <LinksUpToDate>false</LinksUpToDate>
  <CharactersWithSpaces>101</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2012-09-19T12:59:00Z</dcterms:created>
  <dc:creator>阿拉善盟行政公署:打印</dc:creator>
  <cp:lastModifiedBy>哈斯高娃:通知发起人</cp:lastModifiedBy>
  <cp:lastPrinted>2025-07-29T09:57:00Z</cp:lastPrinted>
  <dcterms:modified xsi:type="dcterms:W3CDTF">2025-09-12T08:06:08Z</dcterms:modified>
  <dc:title>_x0001_</dc:title>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