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2155D">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bookmarkStart w:id="0" w:name="缓急"/>
      <w:bookmarkEnd w:id="0"/>
      <w:bookmarkStart w:id="1" w:name="标题"/>
      <w:bookmarkEnd w:id="1"/>
    </w:p>
    <w:p w14:paraId="2A2DAC3C">
      <w:pPr>
        <w:keepNext w:val="0"/>
        <w:keepLines w:val="0"/>
        <w:pageBreakBefore w:val="0"/>
        <w:widowControl w:val="0"/>
        <w:kinsoku/>
        <w:wordWrap/>
        <w:overflowPunct/>
        <w:topLinePunct/>
        <w:autoSpaceDE/>
        <w:autoSpaceDN/>
        <w:bidi w:val="0"/>
        <w:adjustRightInd w:val="0"/>
        <w:snapToGrid w:val="0"/>
        <w:spacing w:line="540" w:lineRule="exact"/>
        <w:ind w:firstLine="160" w:firstLineChars="50"/>
        <w:textAlignment w:val="auto"/>
        <w:rPr>
          <w:rFonts w:hint="eastAsia" w:ascii="仿宋" w:hAnsi="仿宋" w:eastAsia="仿宋_GB2312" w:cs="仿宋"/>
          <w:sz w:val="32"/>
          <w:szCs w:val="32"/>
          <w:lang w:eastAsia="zh-CN"/>
        </w:rPr>
      </w:pPr>
    </w:p>
    <w:p w14:paraId="0258EFBD">
      <w:pPr>
        <w:keepNext w:val="0"/>
        <w:keepLines w:val="0"/>
        <w:pageBreakBefore w:val="0"/>
        <w:widowControl w:val="0"/>
        <w:kinsoku/>
        <w:wordWrap/>
        <w:overflowPunct/>
        <w:topLinePunct/>
        <w:autoSpaceDE/>
        <w:autoSpaceDN/>
        <w:bidi w:val="0"/>
        <w:adjustRightInd w:val="0"/>
        <w:snapToGrid w:val="0"/>
        <w:spacing w:line="540" w:lineRule="exact"/>
        <w:jc w:val="both"/>
        <w:textAlignment w:val="auto"/>
        <w:rPr>
          <w:rFonts w:hint="eastAsia" w:ascii="仿宋" w:hAnsi="仿宋" w:eastAsia="仿宋" w:cs="仿宋"/>
          <w:sz w:val="32"/>
          <w:szCs w:val="32"/>
        </w:rPr>
      </w:pPr>
    </w:p>
    <w:p w14:paraId="5A96C5DD">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w:t>
      </w:r>
    </w:p>
    <w:p w14:paraId="118C20ED">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加快推动城市公共交通高质量发展的意见</w:t>
      </w:r>
    </w:p>
    <w:p w14:paraId="3C190BC3">
      <w:pPr>
        <w:pStyle w:val="2"/>
        <w:rPr>
          <w:rFonts w:hint="eastAsia"/>
          <w:lang w:eastAsia="zh-CN"/>
        </w:rPr>
      </w:pPr>
    </w:p>
    <w:p w14:paraId="7EB9F94E">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号</w:t>
      </w:r>
    </w:p>
    <w:p w14:paraId="120D320B">
      <w:pPr>
        <w:pStyle w:val="2"/>
        <w:rPr>
          <w:rFonts w:hint="eastAsia"/>
          <w:lang w:eastAsia="zh-CN"/>
        </w:rPr>
      </w:pPr>
    </w:p>
    <w:p w14:paraId="68CDC595">
      <w:pPr>
        <w:keepNext w:val="0"/>
        <w:keepLines w:val="0"/>
        <w:pageBreakBefore w:val="0"/>
        <w:widowControl w:val="0"/>
        <w:kinsoku/>
        <w:wordWrap/>
        <w:overflowPunct/>
        <w:topLinePunct/>
        <w:autoSpaceDE/>
        <w:autoSpaceDN/>
        <w:bidi w:val="0"/>
        <w:adjustRightInd w:val="0"/>
        <w:snapToGrid w:val="0"/>
        <w:spacing w:line="540" w:lineRule="exact"/>
        <w:jc w:val="center"/>
        <w:textAlignment w:val="auto"/>
        <w:rPr>
          <w:rFonts w:hint="eastAsia" w:ascii="方正仿宋_GBK" w:hAnsi="方正仿宋_GBK" w:eastAsia="方正仿宋_GBK" w:cs="方正仿宋_GBK"/>
          <w:color w:val="auto"/>
          <w:sz w:val="32"/>
          <w:szCs w:val="32"/>
          <w:u w:val="none"/>
        </w:rPr>
      </w:pPr>
    </w:p>
    <w:p w14:paraId="6C16DC23">
      <w:pPr>
        <w:pStyle w:val="6"/>
        <w:keepNext w:val="0"/>
        <w:keepLines w:val="0"/>
        <w:pageBreakBefore w:val="0"/>
        <w:widowControl w:val="0"/>
        <w:kinsoku/>
        <w:wordWrap/>
        <w:overflowPunct/>
        <w:topLinePunct/>
        <w:autoSpaceDE/>
        <w:autoSpaceDN/>
        <w:bidi w:val="0"/>
        <w:adjustRightInd w:val="0"/>
        <w:snapToGrid w:val="0"/>
        <w:spacing w:line="540" w:lineRule="exact"/>
        <w:ind w:left="0" w:leftChars="0"/>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eastAsia="zh-CN"/>
        </w:rPr>
        <w:t>各盟行政公署、市人民政府，各旗县人民政府，自治区各委、办、厅、局，各大企业、事业单位：</w:t>
      </w:r>
    </w:p>
    <w:p w14:paraId="5A32C93D">
      <w:pPr>
        <w:keepNext w:val="0"/>
        <w:keepLines w:val="0"/>
        <w:pageBreakBefore w:val="0"/>
        <w:widowControl w:val="0"/>
        <w:kinsoku/>
        <w:wordWrap/>
        <w:overflowPunct/>
        <w:topLinePunct/>
        <w:autoSpaceDE/>
        <w:autoSpaceDN/>
        <w:bidi w:val="0"/>
        <w:adjustRightInd w:val="0"/>
        <w:snapToGrid w:val="0"/>
        <w:spacing w:line="540" w:lineRule="exact"/>
        <w:ind w:firstLine="640" w:firstLineChars="200"/>
        <w:jc w:val="both"/>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rPr>
        <w:t>为深入贯彻</w:t>
      </w:r>
      <w:r>
        <w:rPr>
          <w:rFonts w:hint="eastAsia" w:ascii="仿宋" w:hAnsi="仿宋" w:eastAsia="仿宋" w:cs="仿宋"/>
          <w:b w:val="0"/>
          <w:bCs w:val="0"/>
          <w:color w:val="auto"/>
          <w:sz w:val="32"/>
          <w:szCs w:val="32"/>
          <w:u w:val="none"/>
          <w:lang w:eastAsia="zh-CN"/>
        </w:rPr>
        <w:t>实施</w:t>
      </w:r>
      <w:r>
        <w:rPr>
          <w:rFonts w:hint="eastAsia" w:ascii="仿宋" w:hAnsi="仿宋" w:eastAsia="仿宋" w:cs="仿宋"/>
          <w:b w:val="0"/>
          <w:bCs w:val="0"/>
          <w:color w:val="auto"/>
          <w:sz w:val="32"/>
          <w:szCs w:val="32"/>
          <w:u w:val="none"/>
        </w:rPr>
        <w:t>《城市公共交通条例》，加快推</w:t>
      </w:r>
      <w:r>
        <w:rPr>
          <w:rFonts w:hint="eastAsia" w:ascii="仿宋" w:hAnsi="仿宋" w:eastAsia="仿宋" w:cs="仿宋"/>
          <w:b w:val="0"/>
          <w:bCs w:val="0"/>
          <w:color w:val="auto"/>
          <w:sz w:val="32"/>
          <w:szCs w:val="32"/>
          <w:u w:val="none"/>
          <w:lang w:eastAsia="zh-CN"/>
        </w:rPr>
        <w:t>动</w:t>
      </w:r>
      <w:r>
        <w:rPr>
          <w:rFonts w:hint="eastAsia" w:ascii="仿宋" w:hAnsi="仿宋" w:eastAsia="仿宋" w:cs="仿宋"/>
          <w:b w:val="0"/>
          <w:bCs w:val="0"/>
          <w:color w:val="auto"/>
          <w:sz w:val="32"/>
          <w:szCs w:val="32"/>
          <w:u w:val="none"/>
        </w:rPr>
        <w:t>城市公共交通高质量发展，结合自治区实际，</w:t>
      </w:r>
      <w:r>
        <w:rPr>
          <w:rFonts w:hint="eastAsia" w:ascii="仿宋" w:hAnsi="仿宋" w:eastAsia="仿宋" w:cs="仿宋"/>
          <w:b w:val="0"/>
          <w:bCs w:val="0"/>
          <w:color w:val="auto"/>
          <w:sz w:val="32"/>
          <w:szCs w:val="32"/>
          <w:u w:val="none"/>
          <w:lang w:eastAsia="zh-CN"/>
        </w:rPr>
        <w:t>现</w:t>
      </w:r>
      <w:r>
        <w:rPr>
          <w:rFonts w:hint="eastAsia" w:ascii="仿宋" w:hAnsi="仿宋" w:eastAsia="仿宋" w:cs="仿宋"/>
          <w:b w:val="0"/>
          <w:bCs w:val="0"/>
          <w:color w:val="auto"/>
          <w:sz w:val="32"/>
          <w:szCs w:val="32"/>
          <w:u w:val="none"/>
        </w:rPr>
        <w:t>提出如下意见。</w:t>
      </w:r>
    </w:p>
    <w:p w14:paraId="7671FF59">
      <w:pPr>
        <w:pStyle w:val="2"/>
        <w:keepNext w:val="0"/>
        <w:keepLines w:val="0"/>
        <w:pageBreakBefore w:val="0"/>
        <w:widowControl w:val="0"/>
        <w:kinsoku/>
        <w:wordWrap/>
        <w:overflowPunct/>
        <w:topLinePunct/>
        <w:autoSpaceDE/>
        <w:autoSpaceDN/>
        <w:bidi w:val="0"/>
        <w:adjustRightInd w:val="0"/>
        <w:snapToGrid w:val="0"/>
        <w:spacing w:line="540" w:lineRule="exact"/>
        <w:ind w:firstLine="640"/>
        <w:jc w:val="both"/>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一、总体要求</w:t>
      </w:r>
    </w:p>
    <w:p w14:paraId="12FFF800">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rPr>
        <w:t>以习近平新时代中国特色社会主义思想为指导，</w:t>
      </w:r>
      <w:r>
        <w:rPr>
          <w:rFonts w:hint="eastAsia" w:ascii="仿宋" w:hAnsi="仿宋" w:eastAsia="仿宋" w:cs="仿宋"/>
          <w:b w:val="0"/>
          <w:bCs w:val="0"/>
          <w:color w:val="auto"/>
          <w:sz w:val="32"/>
          <w:szCs w:val="32"/>
          <w:u w:val="none"/>
          <w:lang w:eastAsia="zh-CN"/>
        </w:rPr>
        <w:t>紧紧围绕</w:t>
      </w:r>
      <w:r>
        <w:rPr>
          <w:rFonts w:hint="eastAsia" w:ascii="仿宋" w:hAnsi="仿宋" w:eastAsia="仿宋" w:cs="仿宋"/>
          <w:b w:val="0"/>
          <w:bCs w:val="0"/>
          <w:color w:val="auto"/>
          <w:sz w:val="32"/>
          <w:szCs w:val="32"/>
          <w:u w:val="none"/>
          <w:lang w:val="en-US" w:eastAsia="zh-CN"/>
        </w:rPr>
        <w:t>铸</w:t>
      </w:r>
      <w:r>
        <w:rPr>
          <w:rFonts w:hint="eastAsia" w:ascii="仿宋" w:hAnsi="仿宋" w:eastAsia="仿宋" w:cs="仿宋"/>
          <w:b w:val="0"/>
          <w:bCs w:val="0"/>
          <w:color w:val="auto"/>
          <w:spacing w:val="6"/>
          <w:sz w:val="32"/>
          <w:szCs w:val="32"/>
          <w:u w:val="none"/>
          <w:lang w:val="en-US" w:eastAsia="zh-CN"/>
        </w:rPr>
        <w:t>牢中华民族共同体意识工作主线，深化</w:t>
      </w:r>
      <w:r>
        <w:rPr>
          <w:rFonts w:hint="eastAsia" w:ascii="仿宋" w:hAnsi="仿宋" w:eastAsia="仿宋" w:cs="仿宋"/>
          <w:b w:val="0"/>
          <w:bCs w:val="0"/>
          <w:color w:val="auto"/>
          <w:spacing w:val="6"/>
          <w:sz w:val="32"/>
          <w:szCs w:val="32"/>
          <w:u w:val="none"/>
        </w:rPr>
        <w:t>公共交通优先发展战略，</w:t>
      </w:r>
      <w:r>
        <w:rPr>
          <w:rFonts w:hint="eastAsia" w:ascii="仿宋" w:hAnsi="仿宋" w:eastAsia="仿宋" w:cs="仿宋"/>
          <w:b w:val="0"/>
          <w:bCs w:val="0"/>
          <w:color w:val="auto"/>
          <w:sz w:val="32"/>
          <w:szCs w:val="32"/>
          <w:u w:val="none"/>
        </w:rPr>
        <w:t>深入践行人民城市理念</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rPr>
        <w:t>提升公共交通吸引力，</w:t>
      </w:r>
      <w:r>
        <w:rPr>
          <w:rFonts w:hint="eastAsia" w:ascii="仿宋" w:hAnsi="仿宋" w:eastAsia="仿宋" w:cs="仿宋"/>
          <w:b w:val="0"/>
          <w:bCs w:val="0"/>
          <w:color w:val="auto"/>
          <w:sz w:val="32"/>
          <w:szCs w:val="32"/>
          <w:u w:val="none"/>
          <w:lang w:val="en-US" w:eastAsia="zh-CN"/>
        </w:rPr>
        <w:t>结合地区</w:t>
      </w:r>
      <w:r>
        <w:rPr>
          <w:rFonts w:hint="eastAsia" w:ascii="仿宋" w:hAnsi="仿宋" w:eastAsia="仿宋" w:cs="仿宋"/>
          <w:b w:val="0"/>
          <w:bCs w:val="0"/>
          <w:color w:val="auto"/>
          <w:sz w:val="32"/>
          <w:szCs w:val="32"/>
          <w:u w:val="none"/>
        </w:rPr>
        <w:t>产业</w:t>
      </w:r>
      <w:r>
        <w:rPr>
          <w:rFonts w:hint="eastAsia" w:ascii="仿宋" w:hAnsi="仿宋" w:eastAsia="仿宋" w:cs="仿宋"/>
          <w:b w:val="0"/>
          <w:bCs w:val="0"/>
          <w:color w:val="auto"/>
          <w:sz w:val="32"/>
          <w:szCs w:val="32"/>
          <w:u w:val="none"/>
          <w:lang w:val="en-US" w:eastAsia="zh-CN"/>
        </w:rPr>
        <w:t>布局</w:t>
      </w:r>
      <w:r>
        <w:rPr>
          <w:rFonts w:hint="eastAsia" w:ascii="仿宋" w:hAnsi="仿宋" w:eastAsia="仿宋" w:cs="仿宋"/>
          <w:b w:val="0"/>
          <w:bCs w:val="0"/>
          <w:color w:val="auto"/>
          <w:sz w:val="32"/>
          <w:szCs w:val="32"/>
          <w:u w:val="none"/>
        </w:rPr>
        <w:t>、</w:t>
      </w:r>
      <w:r>
        <w:rPr>
          <w:rFonts w:hint="eastAsia" w:ascii="仿宋" w:hAnsi="仿宋" w:eastAsia="仿宋" w:cs="仿宋"/>
          <w:b w:val="0"/>
          <w:bCs w:val="0"/>
          <w:color w:val="auto"/>
          <w:sz w:val="32"/>
          <w:szCs w:val="32"/>
          <w:u w:val="none"/>
          <w:lang w:val="en-US" w:eastAsia="zh-CN"/>
        </w:rPr>
        <w:t>人口分布</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lang w:val="en-US" w:eastAsia="zh-CN"/>
        </w:rPr>
        <w:t>建设结构</w:t>
      </w:r>
      <w:r>
        <w:rPr>
          <w:rFonts w:hint="eastAsia" w:ascii="仿宋" w:hAnsi="仿宋" w:eastAsia="仿宋" w:cs="仿宋"/>
          <w:b w:val="0"/>
          <w:bCs w:val="0"/>
          <w:color w:val="auto"/>
          <w:sz w:val="32"/>
          <w:szCs w:val="32"/>
          <w:u w:val="none"/>
          <w:lang w:eastAsia="zh-CN"/>
        </w:rPr>
        <w:t>更加合理、服务更加人本、运行更加高效、网络更加融合、安全更具韧性的公共交通体系，</w:t>
      </w:r>
      <w:r>
        <w:rPr>
          <w:rFonts w:hint="eastAsia" w:ascii="仿宋" w:hAnsi="仿宋" w:eastAsia="仿宋" w:cs="仿宋"/>
          <w:i w:val="0"/>
          <w:iCs w:val="0"/>
          <w:caps w:val="0"/>
          <w:color w:val="auto"/>
          <w:spacing w:val="0"/>
          <w:sz w:val="32"/>
          <w:szCs w:val="32"/>
          <w:u w:val="none"/>
          <w:shd w:val="clear" w:color="auto" w:fill="auto"/>
        </w:rPr>
        <w:t>推动城市交通绿色低碳发展</w:t>
      </w:r>
      <w:r>
        <w:rPr>
          <w:rFonts w:hint="eastAsia" w:ascii="仿宋" w:hAnsi="仿宋" w:eastAsia="仿宋" w:cs="仿宋"/>
          <w:i w:val="0"/>
          <w:iCs w:val="0"/>
          <w:caps w:val="0"/>
          <w:color w:val="auto"/>
          <w:spacing w:val="0"/>
          <w:sz w:val="32"/>
          <w:szCs w:val="32"/>
          <w:u w:val="none"/>
          <w:shd w:val="clear" w:color="auto" w:fill="auto"/>
          <w:lang w:eastAsia="zh-CN"/>
        </w:rPr>
        <w:t>，</w:t>
      </w:r>
      <w:r>
        <w:rPr>
          <w:rFonts w:hint="eastAsia" w:ascii="仿宋" w:hAnsi="仿宋" w:eastAsia="仿宋" w:cs="仿宋"/>
          <w:b w:val="0"/>
          <w:bCs w:val="0"/>
          <w:color w:val="auto"/>
          <w:sz w:val="32"/>
          <w:szCs w:val="32"/>
          <w:u w:val="none"/>
          <w:lang w:eastAsia="zh-CN"/>
        </w:rPr>
        <w:t>更好满足人民群众出行需求。</w:t>
      </w:r>
    </w:p>
    <w:p w14:paraId="6511C3AF">
      <w:pPr>
        <w:pStyle w:val="2"/>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eastAsia="zh-CN"/>
        </w:rPr>
        <w:t>二、</w:t>
      </w:r>
      <w:r>
        <w:rPr>
          <w:rFonts w:hint="eastAsia" w:ascii="黑体" w:hAnsi="黑体" w:eastAsia="黑体" w:cs="黑体"/>
          <w:b w:val="0"/>
          <w:bCs w:val="0"/>
          <w:color w:val="auto"/>
          <w:sz w:val="32"/>
          <w:szCs w:val="32"/>
          <w:u w:val="none"/>
          <w:lang w:val="en-US" w:eastAsia="zh-CN"/>
        </w:rPr>
        <w:t>压紧压实主体责任</w:t>
      </w:r>
    </w:p>
    <w:p w14:paraId="02D9102E">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楷体" w:hAnsi="楷体" w:eastAsia="楷体" w:cs="楷体"/>
          <w:b w:val="0"/>
          <w:bCs w:val="0"/>
          <w:color w:val="auto"/>
          <w:sz w:val="32"/>
          <w:szCs w:val="32"/>
          <w:u w:val="none"/>
        </w:rPr>
      </w:pPr>
      <w:r>
        <w:rPr>
          <w:rFonts w:hint="eastAsia" w:ascii="仿宋" w:hAnsi="仿宋" w:eastAsia="仿宋" w:cs="仿宋"/>
          <w:b w:val="0"/>
          <w:bCs w:val="0"/>
          <w:color w:val="auto"/>
          <w:sz w:val="32"/>
          <w:szCs w:val="32"/>
          <w:u w:val="none"/>
          <w:lang w:val="en-US" w:eastAsia="zh-CN"/>
        </w:rPr>
        <w:t>各盟行政公署、市人民政府，各旗县（市、区</w:t>
      </w:r>
      <w:r>
        <w:rPr>
          <w:rFonts w:hint="eastAsia" w:ascii="仿宋" w:hAnsi="仿宋" w:eastAsia="仿宋" w:cs="仿宋"/>
          <w:color w:val="auto"/>
          <w:sz w:val="32"/>
          <w:szCs w:val="32"/>
          <w:u w:val="none"/>
          <w:lang w:val="en-US" w:eastAsia="zh-CN"/>
        </w:rPr>
        <w:t>）</w:t>
      </w:r>
      <w:r>
        <w:rPr>
          <w:rFonts w:hint="eastAsia" w:ascii="仿宋" w:hAnsi="仿宋" w:eastAsia="仿宋" w:cs="仿宋"/>
          <w:b w:val="0"/>
          <w:bCs w:val="0"/>
          <w:color w:val="auto"/>
          <w:sz w:val="32"/>
          <w:szCs w:val="32"/>
          <w:u w:val="none"/>
          <w:lang w:val="en-US" w:eastAsia="zh-CN"/>
        </w:rPr>
        <w:t>人民政府</w:t>
      </w:r>
      <w:r>
        <w:rPr>
          <w:rFonts w:hint="eastAsia" w:ascii="仿宋" w:hAnsi="仿宋" w:eastAsia="仿宋" w:cs="仿宋"/>
          <w:color w:val="auto"/>
          <w:sz w:val="32"/>
          <w:szCs w:val="32"/>
          <w:u w:val="none"/>
          <w:lang w:val="en-US" w:eastAsia="zh-CN"/>
        </w:rPr>
        <w:t>要切实履行本地区城市公共交通行业发展主体责任，确立公共交通在城市交通中的主导地位，加快推进城市公共交通行业改革，结合本地区实际研究制定推动城市公共交通高质量发展的政策措施，在国土空间规划、财政政策、土地供给、基础设施建设、路权信号、信息化建设等方面予以优先保障。</w:t>
      </w:r>
      <w:r>
        <w:rPr>
          <w:rFonts w:hint="eastAsia" w:ascii="楷体" w:hAnsi="楷体" w:eastAsia="楷体" w:cs="楷体"/>
          <w:color w:val="auto"/>
          <w:sz w:val="32"/>
          <w:szCs w:val="32"/>
          <w:u w:val="none"/>
        </w:rPr>
        <w:t>〔</w:t>
      </w:r>
      <w:r>
        <w:rPr>
          <w:rFonts w:hint="eastAsia" w:ascii="楷体" w:hAnsi="楷体" w:eastAsia="楷体" w:cs="楷体"/>
          <w:b w:val="0"/>
          <w:bCs w:val="0"/>
          <w:color w:val="auto"/>
          <w:sz w:val="32"/>
          <w:szCs w:val="32"/>
          <w:u w:val="none"/>
        </w:rPr>
        <w:t>责任单位：</w:t>
      </w:r>
      <w:r>
        <w:rPr>
          <w:rFonts w:hint="eastAsia" w:ascii="楷体" w:hAnsi="楷体" w:eastAsia="楷体" w:cs="楷体"/>
          <w:b w:val="0"/>
          <w:bCs w:val="0"/>
          <w:color w:val="auto"/>
          <w:sz w:val="32"/>
          <w:szCs w:val="32"/>
          <w:u w:val="none"/>
          <w:lang w:val="en-US" w:eastAsia="zh-CN"/>
        </w:rPr>
        <w:t>各盟行政公署、市人民政府，各</w:t>
      </w:r>
      <w:r>
        <w:rPr>
          <w:rFonts w:hint="eastAsia" w:ascii="楷体" w:hAnsi="楷体" w:eastAsia="楷体" w:cs="楷体"/>
          <w:color w:val="auto"/>
          <w:sz w:val="32"/>
          <w:szCs w:val="32"/>
          <w:u w:val="none"/>
          <w:lang w:val="en-US" w:eastAsia="zh-CN"/>
        </w:rPr>
        <w:t>旗县（市、区）</w:t>
      </w:r>
      <w:r>
        <w:rPr>
          <w:rFonts w:hint="eastAsia" w:ascii="楷体" w:hAnsi="楷体" w:eastAsia="楷体" w:cs="楷体"/>
          <w:b w:val="0"/>
          <w:bCs w:val="0"/>
          <w:color w:val="auto"/>
          <w:sz w:val="32"/>
          <w:szCs w:val="32"/>
          <w:u w:val="none"/>
          <w:lang w:val="en-US" w:eastAsia="zh-CN"/>
        </w:rPr>
        <w:t>人民政府，自治区交通运输厅。以下各项</w:t>
      </w:r>
      <w:r>
        <w:rPr>
          <w:rFonts w:hint="eastAsia" w:ascii="楷体" w:hAnsi="楷体" w:eastAsia="楷体" w:cs="楷体"/>
          <w:b w:val="0"/>
          <w:bCs w:val="0"/>
          <w:color w:val="auto"/>
          <w:sz w:val="32"/>
          <w:szCs w:val="32"/>
          <w:u w:val="none"/>
        </w:rPr>
        <w:t>任务均</w:t>
      </w:r>
      <w:r>
        <w:rPr>
          <w:rFonts w:hint="eastAsia" w:ascii="楷体" w:hAnsi="楷体" w:eastAsia="楷体" w:cs="楷体"/>
          <w:b w:val="0"/>
          <w:bCs w:val="0"/>
          <w:color w:val="auto"/>
          <w:sz w:val="32"/>
          <w:szCs w:val="32"/>
          <w:u w:val="none"/>
          <w:lang w:val="en-US" w:eastAsia="zh-CN"/>
        </w:rPr>
        <w:t>需各盟行政公署、市人民政府，各</w:t>
      </w:r>
      <w:r>
        <w:rPr>
          <w:rFonts w:hint="eastAsia" w:ascii="楷体" w:hAnsi="楷体" w:eastAsia="楷体" w:cs="楷体"/>
          <w:color w:val="auto"/>
          <w:sz w:val="32"/>
          <w:szCs w:val="32"/>
          <w:u w:val="none"/>
          <w:lang w:val="en-US" w:eastAsia="zh-CN"/>
        </w:rPr>
        <w:t>旗县（市、区）</w:t>
      </w:r>
      <w:r>
        <w:rPr>
          <w:rFonts w:hint="eastAsia" w:ascii="楷体" w:hAnsi="楷体" w:eastAsia="楷体" w:cs="楷体"/>
          <w:b w:val="0"/>
          <w:bCs w:val="0"/>
          <w:color w:val="auto"/>
          <w:sz w:val="32"/>
          <w:szCs w:val="32"/>
          <w:u w:val="none"/>
          <w:lang w:val="en-US" w:eastAsia="zh-CN"/>
        </w:rPr>
        <w:t>人民政府</w:t>
      </w:r>
      <w:r>
        <w:rPr>
          <w:rFonts w:hint="eastAsia" w:ascii="楷体" w:hAnsi="楷体" w:eastAsia="楷体" w:cs="楷体"/>
          <w:b w:val="0"/>
          <w:bCs w:val="0"/>
          <w:color w:val="auto"/>
          <w:sz w:val="32"/>
          <w:szCs w:val="32"/>
          <w:u w:val="none"/>
          <w:lang w:eastAsia="zh-CN"/>
        </w:rPr>
        <w:t>落实</w:t>
      </w:r>
      <w:r>
        <w:rPr>
          <w:rFonts w:hint="eastAsia" w:ascii="楷体" w:hAnsi="楷体" w:eastAsia="楷体" w:cs="楷体"/>
          <w:b w:val="0"/>
          <w:bCs w:val="0"/>
          <w:color w:val="auto"/>
          <w:sz w:val="32"/>
          <w:szCs w:val="32"/>
          <w:u w:val="none"/>
        </w:rPr>
        <w:t>，不再列出</w:t>
      </w:r>
      <w:r>
        <w:rPr>
          <w:rFonts w:hint="eastAsia" w:ascii="楷体" w:hAnsi="楷体" w:eastAsia="楷体" w:cs="楷体"/>
          <w:color w:val="auto"/>
          <w:sz w:val="32"/>
          <w:szCs w:val="32"/>
          <w:u w:val="none"/>
        </w:rPr>
        <w:t>〕</w:t>
      </w:r>
    </w:p>
    <w:p w14:paraId="3DE46EE2">
      <w:pPr>
        <w:pStyle w:val="2"/>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黑体" w:hAnsi="黑体" w:eastAsia="黑体" w:cs="黑体"/>
          <w:b w:val="0"/>
          <w:bCs w:val="0"/>
          <w:color w:val="auto"/>
          <w:sz w:val="32"/>
          <w:szCs w:val="32"/>
          <w:u w:val="none"/>
          <w:lang w:val="en-US"/>
        </w:rPr>
      </w:pPr>
      <w:r>
        <w:rPr>
          <w:rFonts w:hint="eastAsia" w:ascii="黑体" w:hAnsi="黑体" w:eastAsia="黑体" w:cs="黑体"/>
          <w:b w:val="0"/>
          <w:bCs w:val="0"/>
          <w:color w:val="auto"/>
          <w:sz w:val="32"/>
          <w:szCs w:val="32"/>
          <w:u w:val="none"/>
          <w:lang w:val="en-US" w:eastAsia="zh-CN"/>
        </w:rPr>
        <w:t>三、科学确定发展模式</w:t>
      </w:r>
    </w:p>
    <w:p w14:paraId="518A085D">
      <w:pPr>
        <w:pStyle w:val="2"/>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color w:val="auto"/>
          <w:sz w:val="32"/>
          <w:szCs w:val="32"/>
          <w:u w:val="none"/>
          <w:lang w:val="en-US" w:eastAsia="zh-CN"/>
        </w:rPr>
        <w:t>各地区要</w:t>
      </w:r>
      <w:r>
        <w:rPr>
          <w:rFonts w:hint="eastAsia" w:ascii="仿宋" w:hAnsi="仿宋" w:eastAsia="仿宋" w:cs="仿宋"/>
          <w:color w:val="auto"/>
          <w:sz w:val="32"/>
          <w:szCs w:val="32"/>
          <w:u w:val="none"/>
        </w:rPr>
        <w:t>立足</w:t>
      </w:r>
      <w:r>
        <w:rPr>
          <w:rFonts w:hint="eastAsia" w:ascii="仿宋" w:hAnsi="仿宋" w:eastAsia="仿宋" w:cs="仿宋"/>
          <w:color w:val="auto"/>
          <w:sz w:val="32"/>
          <w:szCs w:val="32"/>
          <w:u w:val="none"/>
          <w:lang w:val="en-US" w:eastAsia="zh-CN"/>
        </w:rPr>
        <w:t>本地区产业布局</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人口分布</w:t>
      </w:r>
      <w:r>
        <w:rPr>
          <w:rFonts w:hint="eastAsia" w:ascii="仿宋" w:hAnsi="仿宋" w:eastAsia="仿宋" w:cs="仿宋"/>
          <w:color w:val="auto"/>
          <w:sz w:val="32"/>
          <w:szCs w:val="32"/>
          <w:u w:val="none"/>
        </w:rPr>
        <w:t>、群众出行</w:t>
      </w:r>
      <w:r>
        <w:rPr>
          <w:rFonts w:hint="eastAsia" w:ascii="仿宋" w:hAnsi="仿宋" w:eastAsia="仿宋" w:cs="仿宋"/>
          <w:color w:val="auto"/>
          <w:sz w:val="32"/>
          <w:szCs w:val="32"/>
          <w:u w:val="none"/>
          <w:lang w:val="en-US" w:eastAsia="zh-CN"/>
        </w:rPr>
        <w:t>特征</w:t>
      </w:r>
      <w:r>
        <w:rPr>
          <w:rFonts w:hint="eastAsia" w:ascii="仿宋" w:hAnsi="仿宋" w:eastAsia="仿宋" w:cs="仿宋"/>
          <w:color w:val="auto"/>
          <w:sz w:val="32"/>
          <w:szCs w:val="32"/>
          <w:u w:val="none"/>
        </w:rPr>
        <w:t>等，合理确定</w:t>
      </w:r>
      <w:r>
        <w:rPr>
          <w:rFonts w:hint="eastAsia" w:ascii="仿宋" w:hAnsi="仿宋" w:eastAsia="仿宋" w:cs="仿宋"/>
          <w:color w:val="auto"/>
          <w:sz w:val="32"/>
          <w:szCs w:val="32"/>
          <w:u w:val="none"/>
          <w:lang w:val="en-US" w:eastAsia="zh-CN"/>
        </w:rPr>
        <w:t>城市</w:t>
      </w:r>
      <w:r>
        <w:rPr>
          <w:rFonts w:hint="eastAsia" w:ascii="仿宋" w:hAnsi="仿宋" w:eastAsia="仿宋" w:cs="仿宋"/>
          <w:color w:val="auto"/>
          <w:sz w:val="32"/>
          <w:szCs w:val="32"/>
          <w:u w:val="none"/>
        </w:rPr>
        <w:t>公共交通发展区域、模式、目标和服务标准</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组织</w:t>
      </w:r>
      <w:r>
        <w:rPr>
          <w:rFonts w:hint="eastAsia" w:ascii="仿宋" w:hAnsi="仿宋" w:eastAsia="仿宋" w:cs="仿宋"/>
          <w:color w:val="auto"/>
          <w:spacing w:val="6"/>
          <w:sz w:val="32"/>
          <w:szCs w:val="32"/>
          <w:u w:val="none"/>
        </w:rPr>
        <w:t>编制城市公共交通规划</w:t>
      </w:r>
      <w:r>
        <w:rPr>
          <w:rFonts w:hint="eastAsia" w:ascii="仿宋" w:hAnsi="仿宋" w:eastAsia="仿宋" w:cs="仿宋"/>
          <w:color w:val="auto"/>
          <w:spacing w:val="6"/>
          <w:sz w:val="32"/>
          <w:szCs w:val="32"/>
          <w:u w:val="none"/>
          <w:lang w:eastAsia="zh-CN"/>
        </w:rPr>
        <w:t>。</w:t>
      </w:r>
      <w:r>
        <w:rPr>
          <w:rFonts w:hint="eastAsia" w:ascii="仿宋" w:hAnsi="仿宋" w:eastAsia="仿宋" w:cs="仿宋"/>
          <w:i w:val="0"/>
          <w:iCs w:val="0"/>
          <w:caps w:val="0"/>
          <w:color w:val="auto"/>
          <w:spacing w:val="6"/>
          <w:sz w:val="32"/>
          <w:szCs w:val="32"/>
          <w:u w:val="none"/>
        </w:rPr>
        <w:t>完善步行和非机动车等慢行交通系统，</w:t>
      </w:r>
      <w:r>
        <w:rPr>
          <w:rFonts w:hint="eastAsia" w:ascii="仿宋" w:hAnsi="仿宋" w:eastAsia="仿宋" w:cs="仿宋"/>
          <w:i w:val="0"/>
          <w:iCs w:val="0"/>
          <w:caps w:val="0"/>
          <w:color w:val="auto"/>
          <w:spacing w:val="0"/>
          <w:sz w:val="32"/>
          <w:szCs w:val="32"/>
          <w:u w:val="none"/>
          <w:lang w:eastAsia="zh-CN"/>
        </w:rPr>
        <w:t>并</w:t>
      </w:r>
      <w:r>
        <w:rPr>
          <w:rFonts w:hint="eastAsia" w:ascii="仿宋" w:hAnsi="仿宋" w:eastAsia="仿宋" w:cs="仿宋"/>
          <w:i w:val="0"/>
          <w:iCs w:val="0"/>
          <w:caps w:val="0"/>
          <w:color w:val="auto"/>
          <w:spacing w:val="0"/>
          <w:sz w:val="32"/>
          <w:szCs w:val="32"/>
          <w:u w:val="none"/>
        </w:rPr>
        <w:t>与城市公共交通系统有效衔接</w:t>
      </w:r>
      <w:r>
        <w:rPr>
          <w:rFonts w:hint="eastAsia" w:ascii="仿宋" w:hAnsi="仿宋" w:eastAsia="仿宋" w:cs="仿宋"/>
          <w:i w:val="0"/>
          <w:iCs w:val="0"/>
          <w:caps w:val="0"/>
          <w:color w:val="auto"/>
          <w:spacing w:val="0"/>
          <w:sz w:val="32"/>
          <w:szCs w:val="32"/>
          <w:u w:val="none"/>
          <w:lang w:eastAsia="zh-CN"/>
        </w:rPr>
        <w:t>。</w:t>
      </w:r>
      <w:r>
        <w:rPr>
          <w:rFonts w:hint="eastAsia" w:ascii="仿宋" w:hAnsi="仿宋" w:eastAsia="仿宋" w:cs="仿宋"/>
          <w:color w:val="auto"/>
          <w:sz w:val="32"/>
          <w:szCs w:val="32"/>
          <w:u w:val="none"/>
        </w:rPr>
        <w:t>根据城乡融合和区域协调</w:t>
      </w:r>
      <w:r>
        <w:rPr>
          <w:rFonts w:hint="eastAsia" w:ascii="仿宋" w:hAnsi="仿宋" w:eastAsia="仿宋" w:cs="仿宋"/>
          <w:color w:val="auto"/>
          <w:spacing w:val="6"/>
          <w:sz w:val="32"/>
          <w:szCs w:val="32"/>
          <w:u w:val="none"/>
        </w:rPr>
        <w:t>发展需要，统筹推进城乡之间、区域之间公共交通一体化发展。</w:t>
      </w:r>
      <w:r>
        <w:rPr>
          <w:rFonts w:hint="eastAsia" w:ascii="仿宋" w:hAnsi="仿宋" w:eastAsia="仿宋" w:cs="仿宋"/>
          <w:color w:val="auto"/>
          <w:sz w:val="32"/>
          <w:szCs w:val="32"/>
          <w:u w:val="none"/>
        </w:rPr>
        <w:t>大力发展呼包鄂乌城际公交，推动开行区域点对点直达城际公交。</w:t>
      </w:r>
      <w:r>
        <w:rPr>
          <w:rFonts w:hint="eastAsia" w:ascii="仿宋" w:hAnsi="仿宋" w:eastAsia="仿宋" w:cs="仿宋"/>
          <w:strike w:val="0"/>
          <w:dstrike w:val="0"/>
          <w:color w:val="auto"/>
          <w:sz w:val="32"/>
          <w:szCs w:val="32"/>
          <w:u w:val="none"/>
        </w:rPr>
        <w:t>鼓励以“一城一公交”</w:t>
      </w:r>
      <w:r>
        <w:rPr>
          <w:rFonts w:hint="eastAsia" w:ascii="仿宋" w:hAnsi="仿宋" w:eastAsia="仿宋" w:cs="仿宋"/>
          <w:strike w:val="0"/>
          <w:dstrike w:val="0"/>
          <w:color w:val="auto"/>
          <w:sz w:val="32"/>
          <w:szCs w:val="32"/>
          <w:u w:val="none"/>
          <w:lang w:eastAsia="zh-CN"/>
        </w:rPr>
        <w:t>、</w:t>
      </w:r>
      <w:r>
        <w:rPr>
          <w:rFonts w:hint="eastAsia" w:ascii="仿宋" w:hAnsi="仿宋" w:eastAsia="仿宋" w:cs="仿宋"/>
          <w:strike w:val="0"/>
          <w:dstrike w:val="0"/>
          <w:color w:val="auto"/>
          <w:sz w:val="32"/>
          <w:szCs w:val="32"/>
          <w:u w:val="none"/>
        </w:rPr>
        <w:t>“公车公营”</w:t>
      </w:r>
      <w:r>
        <w:rPr>
          <w:rFonts w:hint="eastAsia" w:ascii="仿宋" w:hAnsi="仿宋" w:eastAsia="仿宋" w:cs="仿宋"/>
          <w:strike w:val="0"/>
          <w:dstrike w:val="0"/>
          <w:color w:val="auto"/>
          <w:sz w:val="32"/>
          <w:szCs w:val="32"/>
          <w:u w:val="none"/>
          <w:lang w:eastAsia="zh-CN"/>
        </w:rPr>
        <w:t>、</w:t>
      </w:r>
      <w:r>
        <w:rPr>
          <w:rFonts w:hint="eastAsia" w:ascii="仿宋" w:hAnsi="仿宋" w:eastAsia="仿宋" w:cs="仿宋"/>
          <w:strike w:val="0"/>
          <w:dstrike w:val="0"/>
          <w:color w:val="auto"/>
          <w:sz w:val="32"/>
          <w:szCs w:val="32"/>
          <w:u w:val="none"/>
        </w:rPr>
        <w:t>“</w:t>
      </w:r>
      <w:r>
        <w:rPr>
          <w:rFonts w:hint="eastAsia" w:ascii="仿宋" w:hAnsi="仿宋" w:eastAsia="仿宋" w:cs="仿宋"/>
          <w:strike w:val="0"/>
          <w:dstrike w:val="0"/>
          <w:color w:val="auto"/>
          <w:sz w:val="32"/>
          <w:szCs w:val="32"/>
          <w:u w:val="none"/>
          <w:lang w:val="en-US" w:eastAsia="zh-CN"/>
        </w:rPr>
        <w:t>公交</w:t>
      </w:r>
      <w:r>
        <w:rPr>
          <w:rFonts w:hint="eastAsia" w:ascii="仿宋" w:hAnsi="仿宋" w:eastAsia="仿宋" w:cs="仿宋"/>
          <w:strike w:val="0"/>
          <w:dstrike w:val="0"/>
          <w:color w:val="auto"/>
          <w:sz w:val="32"/>
          <w:szCs w:val="32"/>
          <w:u w:val="none"/>
        </w:rPr>
        <w:t>优先”等为目标开展</w:t>
      </w:r>
      <w:r>
        <w:rPr>
          <w:rFonts w:hint="eastAsia" w:ascii="仿宋" w:hAnsi="仿宋" w:eastAsia="仿宋" w:cs="仿宋"/>
          <w:strike w:val="0"/>
          <w:dstrike w:val="0"/>
          <w:color w:val="auto"/>
          <w:sz w:val="32"/>
          <w:szCs w:val="32"/>
          <w:u w:val="none"/>
          <w:lang w:val="en-US" w:eastAsia="zh-CN"/>
        </w:rPr>
        <w:t>城市</w:t>
      </w:r>
      <w:r>
        <w:rPr>
          <w:rFonts w:hint="eastAsia" w:ascii="仿宋" w:hAnsi="仿宋" w:eastAsia="仿宋" w:cs="仿宋"/>
          <w:strike w:val="0"/>
          <w:dstrike w:val="0"/>
          <w:color w:val="auto"/>
          <w:sz w:val="32"/>
          <w:szCs w:val="32"/>
          <w:u w:val="none"/>
        </w:rPr>
        <w:t>公共交通改革试点。</w:t>
      </w:r>
      <w:r>
        <w:rPr>
          <w:rFonts w:hint="eastAsia" w:ascii="楷体" w:hAnsi="楷体" w:eastAsia="楷体" w:cs="楷体"/>
          <w:b w:val="0"/>
          <w:bCs w:val="0"/>
          <w:color w:val="auto"/>
          <w:sz w:val="32"/>
          <w:szCs w:val="32"/>
          <w:u w:val="none"/>
        </w:rPr>
        <w:t>（责任单位：自治区交通运输厅）</w:t>
      </w:r>
    </w:p>
    <w:p w14:paraId="115C2A6D">
      <w:pPr>
        <w:pStyle w:val="2"/>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四、合理制定票制票价</w:t>
      </w:r>
    </w:p>
    <w:p w14:paraId="323E964C">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rPr>
        <w:t>城市公共交通票价</w:t>
      </w:r>
      <w:r>
        <w:rPr>
          <w:rFonts w:hint="eastAsia" w:ascii="仿宋" w:hAnsi="仿宋" w:eastAsia="仿宋" w:cs="仿宋"/>
          <w:b w:val="0"/>
          <w:bCs w:val="0"/>
          <w:color w:val="auto"/>
          <w:sz w:val="32"/>
          <w:szCs w:val="32"/>
          <w:u w:val="none"/>
          <w:lang w:val="en-US" w:eastAsia="zh-CN"/>
        </w:rPr>
        <w:t>依法</w:t>
      </w:r>
      <w:r>
        <w:rPr>
          <w:rFonts w:hint="eastAsia" w:ascii="仿宋" w:hAnsi="仿宋" w:eastAsia="仿宋" w:cs="仿宋"/>
          <w:b w:val="0"/>
          <w:bCs w:val="0"/>
          <w:color w:val="auto"/>
          <w:sz w:val="32"/>
          <w:szCs w:val="32"/>
          <w:u w:val="none"/>
        </w:rPr>
        <w:t>实行政府定价或</w:t>
      </w:r>
      <w:r>
        <w:rPr>
          <w:rFonts w:hint="eastAsia" w:ascii="仿宋" w:hAnsi="仿宋" w:eastAsia="仿宋" w:cs="仿宋"/>
          <w:b w:val="0"/>
          <w:bCs w:val="0"/>
          <w:color w:val="auto"/>
          <w:sz w:val="32"/>
          <w:szCs w:val="32"/>
          <w:u w:val="none"/>
          <w:lang w:val="en-US" w:eastAsia="zh-CN"/>
        </w:rPr>
        <w:t>者</w:t>
      </w:r>
      <w:r>
        <w:rPr>
          <w:rFonts w:hint="eastAsia" w:ascii="仿宋" w:hAnsi="仿宋" w:eastAsia="仿宋" w:cs="仿宋"/>
          <w:b w:val="0"/>
          <w:bCs w:val="0"/>
          <w:color w:val="auto"/>
          <w:sz w:val="32"/>
          <w:szCs w:val="32"/>
          <w:u w:val="none"/>
        </w:rPr>
        <w:t>政府指导价</w:t>
      </w:r>
      <w:r>
        <w:rPr>
          <w:rFonts w:hint="eastAsia" w:ascii="仿宋" w:hAnsi="仿宋" w:eastAsia="仿宋" w:cs="仿宋"/>
          <w:b w:val="0"/>
          <w:bCs w:val="0"/>
          <w:color w:val="auto"/>
          <w:sz w:val="32"/>
          <w:szCs w:val="32"/>
          <w:u w:val="none"/>
          <w:lang w:eastAsia="zh-CN"/>
        </w:rPr>
        <w:t>。</w:t>
      </w:r>
      <w:r>
        <w:rPr>
          <w:rFonts w:hint="eastAsia" w:ascii="仿宋" w:hAnsi="仿宋" w:eastAsia="仿宋" w:cs="仿宋"/>
          <w:color w:val="auto"/>
          <w:sz w:val="32"/>
          <w:szCs w:val="32"/>
          <w:u w:val="none"/>
          <w:lang w:val="en-US" w:eastAsia="zh-CN"/>
        </w:rPr>
        <w:t>各地区</w:t>
      </w:r>
      <w:r>
        <w:rPr>
          <w:rFonts w:hint="eastAsia" w:ascii="仿宋" w:hAnsi="仿宋" w:eastAsia="仿宋" w:cs="仿宋"/>
          <w:b w:val="0"/>
          <w:bCs w:val="0"/>
          <w:color w:val="auto"/>
          <w:sz w:val="32"/>
          <w:szCs w:val="32"/>
          <w:u w:val="none"/>
          <w:lang w:eastAsia="zh-CN"/>
        </w:rPr>
        <w:t>要</w:t>
      </w:r>
      <w:r>
        <w:rPr>
          <w:rFonts w:hint="eastAsia" w:ascii="仿宋" w:hAnsi="仿宋" w:eastAsia="仿宋" w:cs="仿宋"/>
          <w:b w:val="0"/>
          <w:bCs w:val="0"/>
          <w:color w:val="auto"/>
          <w:sz w:val="32"/>
          <w:szCs w:val="32"/>
          <w:u w:val="none"/>
        </w:rPr>
        <w:t>按照“政府可负担、企业可持续、百姓可承受”的原则制定票价</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rPr>
        <w:t>并探索建立动态调整机制</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rPr>
        <w:t>在落实法定乘车优惠政策的基础上，合理确定城市公共交通乘车优惠群体范围。定制化出行服务实行市场调节价</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rPr>
        <w:t>远郊等长距离线路可采用按里程计价方式。</w:t>
      </w:r>
      <w:r>
        <w:rPr>
          <w:rFonts w:hint="eastAsia" w:ascii="楷体" w:hAnsi="楷体" w:eastAsia="楷体" w:cs="楷体"/>
          <w:b w:val="0"/>
          <w:bCs w:val="0"/>
          <w:color w:val="auto"/>
          <w:sz w:val="32"/>
          <w:szCs w:val="32"/>
          <w:u w:val="none"/>
        </w:rPr>
        <w:t>（责任单位：自治区发展改革委、交通运输厅）</w:t>
      </w:r>
    </w:p>
    <w:p w14:paraId="552387AA">
      <w:pPr>
        <w:pStyle w:val="2"/>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黑体" w:hAnsi="黑体" w:eastAsia="黑体" w:cs="黑体"/>
          <w:color w:val="auto"/>
          <w:sz w:val="32"/>
          <w:szCs w:val="32"/>
          <w:u w:val="none"/>
        </w:rPr>
      </w:pPr>
      <w:r>
        <w:rPr>
          <w:rFonts w:hint="eastAsia" w:ascii="黑体" w:hAnsi="黑体" w:eastAsia="黑体" w:cs="黑体"/>
          <w:b w:val="0"/>
          <w:bCs w:val="0"/>
          <w:color w:val="auto"/>
          <w:sz w:val="32"/>
          <w:szCs w:val="32"/>
          <w:u w:val="none"/>
          <w:lang w:val="en-US" w:eastAsia="zh-CN"/>
        </w:rPr>
        <w:t>五</w:t>
      </w:r>
      <w:r>
        <w:rPr>
          <w:rFonts w:hint="eastAsia" w:ascii="黑体" w:hAnsi="黑体" w:eastAsia="黑体" w:cs="黑体"/>
          <w:b w:val="0"/>
          <w:bCs w:val="0"/>
          <w:color w:val="auto"/>
          <w:sz w:val="32"/>
          <w:szCs w:val="32"/>
          <w:u w:val="none"/>
        </w:rPr>
        <w:t>、</w:t>
      </w:r>
      <w:r>
        <w:rPr>
          <w:rFonts w:hint="eastAsia" w:ascii="黑体" w:hAnsi="黑体" w:eastAsia="黑体" w:cs="黑体"/>
          <w:b w:val="0"/>
          <w:bCs w:val="0"/>
          <w:color w:val="auto"/>
          <w:sz w:val="32"/>
          <w:szCs w:val="32"/>
          <w:u w:val="none"/>
          <w:lang w:val="en-US" w:eastAsia="zh-CN"/>
        </w:rPr>
        <w:t>规范特许经营管理</w:t>
      </w:r>
    </w:p>
    <w:p w14:paraId="1BFD5FB0">
      <w:pPr>
        <w:pStyle w:val="2"/>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仿宋" w:hAnsi="仿宋" w:eastAsia="仿宋" w:cs="仿宋"/>
          <w:b w:val="0"/>
          <w:bCs w:val="0"/>
          <w:color w:val="auto"/>
          <w:sz w:val="32"/>
          <w:szCs w:val="32"/>
          <w:u w:val="none"/>
        </w:rPr>
      </w:pPr>
      <w:r>
        <w:rPr>
          <w:rFonts w:hint="eastAsia" w:ascii="仿宋" w:hAnsi="仿宋" w:eastAsia="仿宋" w:cs="仿宋"/>
          <w:color w:val="auto"/>
          <w:sz w:val="32"/>
          <w:szCs w:val="32"/>
          <w:u w:val="none"/>
          <w:lang w:val="en-US" w:eastAsia="zh-CN"/>
        </w:rPr>
        <w:t>各地区要在确定区域内实行公共交通特许经营制度，</w:t>
      </w:r>
      <w:r>
        <w:rPr>
          <w:rFonts w:hint="eastAsia" w:ascii="仿宋" w:hAnsi="仿宋" w:eastAsia="仿宋" w:cs="仿宋"/>
          <w:color w:val="auto"/>
          <w:sz w:val="32"/>
          <w:szCs w:val="32"/>
          <w:u w:val="none"/>
        </w:rPr>
        <w:t>签订线路特许经营协议并明确运营期限</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对</w:t>
      </w:r>
      <w:r>
        <w:rPr>
          <w:rFonts w:hint="eastAsia" w:ascii="仿宋" w:hAnsi="仿宋" w:eastAsia="仿宋" w:cs="仿宋"/>
          <w:color w:val="auto"/>
          <w:sz w:val="32"/>
          <w:szCs w:val="32"/>
          <w:u w:val="none"/>
          <w:lang w:eastAsia="zh-CN"/>
        </w:rPr>
        <w:t>已</w:t>
      </w:r>
      <w:r>
        <w:rPr>
          <w:rFonts w:hint="eastAsia" w:ascii="仿宋" w:hAnsi="仿宋" w:eastAsia="仿宋" w:cs="仿宋"/>
          <w:color w:val="auto"/>
          <w:sz w:val="32"/>
          <w:szCs w:val="32"/>
          <w:u w:val="none"/>
          <w:lang w:val="en-US" w:eastAsia="zh-CN"/>
        </w:rPr>
        <w:t>开通</w:t>
      </w:r>
      <w:r>
        <w:rPr>
          <w:rFonts w:hint="eastAsia" w:ascii="仿宋" w:hAnsi="仿宋" w:eastAsia="仿宋" w:cs="仿宋"/>
          <w:color w:val="auto"/>
          <w:sz w:val="32"/>
          <w:szCs w:val="32"/>
          <w:u w:val="none"/>
          <w:lang w:eastAsia="zh-CN"/>
        </w:rPr>
        <w:t>运营的公共交通线路，</w:t>
      </w:r>
      <w:r>
        <w:rPr>
          <w:rFonts w:hint="eastAsia" w:ascii="仿宋" w:hAnsi="仿宋" w:eastAsia="仿宋" w:cs="仿宋"/>
          <w:color w:val="auto"/>
          <w:sz w:val="32"/>
          <w:szCs w:val="32"/>
          <w:u w:val="none"/>
        </w:rPr>
        <w:t>未实施线路运营权特许经营</w:t>
      </w:r>
      <w:r>
        <w:rPr>
          <w:rFonts w:hint="eastAsia" w:ascii="仿宋" w:hAnsi="仿宋" w:eastAsia="仿宋" w:cs="仿宋"/>
          <w:color w:val="auto"/>
          <w:sz w:val="32"/>
          <w:szCs w:val="32"/>
          <w:u w:val="none"/>
          <w:lang w:eastAsia="zh-CN"/>
        </w:rPr>
        <w:t>制度</w:t>
      </w:r>
      <w:r>
        <w:rPr>
          <w:rFonts w:hint="eastAsia" w:ascii="仿宋" w:hAnsi="仿宋" w:eastAsia="仿宋" w:cs="仿宋"/>
          <w:color w:val="auto"/>
          <w:sz w:val="32"/>
          <w:szCs w:val="32"/>
          <w:u w:val="none"/>
        </w:rPr>
        <w:t>、未签订特许经营协议或已签订特许经营协议需进一步规范的，</w:t>
      </w:r>
      <w:r>
        <w:rPr>
          <w:rFonts w:hint="eastAsia" w:ascii="仿宋" w:hAnsi="仿宋" w:eastAsia="仿宋" w:cs="仿宋"/>
          <w:color w:val="auto"/>
          <w:sz w:val="32"/>
          <w:szCs w:val="32"/>
          <w:u w:val="none"/>
          <w:lang w:eastAsia="zh-CN"/>
        </w:rPr>
        <w:t>各地区要</w:t>
      </w:r>
      <w:r>
        <w:rPr>
          <w:rFonts w:hint="eastAsia" w:ascii="仿宋" w:hAnsi="仿宋" w:eastAsia="仿宋" w:cs="仿宋"/>
          <w:color w:val="auto"/>
          <w:sz w:val="32"/>
          <w:szCs w:val="32"/>
          <w:u w:val="none"/>
        </w:rPr>
        <w:t>科学制定过渡方</w:t>
      </w:r>
      <w:r>
        <w:rPr>
          <w:rFonts w:hint="eastAsia" w:ascii="仿宋" w:hAnsi="仿宋" w:eastAsia="仿宋" w:cs="仿宋"/>
          <w:color w:val="auto"/>
          <w:spacing w:val="6"/>
          <w:sz w:val="32"/>
          <w:szCs w:val="32"/>
          <w:u w:val="none"/>
        </w:rPr>
        <w:t>案，综合运用经济、法律、行政等手段，采</w:t>
      </w:r>
      <w:r>
        <w:rPr>
          <w:rFonts w:hint="eastAsia" w:ascii="仿宋" w:hAnsi="仿宋" w:eastAsia="仿宋" w:cs="仿宋"/>
          <w:color w:val="auto"/>
          <w:spacing w:val="6"/>
          <w:sz w:val="32"/>
          <w:szCs w:val="32"/>
          <w:u w:val="none"/>
          <w:lang w:val="en-US" w:eastAsia="zh-CN"/>
        </w:rPr>
        <w:t>取优先配置经营权、</w:t>
      </w:r>
      <w:r>
        <w:rPr>
          <w:rFonts w:hint="eastAsia" w:ascii="仿宋" w:hAnsi="仿宋" w:eastAsia="仿宋" w:cs="仿宋"/>
          <w:color w:val="auto"/>
          <w:sz w:val="32"/>
          <w:szCs w:val="32"/>
          <w:u w:val="none"/>
          <w:lang w:val="en-US" w:eastAsia="zh-CN"/>
        </w:rPr>
        <w:t>延长经营期限或货币退还等方式稳妥处理，并于2025年12月31日前与城市公共交通企业完成特许经营协议签订工作；对拟新开通运营的公共交通线路，要与公共交通企业签订特许经营协议后再开通运营。</w:t>
      </w:r>
      <w:r>
        <w:rPr>
          <w:rFonts w:hint="eastAsia" w:ascii="楷体" w:hAnsi="楷体" w:eastAsia="楷体" w:cs="楷体"/>
          <w:b w:val="0"/>
          <w:bCs w:val="0"/>
          <w:color w:val="auto"/>
          <w:sz w:val="32"/>
          <w:szCs w:val="32"/>
          <w:u w:val="none"/>
        </w:rPr>
        <w:t>（责任单位：自治区交通运输厅）</w:t>
      </w:r>
    </w:p>
    <w:p w14:paraId="51AD34D4">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val="en-US" w:eastAsia="zh-CN"/>
        </w:rPr>
        <w:t>六</w:t>
      </w:r>
      <w:r>
        <w:rPr>
          <w:rFonts w:hint="eastAsia" w:ascii="黑体" w:hAnsi="黑体" w:eastAsia="黑体" w:cs="黑体"/>
          <w:color w:val="auto"/>
          <w:sz w:val="32"/>
          <w:szCs w:val="32"/>
          <w:u w:val="none"/>
        </w:rPr>
        <w:t>、落实</w:t>
      </w:r>
      <w:r>
        <w:rPr>
          <w:rFonts w:hint="eastAsia" w:ascii="黑体" w:hAnsi="黑体" w:eastAsia="黑体" w:cs="黑体"/>
          <w:color w:val="auto"/>
          <w:sz w:val="32"/>
          <w:szCs w:val="32"/>
          <w:u w:val="none"/>
          <w:lang w:val="en-US" w:eastAsia="zh-CN"/>
        </w:rPr>
        <w:t>财政支持</w:t>
      </w:r>
      <w:r>
        <w:rPr>
          <w:rFonts w:hint="eastAsia" w:ascii="黑体" w:hAnsi="黑体" w:eastAsia="黑体" w:cs="黑体"/>
          <w:color w:val="auto"/>
          <w:sz w:val="32"/>
          <w:szCs w:val="32"/>
          <w:u w:val="none"/>
        </w:rPr>
        <w:t>政策</w:t>
      </w:r>
    </w:p>
    <w:p w14:paraId="1DFC4E9A">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楷体" w:hAnsi="楷体" w:eastAsia="楷体" w:cs="楷体"/>
          <w:b w:val="0"/>
          <w:bCs w:val="0"/>
          <w:color w:val="auto"/>
          <w:sz w:val="32"/>
          <w:szCs w:val="32"/>
          <w:u w:val="none"/>
        </w:rPr>
      </w:pPr>
      <w:r>
        <w:rPr>
          <w:rFonts w:hint="eastAsia" w:ascii="仿宋" w:hAnsi="仿宋" w:eastAsia="仿宋" w:cs="仿宋"/>
          <w:color w:val="auto"/>
          <w:sz w:val="32"/>
          <w:szCs w:val="32"/>
          <w:u w:val="none"/>
          <w:lang w:val="en-US" w:eastAsia="zh-CN"/>
        </w:rPr>
        <w:t>各地区要</w:t>
      </w:r>
      <w:r>
        <w:rPr>
          <w:rFonts w:hint="eastAsia" w:ascii="仿宋" w:hAnsi="仿宋" w:eastAsia="仿宋" w:cs="仿宋"/>
          <w:color w:val="auto"/>
          <w:sz w:val="32"/>
          <w:szCs w:val="32"/>
          <w:u w:val="none"/>
        </w:rPr>
        <w:t>根据城市公共交通实际和财政承受能力安排城市</w:t>
      </w:r>
      <w:r>
        <w:rPr>
          <w:rFonts w:hint="eastAsia" w:ascii="仿宋" w:hAnsi="仿宋" w:eastAsia="仿宋" w:cs="仿宋"/>
          <w:color w:val="auto"/>
          <w:spacing w:val="6"/>
          <w:sz w:val="32"/>
          <w:szCs w:val="32"/>
          <w:u w:val="none"/>
        </w:rPr>
        <w:t>公共交通发展所需经费，</w:t>
      </w:r>
      <w:r>
        <w:rPr>
          <w:rFonts w:hint="eastAsia" w:ascii="仿宋" w:hAnsi="仿宋" w:eastAsia="仿宋" w:cs="仿宋"/>
          <w:color w:val="auto"/>
          <w:spacing w:val="6"/>
          <w:sz w:val="32"/>
          <w:szCs w:val="32"/>
          <w:u w:val="none"/>
          <w:lang w:val="en-US" w:eastAsia="zh-CN"/>
        </w:rPr>
        <w:t>并</w:t>
      </w:r>
      <w:r>
        <w:rPr>
          <w:rFonts w:hint="eastAsia" w:ascii="仿宋" w:hAnsi="仿宋" w:eastAsia="仿宋" w:cs="仿宋"/>
          <w:color w:val="auto"/>
          <w:spacing w:val="6"/>
          <w:sz w:val="32"/>
          <w:szCs w:val="32"/>
          <w:u w:val="none"/>
        </w:rPr>
        <w:t>纳入本级预算，确保及时足额拨付</w:t>
      </w:r>
      <w:r>
        <w:rPr>
          <w:rFonts w:hint="eastAsia" w:ascii="仿宋" w:hAnsi="仿宋" w:eastAsia="仿宋" w:cs="仿宋"/>
          <w:color w:val="auto"/>
          <w:spacing w:val="6"/>
          <w:sz w:val="32"/>
          <w:szCs w:val="32"/>
          <w:u w:val="none"/>
          <w:lang w:eastAsia="zh-CN"/>
        </w:rPr>
        <w:t>。</w:t>
      </w:r>
      <w:r>
        <w:rPr>
          <w:rFonts w:hint="eastAsia" w:ascii="仿宋" w:hAnsi="仿宋" w:eastAsia="仿宋" w:cs="仿宋"/>
          <w:color w:val="auto"/>
          <w:sz w:val="32"/>
          <w:szCs w:val="32"/>
          <w:u w:val="none"/>
          <w:lang w:val="en-US" w:eastAsia="zh-CN"/>
        </w:rPr>
        <w:t>要在确定服务标准并开展服务质量评价的基础上，因地制宜实施城市公共汽电车企业运营成本核算和补贴补偿，平等对待不同所有制运营主体。要依法依规有序清偿未拨付资金，根据财政状况制定分阶段清偿计划，有序推进清偿工作。要加强对中央城市交通发展奖励资金、中央和自治区配套的大规模设备更新和消费品以旧换新资金的规范管理，各级财政部门及时足额拨付资金</w:t>
      </w:r>
      <w:r>
        <w:rPr>
          <w:rFonts w:hint="eastAsia" w:ascii="仿宋" w:hAnsi="仿宋" w:eastAsia="仿宋" w:cs="仿宋"/>
          <w:strike w:val="0"/>
          <w:dstrike w:val="0"/>
          <w:color w:val="auto"/>
          <w:sz w:val="32"/>
          <w:szCs w:val="32"/>
          <w:u w:val="none"/>
          <w:lang w:val="en-US" w:eastAsia="zh-CN"/>
        </w:rPr>
        <w:t>，</w:t>
      </w:r>
      <w:r>
        <w:rPr>
          <w:rFonts w:hint="eastAsia" w:ascii="仿宋" w:hAnsi="仿宋" w:eastAsia="仿宋" w:cs="仿宋"/>
          <w:color w:val="auto"/>
          <w:sz w:val="32"/>
          <w:szCs w:val="32"/>
          <w:u w:val="none"/>
          <w:lang w:val="en-US" w:eastAsia="zh-CN"/>
        </w:rPr>
        <w:t>不得违规挤占、挪用。</w:t>
      </w:r>
      <w:r>
        <w:rPr>
          <w:rFonts w:hint="eastAsia" w:ascii="楷体" w:hAnsi="楷体" w:eastAsia="楷体" w:cs="楷体"/>
          <w:b w:val="0"/>
          <w:bCs w:val="0"/>
          <w:color w:val="auto"/>
          <w:sz w:val="32"/>
          <w:szCs w:val="32"/>
          <w:u w:val="none"/>
        </w:rPr>
        <w:t>（责任单位：自治区交通运输厅、财政厅）</w:t>
      </w:r>
    </w:p>
    <w:p w14:paraId="08ED11E0">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七</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val="en-US" w:eastAsia="zh-CN"/>
        </w:rPr>
        <w:t>严格执行配建标准</w:t>
      </w:r>
    </w:p>
    <w:p w14:paraId="1E605FEB">
      <w:pPr>
        <w:pStyle w:val="2"/>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楷体" w:hAnsi="楷体" w:eastAsia="楷体" w:cs="楷体"/>
          <w:b w:val="0"/>
          <w:bCs w:val="0"/>
          <w:color w:val="auto"/>
          <w:sz w:val="32"/>
          <w:szCs w:val="32"/>
          <w:u w:val="none"/>
        </w:rPr>
      </w:pPr>
      <w:r>
        <w:rPr>
          <w:rFonts w:hint="eastAsia" w:ascii="仿宋" w:hAnsi="仿宋" w:eastAsia="仿宋" w:cs="仿宋"/>
          <w:color w:val="auto"/>
          <w:sz w:val="32"/>
          <w:szCs w:val="32"/>
          <w:u w:val="none"/>
          <w:lang w:val="en-US" w:eastAsia="zh-CN"/>
        </w:rPr>
        <w:t>各地区要严格执行</w:t>
      </w:r>
      <w:r>
        <w:rPr>
          <w:rFonts w:hint="eastAsia" w:ascii="仿宋" w:hAnsi="仿宋" w:eastAsia="仿宋" w:cs="仿宋"/>
          <w:color w:val="auto"/>
          <w:sz w:val="32"/>
          <w:szCs w:val="32"/>
          <w:u w:val="none"/>
        </w:rPr>
        <w:t>城市建设项目交通影响评价制度</w:t>
      </w:r>
      <w:r>
        <w:rPr>
          <w:rFonts w:hint="eastAsia" w:ascii="仿宋" w:hAnsi="仿宋" w:eastAsia="仿宋" w:cs="仿宋"/>
          <w:color w:val="auto"/>
          <w:sz w:val="32"/>
          <w:szCs w:val="32"/>
          <w:u w:val="none"/>
          <w:lang w:val="en-US" w:eastAsia="zh-CN"/>
        </w:rPr>
        <w:t>和公共交通设施配建标准，确保首末站、停车场和枢纽站的车均场</w:t>
      </w:r>
      <w:r>
        <w:rPr>
          <w:rFonts w:hint="eastAsia" w:ascii="仿宋" w:hAnsi="仿宋" w:eastAsia="仿宋" w:cs="仿宋"/>
          <w:b w:val="0"/>
          <w:bCs w:val="0"/>
          <w:color w:val="auto"/>
          <w:sz w:val="32"/>
          <w:szCs w:val="32"/>
          <w:u w:val="none"/>
          <w:lang w:val="en-US" w:eastAsia="zh-CN"/>
        </w:rPr>
        <w:t>站</w:t>
      </w:r>
      <w:r>
        <w:rPr>
          <w:rFonts w:hint="eastAsia" w:ascii="仿宋" w:hAnsi="仿宋" w:eastAsia="仿宋" w:cs="仿宋"/>
          <w:color w:val="auto"/>
          <w:sz w:val="32"/>
          <w:szCs w:val="32"/>
          <w:u w:val="none"/>
          <w:lang w:val="en-US" w:eastAsia="zh-CN"/>
        </w:rPr>
        <w:t>面积指标达到要求，推进公共交通设施与</w:t>
      </w:r>
      <w:r>
        <w:rPr>
          <w:rFonts w:hint="eastAsia" w:ascii="仿宋" w:hAnsi="仿宋" w:eastAsia="仿宋" w:cs="仿宋"/>
          <w:color w:val="auto"/>
          <w:sz w:val="32"/>
          <w:szCs w:val="32"/>
          <w:u w:val="none"/>
        </w:rPr>
        <w:t>城市建设</w:t>
      </w:r>
      <w:r>
        <w:rPr>
          <w:rFonts w:hint="eastAsia" w:ascii="仿宋" w:hAnsi="仿宋" w:eastAsia="仿宋" w:cs="仿宋"/>
          <w:color w:val="auto"/>
          <w:sz w:val="32"/>
          <w:szCs w:val="32"/>
          <w:u w:val="none"/>
          <w:lang w:val="en-US" w:eastAsia="zh-CN"/>
        </w:rPr>
        <w:t>项目主体同步规划、设计、建设、验收和交付使用</w:t>
      </w:r>
      <w:r>
        <w:rPr>
          <w:rFonts w:hint="eastAsia" w:ascii="仿宋" w:hAnsi="仿宋" w:eastAsia="仿宋" w:cs="仿宋"/>
          <w:color w:val="auto"/>
          <w:sz w:val="32"/>
          <w:szCs w:val="32"/>
          <w:u w:val="none"/>
          <w:lang w:eastAsia="zh-CN"/>
        </w:rPr>
        <w:t>。在确保安全的前提下，</w:t>
      </w:r>
      <w:r>
        <w:rPr>
          <w:rFonts w:hint="eastAsia" w:ascii="仿宋" w:hAnsi="仿宋" w:eastAsia="仿宋" w:cs="仿宋"/>
          <w:color w:val="auto"/>
          <w:sz w:val="32"/>
          <w:szCs w:val="32"/>
          <w:u w:val="none"/>
          <w:lang w:val="en-US" w:eastAsia="zh-CN"/>
        </w:rPr>
        <w:t>允许现有的城市道路桥下空间免费或公益性收费提供给公共交通企业作为场站，以弥补城市中心区域公共交通场站供给缺口。</w:t>
      </w:r>
      <w:r>
        <w:rPr>
          <w:rFonts w:hint="eastAsia" w:ascii="楷体" w:hAnsi="楷体" w:eastAsia="楷体" w:cs="楷体"/>
          <w:b w:val="0"/>
          <w:bCs w:val="0"/>
          <w:color w:val="auto"/>
          <w:sz w:val="32"/>
          <w:szCs w:val="32"/>
          <w:u w:val="none"/>
        </w:rPr>
        <w:t>（责任单位：自治区自然资源厅、发展改革委、交通运输厅）</w:t>
      </w:r>
    </w:p>
    <w:p w14:paraId="683701C0">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八</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val="en-US" w:eastAsia="zh-CN"/>
        </w:rPr>
        <w:t>支持用地综合开发</w:t>
      </w:r>
    </w:p>
    <w:p w14:paraId="4F932B2B">
      <w:pPr>
        <w:pStyle w:val="2"/>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楷体" w:hAnsi="楷体" w:eastAsia="楷体" w:cs="楷体"/>
          <w:b w:val="0"/>
          <w:bCs w:val="0"/>
          <w:color w:val="auto"/>
          <w:sz w:val="32"/>
          <w:szCs w:val="32"/>
          <w:u w:val="none"/>
          <w:lang w:val="en-US" w:eastAsia="zh-CN"/>
        </w:rPr>
      </w:pPr>
      <w:r>
        <w:rPr>
          <w:rFonts w:hint="eastAsia" w:ascii="仿宋" w:hAnsi="仿宋" w:eastAsia="仿宋" w:cs="仿宋"/>
          <w:color w:val="auto"/>
          <w:sz w:val="32"/>
          <w:szCs w:val="32"/>
          <w:u w:val="none"/>
          <w:lang w:val="en-US" w:eastAsia="zh-CN"/>
        </w:rPr>
        <w:t>对符合规定条件的城市公共交通基础设施用地，可以以划拨、协议出让等方式供给。</w:t>
      </w:r>
      <w:r>
        <w:rPr>
          <w:rFonts w:hint="eastAsia" w:ascii="仿宋" w:hAnsi="仿宋" w:eastAsia="仿宋" w:cs="仿宋"/>
          <w:color w:val="auto"/>
          <w:sz w:val="32"/>
          <w:szCs w:val="32"/>
          <w:u w:val="none"/>
        </w:rPr>
        <w:t>对新建城市公共交通设施用地的地上、地下空间，支持</w:t>
      </w:r>
      <w:r>
        <w:rPr>
          <w:rFonts w:hint="eastAsia" w:ascii="仿宋" w:hAnsi="仿宋" w:eastAsia="仿宋" w:cs="仿宋"/>
          <w:color w:val="auto"/>
          <w:sz w:val="32"/>
          <w:szCs w:val="32"/>
          <w:u w:val="none"/>
          <w:lang w:eastAsia="zh-CN"/>
        </w:rPr>
        <w:t>按照</w:t>
      </w:r>
      <w:r>
        <w:rPr>
          <w:rFonts w:hint="eastAsia" w:ascii="仿宋" w:hAnsi="仿宋" w:eastAsia="仿宋" w:cs="仿宋"/>
          <w:color w:val="auto"/>
          <w:sz w:val="32"/>
          <w:szCs w:val="32"/>
          <w:u w:val="none"/>
        </w:rPr>
        <w:t>市场化原则实施土地综合开发</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对现有城市公共交通设施用地，支持</w:t>
      </w:r>
      <w:r>
        <w:rPr>
          <w:rFonts w:hint="eastAsia" w:ascii="仿宋" w:hAnsi="仿宋" w:eastAsia="仿宋" w:cs="仿宋"/>
          <w:color w:val="auto"/>
          <w:sz w:val="32"/>
          <w:szCs w:val="32"/>
          <w:u w:val="none"/>
          <w:lang w:val="en-US" w:eastAsia="zh-CN"/>
        </w:rPr>
        <w:t>原土地使用者</w:t>
      </w:r>
      <w:r>
        <w:rPr>
          <w:rFonts w:hint="eastAsia" w:ascii="仿宋" w:hAnsi="仿宋" w:eastAsia="仿宋" w:cs="仿宋"/>
          <w:color w:val="auto"/>
          <w:sz w:val="32"/>
          <w:szCs w:val="32"/>
          <w:u w:val="none"/>
        </w:rPr>
        <w:t>在符合规划且不改变用途的前提下进行立体开发。</w:t>
      </w:r>
      <w:r>
        <w:rPr>
          <w:rFonts w:hint="eastAsia" w:ascii="仿宋" w:hAnsi="仿宋" w:eastAsia="仿宋" w:cs="仿宋"/>
          <w:color w:val="auto"/>
          <w:sz w:val="32"/>
          <w:szCs w:val="32"/>
          <w:u w:val="none"/>
          <w:lang w:val="en-US" w:eastAsia="zh-CN"/>
        </w:rPr>
        <w:t>公共交通用地</w:t>
      </w:r>
      <w:r>
        <w:rPr>
          <w:rFonts w:hint="eastAsia" w:ascii="仿宋" w:hAnsi="仿宋" w:eastAsia="仿宋" w:cs="仿宋"/>
          <w:color w:val="auto"/>
          <w:sz w:val="32"/>
          <w:szCs w:val="32"/>
          <w:u w:val="none"/>
        </w:rPr>
        <w:t>综合开发收益可用于城市公共交通基础设施建设和弥补运营亏损。</w:t>
      </w:r>
      <w:r>
        <w:rPr>
          <w:rFonts w:hint="eastAsia" w:ascii="仿宋" w:hAnsi="仿宋" w:eastAsia="仿宋" w:cs="仿宋"/>
          <w:strike w:val="0"/>
          <w:dstrike w:val="0"/>
          <w:color w:val="auto"/>
          <w:sz w:val="32"/>
          <w:szCs w:val="32"/>
          <w:u w:val="none"/>
        </w:rPr>
        <w:t>鼓励社会资本依法依规参与城市公共交通</w:t>
      </w:r>
      <w:r>
        <w:rPr>
          <w:rFonts w:hint="eastAsia" w:ascii="仿宋" w:hAnsi="仿宋" w:eastAsia="仿宋" w:cs="仿宋"/>
          <w:strike w:val="0"/>
          <w:dstrike w:val="0"/>
          <w:color w:val="auto"/>
          <w:sz w:val="32"/>
          <w:szCs w:val="32"/>
          <w:u w:val="none"/>
          <w:lang w:eastAsia="zh-CN"/>
        </w:rPr>
        <w:t>场</w:t>
      </w:r>
      <w:r>
        <w:rPr>
          <w:rFonts w:hint="eastAsia" w:ascii="仿宋" w:hAnsi="仿宋" w:eastAsia="仿宋" w:cs="仿宋"/>
          <w:strike w:val="0"/>
          <w:dstrike w:val="0"/>
          <w:color w:val="auto"/>
          <w:sz w:val="32"/>
          <w:szCs w:val="32"/>
          <w:u w:val="none"/>
        </w:rPr>
        <w:t>站综合开发。</w:t>
      </w:r>
      <w:r>
        <w:rPr>
          <w:rFonts w:hint="eastAsia" w:ascii="楷体" w:hAnsi="楷体" w:eastAsia="楷体" w:cs="楷体"/>
          <w:b w:val="0"/>
          <w:bCs w:val="0"/>
          <w:color w:val="auto"/>
          <w:sz w:val="32"/>
          <w:szCs w:val="32"/>
          <w:u w:val="none"/>
        </w:rPr>
        <w:t>（责任单位：自治区自然资源厅、发展改革委、交通运输厅）</w:t>
      </w:r>
    </w:p>
    <w:p w14:paraId="4043E3F8">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九</w:t>
      </w:r>
      <w:r>
        <w:rPr>
          <w:rFonts w:hint="eastAsia" w:ascii="黑体" w:hAnsi="黑体" w:eastAsia="黑体" w:cs="黑体"/>
          <w:color w:val="auto"/>
          <w:sz w:val="32"/>
          <w:szCs w:val="32"/>
          <w:u w:val="none"/>
        </w:rPr>
        <w:t>、保障</w:t>
      </w:r>
      <w:r>
        <w:rPr>
          <w:rFonts w:hint="eastAsia" w:ascii="黑体" w:hAnsi="黑体" w:eastAsia="黑体" w:cs="黑体"/>
          <w:color w:val="auto"/>
          <w:sz w:val="32"/>
          <w:szCs w:val="32"/>
          <w:u w:val="none"/>
          <w:lang w:val="en-US" w:eastAsia="zh-CN"/>
        </w:rPr>
        <w:t>路权信号优先</w:t>
      </w:r>
    </w:p>
    <w:p w14:paraId="0B845045">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楷体" w:hAnsi="楷体" w:eastAsia="楷体" w:cs="楷体"/>
          <w:b w:val="0"/>
          <w:bCs w:val="0"/>
          <w:color w:val="auto"/>
          <w:sz w:val="32"/>
          <w:szCs w:val="32"/>
          <w:u w:val="none"/>
        </w:rPr>
      </w:pPr>
      <w:r>
        <w:rPr>
          <w:rFonts w:hint="eastAsia" w:ascii="仿宋" w:hAnsi="仿宋" w:eastAsia="仿宋" w:cs="仿宋"/>
          <w:color w:val="auto"/>
          <w:sz w:val="32"/>
          <w:szCs w:val="32"/>
          <w:u w:val="none"/>
          <w:lang w:val="en-US" w:eastAsia="zh-CN"/>
        </w:rPr>
        <w:t>各地区要积极推进公交专用道设置，</w:t>
      </w:r>
      <w:r>
        <w:rPr>
          <w:rFonts w:hint="eastAsia" w:ascii="仿宋" w:hAnsi="仿宋" w:eastAsia="仿宋" w:cs="仿宋"/>
          <w:color w:val="auto"/>
          <w:sz w:val="32"/>
          <w:szCs w:val="32"/>
          <w:u w:val="none"/>
        </w:rPr>
        <w:t>加大对违法占用公交专用道、违法</w:t>
      </w:r>
      <w:r>
        <w:rPr>
          <w:rFonts w:hint="eastAsia" w:ascii="仿宋" w:hAnsi="仿宋" w:eastAsia="仿宋" w:cs="仿宋"/>
          <w:color w:val="auto"/>
          <w:sz w:val="32"/>
          <w:szCs w:val="32"/>
          <w:u w:val="none"/>
          <w:lang w:val="en-US" w:eastAsia="zh-CN"/>
        </w:rPr>
        <w:t>停靠</w:t>
      </w:r>
      <w:r>
        <w:rPr>
          <w:rFonts w:hint="eastAsia" w:ascii="仿宋" w:hAnsi="仿宋" w:eastAsia="仿宋" w:cs="仿宋"/>
          <w:color w:val="auto"/>
          <w:sz w:val="32"/>
          <w:szCs w:val="32"/>
          <w:u w:val="none"/>
        </w:rPr>
        <w:t>公交</w:t>
      </w:r>
      <w:r>
        <w:rPr>
          <w:rFonts w:hint="eastAsia" w:ascii="仿宋" w:hAnsi="仿宋" w:eastAsia="仿宋" w:cs="仿宋"/>
          <w:color w:val="auto"/>
          <w:sz w:val="32"/>
          <w:szCs w:val="32"/>
          <w:u w:val="none"/>
          <w:lang w:val="en-US" w:eastAsia="zh-CN"/>
        </w:rPr>
        <w:t>站等</w:t>
      </w:r>
      <w:r>
        <w:rPr>
          <w:rFonts w:hint="eastAsia" w:ascii="仿宋" w:hAnsi="仿宋" w:eastAsia="仿宋" w:cs="仿宋"/>
          <w:color w:val="auto"/>
          <w:sz w:val="32"/>
          <w:szCs w:val="32"/>
          <w:u w:val="none"/>
        </w:rPr>
        <w:t>行为的查纠力度。</w:t>
      </w:r>
      <w:r>
        <w:rPr>
          <w:rFonts w:hint="eastAsia" w:ascii="仿宋" w:hAnsi="仿宋" w:eastAsia="仿宋" w:cs="仿宋"/>
          <w:color w:val="auto"/>
          <w:sz w:val="32"/>
          <w:szCs w:val="32"/>
          <w:u w:val="none"/>
          <w:lang w:eastAsia="zh-CN"/>
        </w:rPr>
        <w:t>要通过</w:t>
      </w:r>
      <w:r>
        <w:rPr>
          <w:rFonts w:hint="eastAsia" w:ascii="仿宋" w:hAnsi="仿宋" w:eastAsia="仿宋" w:cs="仿宋"/>
          <w:color w:val="auto"/>
          <w:sz w:val="32"/>
          <w:szCs w:val="32"/>
          <w:u w:val="none"/>
        </w:rPr>
        <w:t>优化通行信号系统</w:t>
      </w:r>
      <w:r>
        <w:rPr>
          <w:rFonts w:hint="eastAsia" w:ascii="仿宋" w:hAnsi="仿宋" w:eastAsia="仿宋" w:cs="仿宋"/>
          <w:color w:val="auto"/>
          <w:sz w:val="32"/>
          <w:szCs w:val="32"/>
          <w:u w:val="none"/>
          <w:lang w:val="en-US" w:eastAsia="zh-CN"/>
        </w:rPr>
        <w:t>功能等方式</w:t>
      </w:r>
      <w:r>
        <w:rPr>
          <w:rFonts w:hint="eastAsia" w:ascii="仿宋" w:hAnsi="仿宋" w:eastAsia="仿宋" w:cs="仿宋"/>
          <w:color w:val="auto"/>
          <w:sz w:val="32"/>
          <w:szCs w:val="32"/>
          <w:u w:val="none"/>
        </w:rPr>
        <w:t>，在信号控制中为公交车提供绿灯</w:t>
      </w:r>
      <w:r>
        <w:rPr>
          <w:rFonts w:hint="eastAsia" w:ascii="仿宋" w:hAnsi="仿宋" w:eastAsia="仿宋" w:cs="仿宋"/>
          <w:color w:val="auto"/>
          <w:sz w:val="32"/>
          <w:szCs w:val="32"/>
          <w:u w:val="none"/>
          <w:lang w:val="en-US" w:eastAsia="zh-CN"/>
        </w:rPr>
        <w:t>早启</w:t>
      </w:r>
      <w:r>
        <w:rPr>
          <w:rFonts w:hint="eastAsia" w:ascii="仿宋" w:hAnsi="仿宋" w:eastAsia="仿宋" w:cs="仿宋"/>
          <w:color w:val="auto"/>
          <w:sz w:val="32"/>
          <w:szCs w:val="32"/>
          <w:u w:val="none"/>
        </w:rPr>
        <w:t>或延长绿灯时间</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在具备条件的路口允许公交车使用右转道左转，提升公交系统的整体运行效率。</w:t>
      </w:r>
      <w:r>
        <w:rPr>
          <w:rFonts w:hint="eastAsia" w:ascii="仿宋" w:hAnsi="仿宋" w:eastAsia="仿宋" w:cs="仿宋"/>
          <w:color w:val="auto"/>
          <w:sz w:val="32"/>
          <w:szCs w:val="32"/>
          <w:u w:val="none"/>
          <w:lang w:val="en-US" w:eastAsia="zh-CN"/>
        </w:rPr>
        <w:t>在重点城市内</w:t>
      </w:r>
      <w:r>
        <w:rPr>
          <w:rFonts w:hint="eastAsia" w:ascii="仿宋" w:hAnsi="仿宋" w:eastAsia="仿宋" w:cs="仿宋"/>
          <w:color w:val="auto"/>
          <w:sz w:val="32"/>
          <w:szCs w:val="32"/>
          <w:u w:val="none"/>
        </w:rPr>
        <w:t>改建一批港湾式公交站，提高港湾式公交站设置比例。鼓励公交“进医院、进校园、进园区”，缓解路面交通压力。</w:t>
      </w:r>
      <w:r>
        <w:rPr>
          <w:rFonts w:hint="eastAsia" w:ascii="仿宋" w:hAnsi="仿宋" w:eastAsia="仿宋" w:cs="仿宋"/>
          <w:strike w:val="0"/>
          <w:dstrike w:val="0"/>
          <w:color w:val="auto"/>
          <w:sz w:val="32"/>
          <w:szCs w:val="32"/>
          <w:u w:val="none"/>
        </w:rPr>
        <w:t>鼓励呼和浩特市进一步促进城市公交与轨道交通“两网融合”，在城市外围周边轨道交通站点配套建设驻车换乘停车场，引导换乘公共交通进入城市中心区域。</w:t>
      </w:r>
      <w:r>
        <w:rPr>
          <w:rFonts w:hint="eastAsia" w:ascii="楷体" w:hAnsi="楷体" w:eastAsia="楷体" w:cs="楷体"/>
          <w:b w:val="0"/>
          <w:bCs w:val="0"/>
          <w:color w:val="auto"/>
          <w:sz w:val="32"/>
          <w:szCs w:val="32"/>
          <w:u w:val="none"/>
        </w:rPr>
        <w:t>（责任单位：</w:t>
      </w:r>
      <w:r>
        <w:rPr>
          <w:rFonts w:hint="eastAsia" w:ascii="楷体" w:hAnsi="楷体" w:eastAsia="楷体" w:cs="楷体"/>
          <w:b w:val="0"/>
          <w:bCs w:val="0"/>
          <w:color w:val="auto"/>
          <w:sz w:val="32"/>
          <w:szCs w:val="32"/>
          <w:u w:val="none"/>
          <w:lang w:eastAsia="zh-CN"/>
        </w:rPr>
        <w:t>自治区公安厅、教育厅、住房城乡建设厅、交通运输厅、卫生健康委</w:t>
      </w:r>
      <w:r>
        <w:rPr>
          <w:rFonts w:hint="eastAsia" w:ascii="楷体" w:hAnsi="楷体" w:eastAsia="楷体" w:cs="楷体"/>
          <w:b w:val="0"/>
          <w:bCs w:val="0"/>
          <w:color w:val="auto"/>
          <w:sz w:val="32"/>
          <w:szCs w:val="32"/>
          <w:u w:val="none"/>
        </w:rPr>
        <w:t>）</w:t>
      </w:r>
    </w:p>
    <w:p w14:paraId="10ED4241">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b w:val="0"/>
          <w:bCs w:val="0"/>
          <w:color w:val="auto"/>
          <w:sz w:val="32"/>
          <w:szCs w:val="32"/>
          <w:u w:val="none"/>
        </w:rPr>
      </w:pPr>
      <w:r>
        <w:rPr>
          <w:rFonts w:hint="eastAsia" w:ascii="黑体" w:hAnsi="黑体" w:eastAsia="黑体" w:cs="黑体"/>
          <w:color w:val="auto"/>
          <w:sz w:val="32"/>
          <w:szCs w:val="32"/>
          <w:u w:val="none"/>
          <w:lang w:val="en-US" w:eastAsia="zh-CN"/>
        </w:rPr>
        <w:t>十、推进智慧化、绿色化运营</w:t>
      </w:r>
    </w:p>
    <w:p w14:paraId="5F077FD6">
      <w:pPr>
        <w:pStyle w:val="2"/>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楷体" w:hAnsi="楷体" w:eastAsia="楷体" w:cs="楷体"/>
          <w:b w:val="0"/>
          <w:bCs w:val="0"/>
          <w:color w:val="auto"/>
          <w:sz w:val="32"/>
          <w:szCs w:val="32"/>
          <w:u w:val="none"/>
        </w:rPr>
      </w:pPr>
      <w:r>
        <w:rPr>
          <w:rFonts w:hint="eastAsia" w:ascii="仿宋" w:hAnsi="仿宋" w:eastAsia="仿宋" w:cs="仿宋"/>
          <w:b w:val="0"/>
          <w:bCs w:val="0"/>
          <w:color w:val="auto"/>
          <w:kern w:val="2"/>
          <w:sz w:val="32"/>
          <w:szCs w:val="32"/>
          <w:u w:val="none"/>
          <w:lang w:val="en-US" w:eastAsia="zh-CN" w:bidi="ar-SA"/>
        </w:rPr>
        <w:t>各地区要定期开展公众出行调查，推进大数据、云计算等新技术在公交线网优化、运营调度、服务监管、行业管理和出行服务等方面的应用，提高运行准点率和运行效率。推动公共交通实时信息服务向“多网融合”拓展，提升出行信息服务深度和广度，</w:t>
      </w:r>
      <w:r>
        <w:rPr>
          <w:rFonts w:hint="eastAsia" w:ascii="仿宋" w:hAnsi="仿宋" w:eastAsia="仿宋" w:cs="仿宋"/>
          <w:i w:val="0"/>
          <w:iCs w:val="0"/>
          <w:caps w:val="0"/>
          <w:color w:val="auto"/>
          <w:spacing w:val="0"/>
          <w:sz w:val="32"/>
          <w:szCs w:val="32"/>
          <w:u w:val="none"/>
          <w:shd w:val="clear" w:color="auto" w:fill="auto"/>
        </w:rPr>
        <w:t>让群众享受更</w:t>
      </w:r>
      <w:r>
        <w:rPr>
          <w:rFonts w:hint="eastAsia" w:ascii="仿宋" w:hAnsi="仿宋" w:eastAsia="仿宋" w:cs="仿宋"/>
          <w:i w:val="0"/>
          <w:iCs w:val="0"/>
          <w:caps w:val="0"/>
          <w:color w:val="auto"/>
          <w:spacing w:val="0"/>
          <w:sz w:val="32"/>
          <w:szCs w:val="32"/>
          <w:u w:val="none"/>
          <w:shd w:val="clear" w:color="auto" w:fill="auto"/>
          <w:lang w:eastAsia="zh-CN"/>
        </w:rPr>
        <w:t>加</w:t>
      </w:r>
      <w:r>
        <w:rPr>
          <w:rFonts w:hint="eastAsia" w:ascii="仿宋" w:hAnsi="仿宋" w:eastAsia="仿宋" w:cs="仿宋"/>
          <w:i w:val="0"/>
          <w:iCs w:val="0"/>
          <w:caps w:val="0"/>
          <w:color w:val="auto"/>
          <w:spacing w:val="0"/>
          <w:sz w:val="32"/>
          <w:szCs w:val="32"/>
          <w:u w:val="none"/>
          <w:shd w:val="clear" w:color="auto" w:fill="auto"/>
        </w:rPr>
        <w:t>智能的绿色出行体验</w:t>
      </w:r>
      <w:r>
        <w:rPr>
          <w:rFonts w:hint="eastAsia" w:ascii="仿宋" w:hAnsi="仿宋" w:eastAsia="仿宋" w:cs="仿宋"/>
          <w:b w:val="0"/>
          <w:bCs w:val="0"/>
          <w:color w:val="auto"/>
          <w:kern w:val="2"/>
          <w:sz w:val="32"/>
          <w:szCs w:val="32"/>
          <w:u w:val="none"/>
          <w:lang w:val="en-US" w:eastAsia="zh-CN" w:bidi="ar-SA"/>
        </w:rPr>
        <w:t>。</w:t>
      </w:r>
      <w:r>
        <w:rPr>
          <w:rFonts w:hint="eastAsia" w:ascii="楷体" w:hAnsi="楷体" w:eastAsia="楷体" w:cs="楷体"/>
          <w:b w:val="0"/>
          <w:bCs w:val="0"/>
          <w:color w:val="auto"/>
          <w:sz w:val="32"/>
          <w:szCs w:val="32"/>
          <w:u w:val="none"/>
        </w:rPr>
        <w:t>（责任单位：</w:t>
      </w:r>
      <w:r>
        <w:rPr>
          <w:rFonts w:hint="eastAsia" w:ascii="楷体" w:hAnsi="楷体" w:eastAsia="楷体" w:cs="楷体"/>
          <w:b w:val="0"/>
          <w:bCs w:val="0"/>
          <w:color w:val="auto"/>
          <w:sz w:val="32"/>
          <w:szCs w:val="32"/>
          <w:u w:val="none"/>
          <w:lang w:eastAsia="zh-CN"/>
        </w:rPr>
        <w:t>自治区交通运输厅</w:t>
      </w:r>
      <w:r>
        <w:rPr>
          <w:rFonts w:hint="eastAsia" w:ascii="楷体" w:hAnsi="楷体" w:eastAsia="楷体" w:cs="楷体"/>
          <w:b w:val="0"/>
          <w:bCs w:val="0"/>
          <w:color w:val="auto"/>
          <w:sz w:val="32"/>
          <w:szCs w:val="32"/>
          <w:u w:val="none"/>
        </w:rPr>
        <w:t>）</w:t>
      </w:r>
    </w:p>
    <w:p w14:paraId="60E52ADC">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仿宋" w:hAnsi="仿宋" w:eastAsia="仿宋" w:cs="仿宋"/>
          <w:color w:val="auto"/>
          <w:sz w:val="32"/>
          <w:szCs w:val="32"/>
          <w:u w:val="none"/>
          <w:lang w:val="en-US"/>
        </w:rPr>
      </w:pPr>
      <w:r>
        <w:rPr>
          <w:rFonts w:hint="eastAsia" w:ascii="黑体" w:hAnsi="黑体" w:eastAsia="黑体" w:cs="黑体"/>
          <w:color w:val="auto"/>
          <w:sz w:val="32"/>
          <w:szCs w:val="32"/>
          <w:u w:val="none"/>
          <w:lang w:val="en-US" w:eastAsia="zh-CN"/>
        </w:rPr>
        <w:t>十一、提升群众乘车便利性</w:t>
      </w:r>
    </w:p>
    <w:p w14:paraId="67FFD152">
      <w:pPr>
        <w:pStyle w:val="2"/>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楷体" w:hAnsi="楷体" w:eastAsia="楷体" w:cs="楷体"/>
          <w:color w:val="auto"/>
          <w:sz w:val="32"/>
          <w:szCs w:val="32"/>
          <w:u w:val="none"/>
          <w:lang w:val="en-US" w:eastAsia="zh-CN"/>
        </w:rPr>
      </w:pPr>
      <w:r>
        <w:rPr>
          <w:rFonts w:hint="eastAsia" w:ascii="仿宋" w:hAnsi="仿宋" w:eastAsia="仿宋" w:cs="仿宋"/>
          <w:color w:val="auto"/>
          <w:sz w:val="32"/>
          <w:szCs w:val="32"/>
          <w:u w:val="none"/>
          <w:lang w:val="en-US" w:eastAsia="zh-CN"/>
        </w:rPr>
        <w:t>各地区要不断</w:t>
      </w:r>
      <w:r>
        <w:rPr>
          <w:rFonts w:hint="eastAsia" w:ascii="仿宋" w:hAnsi="仿宋" w:eastAsia="仿宋" w:cs="仿宋"/>
          <w:color w:val="auto"/>
          <w:sz w:val="32"/>
          <w:szCs w:val="32"/>
          <w:u w:val="none"/>
        </w:rPr>
        <w:t>完善盲道、无障碍渡板、母婴室等</w:t>
      </w:r>
      <w:r>
        <w:rPr>
          <w:rFonts w:hint="eastAsia" w:ascii="仿宋" w:hAnsi="仿宋" w:eastAsia="仿宋" w:cs="仿宋"/>
          <w:color w:val="auto"/>
          <w:sz w:val="32"/>
          <w:szCs w:val="32"/>
          <w:u w:val="none"/>
          <w:lang w:eastAsia="zh-CN"/>
        </w:rPr>
        <w:t>公共交通</w:t>
      </w:r>
      <w:r>
        <w:rPr>
          <w:rFonts w:hint="eastAsia" w:ascii="仿宋" w:hAnsi="仿宋" w:eastAsia="仿宋" w:cs="仿宋"/>
          <w:color w:val="auto"/>
          <w:sz w:val="32"/>
          <w:szCs w:val="32"/>
          <w:u w:val="none"/>
        </w:rPr>
        <w:t>设施</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持续</w:t>
      </w:r>
      <w:r>
        <w:rPr>
          <w:rFonts w:hint="eastAsia" w:ascii="仿宋" w:hAnsi="仿宋" w:eastAsia="仿宋" w:cs="仿宋"/>
          <w:color w:val="auto"/>
          <w:sz w:val="32"/>
          <w:szCs w:val="32"/>
          <w:u w:val="none"/>
        </w:rPr>
        <w:t>提升老年人、儿童、残疾人等群体出行服务</w:t>
      </w:r>
      <w:r>
        <w:rPr>
          <w:rFonts w:hint="eastAsia" w:ascii="仿宋" w:hAnsi="仿宋" w:eastAsia="仿宋" w:cs="仿宋"/>
          <w:color w:val="auto"/>
          <w:sz w:val="32"/>
          <w:szCs w:val="32"/>
          <w:u w:val="none"/>
          <w:lang w:eastAsia="zh-CN"/>
        </w:rPr>
        <w:t>；要积极</w:t>
      </w:r>
      <w:r>
        <w:rPr>
          <w:rFonts w:hint="eastAsia" w:ascii="仿宋" w:hAnsi="仿宋" w:eastAsia="仿宋" w:cs="仿宋"/>
          <w:color w:val="auto"/>
          <w:sz w:val="32"/>
          <w:szCs w:val="32"/>
          <w:u w:val="none"/>
          <w:lang w:val="en-US" w:eastAsia="zh-CN"/>
        </w:rPr>
        <w:t>开发大站快线、微循环、定制化等灵活多样的服务模式，促进精准供需匹配；要</w:t>
      </w:r>
      <w:r>
        <w:rPr>
          <w:rFonts w:hint="eastAsia" w:ascii="仿宋" w:hAnsi="仿宋" w:eastAsia="仿宋" w:cs="仿宋"/>
          <w:color w:val="auto"/>
          <w:sz w:val="32"/>
          <w:szCs w:val="32"/>
          <w:u w:val="none"/>
        </w:rPr>
        <w:t>加强舆论宣传引导，</w:t>
      </w:r>
      <w:r>
        <w:rPr>
          <w:rFonts w:hint="eastAsia" w:ascii="仿宋" w:hAnsi="仿宋" w:eastAsia="仿宋" w:cs="仿宋"/>
          <w:color w:val="auto"/>
          <w:sz w:val="32"/>
          <w:szCs w:val="32"/>
          <w:u w:val="none"/>
          <w:lang w:val="en-US" w:eastAsia="zh-CN"/>
        </w:rPr>
        <w:t>不</w:t>
      </w:r>
      <w:r>
        <w:rPr>
          <w:rFonts w:hint="eastAsia" w:ascii="仿宋" w:hAnsi="仿宋" w:eastAsia="仿宋" w:cs="仿宋"/>
          <w:color w:val="auto"/>
          <w:sz w:val="32"/>
          <w:szCs w:val="32"/>
          <w:u w:val="none"/>
        </w:rPr>
        <w:t>断增强公众对绿色出行、公交优先的认同感。</w:t>
      </w:r>
      <w:r>
        <w:rPr>
          <w:rFonts w:hint="eastAsia" w:ascii="楷体" w:hAnsi="楷体" w:eastAsia="楷体" w:cs="楷体"/>
          <w:b w:val="0"/>
          <w:bCs w:val="0"/>
          <w:color w:val="auto"/>
          <w:sz w:val="32"/>
          <w:szCs w:val="32"/>
          <w:u w:val="none"/>
        </w:rPr>
        <w:t>（责任单位：</w:t>
      </w:r>
      <w:r>
        <w:rPr>
          <w:rFonts w:hint="eastAsia" w:ascii="楷体" w:hAnsi="楷体" w:eastAsia="楷体" w:cs="楷体"/>
          <w:b w:val="0"/>
          <w:bCs w:val="0"/>
          <w:color w:val="auto"/>
          <w:sz w:val="32"/>
          <w:szCs w:val="32"/>
          <w:u w:val="none"/>
          <w:lang w:eastAsia="zh-CN"/>
        </w:rPr>
        <w:t>自治区交通运输厅</w:t>
      </w:r>
      <w:r>
        <w:rPr>
          <w:rFonts w:hint="eastAsia" w:ascii="楷体" w:hAnsi="楷体" w:eastAsia="楷体" w:cs="楷体"/>
          <w:b w:val="0"/>
          <w:bCs w:val="0"/>
          <w:color w:val="auto"/>
          <w:sz w:val="32"/>
          <w:szCs w:val="32"/>
          <w:u w:val="none"/>
        </w:rPr>
        <w:t>）</w:t>
      </w:r>
    </w:p>
    <w:p w14:paraId="19FB32F8">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十二、支持企业多元化经营</w:t>
      </w:r>
    </w:p>
    <w:p w14:paraId="0744855E">
      <w:pPr>
        <w:pStyle w:val="2"/>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楷体" w:hAnsi="楷体" w:eastAsia="楷体" w:cs="楷体"/>
          <w:color w:val="auto"/>
          <w:sz w:val="32"/>
          <w:szCs w:val="32"/>
          <w:u w:val="none"/>
          <w:lang w:eastAsia="zh-CN"/>
        </w:rPr>
      </w:pPr>
      <w:r>
        <w:rPr>
          <w:rFonts w:hint="eastAsia" w:ascii="仿宋" w:hAnsi="仿宋" w:eastAsia="仿宋" w:cs="仿宋"/>
          <w:b w:val="0"/>
          <w:bCs w:val="0"/>
          <w:color w:val="auto"/>
          <w:sz w:val="32"/>
          <w:szCs w:val="32"/>
          <w:u w:val="none"/>
        </w:rPr>
        <w:t>支持城市公共交通企业在保障基本公共服务的基础上，依托行业优势拓展广告传媒、商业租赁、</w:t>
      </w:r>
      <w:r>
        <w:rPr>
          <w:rFonts w:hint="eastAsia" w:ascii="仿宋" w:hAnsi="仿宋" w:eastAsia="仿宋" w:cs="仿宋"/>
          <w:b w:val="0"/>
          <w:bCs w:val="0"/>
          <w:color w:val="auto"/>
          <w:sz w:val="32"/>
          <w:szCs w:val="32"/>
          <w:u w:val="none"/>
          <w:lang w:val="en-US" w:eastAsia="zh-CN"/>
        </w:rPr>
        <w:t>汽车充电等业务，</w:t>
      </w:r>
      <w:r>
        <w:rPr>
          <w:rFonts w:hint="eastAsia" w:ascii="仿宋" w:hAnsi="仿宋" w:eastAsia="仿宋" w:cs="仿宋"/>
          <w:b w:val="0"/>
          <w:bCs w:val="0"/>
          <w:color w:val="auto"/>
          <w:sz w:val="32"/>
          <w:szCs w:val="32"/>
          <w:u w:val="none"/>
        </w:rPr>
        <w:t>提升企业整体经营效益和可持续发展能力。压实城市公共交通企业安全生产主体责任，保障城市公共交通运营安全。</w:t>
      </w:r>
      <w:r>
        <w:rPr>
          <w:rFonts w:hint="eastAsia" w:ascii="楷体" w:hAnsi="楷体" w:eastAsia="楷体" w:cs="楷体"/>
          <w:b w:val="0"/>
          <w:bCs w:val="0"/>
          <w:color w:val="auto"/>
          <w:sz w:val="32"/>
          <w:szCs w:val="32"/>
          <w:u w:val="none"/>
        </w:rPr>
        <w:t>（责任单位：</w:t>
      </w:r>
      <w:r>
        <w:rPr>
          <w:rFonts w:hint="eastAsia" w:ascii="楷体" w:hAnsi="楷体" w:eastAsia="楷体" w:cs="楷体"/>
          <w:b w:val="0"/>
          <w:bCs w:val="0"/>
          <w:color w:val="auto"/>
          <w:sz w:val="32"/>
          <w:szCs w:val="32"/>
          <w:u w:val="none"/>
          <w:lang w:eastAsia="zh-CN"/>
        </w:rPr>
        <w:t>自治区交通运输厅</w:t>
      </w:r>
      <w:r>
        <w:rPr>
          <w:rFonts w:hint="eastAsia" w:ascii="楷体" w:hAnsi="楷体" w:eastAsia="楷体" w:cs="楷体"/>
          <w:b w:val="0"/>
          <w:bCs w:val="0"/>
          <w:color w:val="auto"/>
          <w:sz w:val="32"/>
          <w:szCs w:val="32"/>
          <w:u w:val="none"/>
        </w:rPr>
        <w:t>）</w:t>
      </w:r>
    </w:p>
    <w:p w14:paraId="3CEBEB11">
      <w:pPr>
        <w:pStyle w:val="2"/>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val="en-US" w:eastAsia="zh-CN"/>
        </w:rPr>
        <w:t>十三</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val="en-US" w:eastAsia="zh-CN"/>
        </w:rPr>
        <w:t>保障从业人员权益</w:t>
      </w:r>
    </w:p>
    <w:p w14:paraId="7B6E8566">
      <w:pPr>
        <w:pStyle w:val="2"/>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仿宋" w:hAnsi="仿宋" w:eastAsia="仿宋" w:cs="仿宋"/>
          <w:b w:val="0"/>
          <w:bCs w:val="0"/>
          <w:color w:val="auto"/>
          <w:sz w:val="32"/>
          <w:szCs w:val="32"/>
          <w:u w:val="none"/>
        </w:rPr>
      </w:pPr>
      <w:r>
        <w:rPr>
          <w:rFonts w:hint="eastAsia" w:ascii="仿宋" w:hAnsi="仿宋" w:eastAsia="仿宋" w:cs="仿宋"/>
          <w:strike w:val="0"/>
          <w:dstrike w:val="0"/>
          <w:color w:val="auto"/>
          <w:sz w:val="32"/>
          <w:szCs w:val="32"/>
          <w:u w:val="none"/>
          <w:lang w:val="en-US" w:eastAsia="zh-CN"/>
        </w:rPr>
        <w:t>城市公共交通企业要按时足额发放工资、缴纳社会保险，建</w:t>
      </w:r>
      <w:r>
        <w:rPr>
          <w:rFonts w:hint="eastAsia" w:ascii="仿宋" w:hAnsi="仿宋" w:eastAsia="仿宋" w:cs="仿宋"/>
          <w:strike w:val="0"/>
          <w:dstrike w:val="0"/>
          <w:color w:val="auto"/>
          <w:spacing w:val="6"/>
          <w:sz w:val="32"/>
          <w:szCs w:val="32"/>
          <w:u w:val="none"/>
          <w:lang w:val="en-US" w:eastAsia="zh-CN"/>
        </w:rPr>
        <w:t>立从业人员工资收入正常增长机制和向驾驶员倾斜的薪酬制度，</w:t>
      </w:r>
      <w:r>
        <w:rPr>
          <w:rFonts w:hint="eastAsia" w:ascii="仿宋" w:hAnsi="仿宋" w:eastAsia="仿宋" w:cs="仿宋"/>
          <w:strike w:val="0"/>
          <w:dstrike w:val="0"/>
          <w:color w:val="auto"/>
          <w:sz w:val="32"/>
          <w:szCs w:val="32"/>
          <w:u w:val="none"/>
        </w:rPr>
        <w:t>定期</w:t>
      </w:r>
      <w:r>
        <w:rPr>
          <w:rFonts w:hint="eastAsia" w:ascii="仿宋" w:hAnsi="仿宋" w:eastAsia="仿宋" w:cs="仿宋"/>
          <w:strike w:val="0"/>
          <w:dstrike w:val="0"/>
          <w:color w:val="auto"/>
          <w:sz w:val="32"/>
          <w:szCs w:val="32"/>
          <w:u w:val="none"/>
          <w:lang w:val="en-US" w:eastAsia="zh-CN"/>
        </w:rPr>
        <w:t>组织</w:t>
      </w:r>
      <w:r>
        <w:rPr>
          <w:rFonts w:hint="eastAsia" w:ascii="仿宋" w:hAnsi="仿宋" w:eastAsia="仿宋" w:cs="仿宋"/>
          <w:strike w:val="0"/>
          <w:dstrike w:val="0"/>
          <w:color w:val="auto"/>
          <w:sz w:val="32"/>
          <w:szCs w:val="32"/>
          <w:u w:val="none"/>
        </w:rPr>
        <w:t>体检及心理健康辅导，设立</w:t>
      </w:r>
      <w:r>
        <w:rPr>
          <w:rFonts w:hint="eastAsia" w:ascii="仿宋" w:hAnsi="仿宋" w:eastAsia="仿宋" w:cs="仿宋"/>
          <w:strike w:val="0"/>
          <w:dstrike w:val="0"/>
          <w:color w:val="auto"/>
          <w:sz w:val="32"/>
          <w:szCs w:val="32"/>
          <w:u w:val="none"/>
          <w:lang w:val="en-US" w:eastAsia="zh-CN"/>
        </w:rPr>
        <w:t>就餐</w:t>
      </w:r>
      <w:r>
        <w:rPr>
          <w:rFonts w:hint="eastAsia" w:ascii="仿宋" w:hAnsi="仿宋" w:eastAsia="仿宋" w:cs="仿宋"/>
          <w:strike w:val="0"/>
          <w:dstrike w:val="0"/>
          <w:color w:val="auto"/>
          <w:sz w:val="32"/>
          <w:szCs w:val="32"/>
          <w:u w:val="none"/>
        </w:rPr>
        <w:t>及休息场所</w:t>
      </w:r>
      <w:r>
        <w:rPr>
          <w:rFonts w:hint="eastAsia" w:ascii="仿宋" w:hAnsi="仿宋" w:eastAsia="仿宋" w:cs="仿宋"/>
          <w:strike w:val="0"/>
          <w:dstrike w:val="0"/>
          <w:color w:val="auto"/>
          <w:sz w:val="32"/>
          <w:szCs w:val="32"/>
          <w:u w:val="none"/>
          <w:lang w:eastAsia="zh-CN"/>
        </w:rPr>
        <w:t>，</w:t>
      </w:r>
      <w:r>
        <w:rPr>
          <w:rFonts w:hint="eastAsia" w:ascii="仿宋" w:hAnsi="仿宋" w:eastAsia="仿宋" w:cs="仿宋"/>
          <w:strike w:val="0"/>
          <w:dstrike w:val="0"/>
          <w:color w:val="auto"/>
          <w:sz w:val="32"/>
          <w:szCs w:val="32"/>
          <w:u w:val="none"/>
          <w:lang w:val="en-US" w:eastAsia="zh-CN"/>
        </w:rPr>
        <w:t>科学</w:t>
      </w:r>
      <w:r>
        <w:rPr>
          <w:rFonts w:hint="eastAsia" w:ascii="仿宋" w:hAnsi="仿宋" w:eastAsia="仿宋" w:cs="仿宋"/>
          <w:strike w:val="0"/>
          <w:dstrike w:val="0"/>
          <w:color w:val="auto"/>
          <w:sz w:val="32"/>
          <w:szCs w:val="32"/>
          <w:u w:val="none"/>
        </w:rPr>
        <w:t>安排驾驶员工作</w:t>
      </w:r>
      <w:r>
        <w:rPr>
          <w:rFonts w:hint="eastAsia" w:ascii="仿宋" w:hAnsi="仿宋" w:eastAsia="仿宋" w:cs="仿宋"/>
          <w:strike w:val="0"/>
          <w:dstrike w:val="0"/>
          <w:color w:val="auto"/>
          <w:sz w:val="32"/>
          <w:szCs w:val="32"/>
          <w:u w:val="none"/>
          <w:lang w:val="en-US" w:eastAsia="zh-CN"/>
        </w:rPr>
        <w:t>时长</w:t>
      </w:r>
      <w:r>
        <w:rPr>
          <w:rFonts w:hint="eastAsia" w:ascii="仿宋" w:hAnsi="仿宋" w:eastAsia="仿宋" w:cs="仿宋"/>
          <w:strike w:val="0"/>
          <w:dstrike w:val="0"/>
          <w:color w:val="auto"/>
          <w:sz w:val="32"/>
          <w:szCs w:val="32"/>
          <w:u w:val="none"/>
        </w:rPr>
        <w:t>。</w:t>
      </w:r>
      <w:r>
        <w:rPr>
          <w:rFonts w:hint="eastAsia" w:ascii="仿宋" w:hAnsi="仿宋" w:eastAsia="仿宋" w:cs="仿宋"/>
          <w:strike w:val="0"/>
          <w:dstrike w:val="0"/>
          <w:color w:val="auto"/>
          <w:sz w:val="32"/>
          <w:szCs w:val="32"/>
          <w:u w:val="none"/>
          <w:lang w:eastAsia="zh-CN"/>
        </w:rPr>
        <w:t>各相关部门要</w:t>
      </w:r>
      <w:r>
        <w:rPr>
          <w:rFonts w:hint="eastAsia" w:ascii="仿宋" w:hAnsi="仿宋" w:eastAsia="仿宋" w:cs="仿宋"/>
          <w:strike w:val="0"/>
          <w:dstrike w:val="0"/>
          <w:color w:val="auto"/>
          <w:sz w:val="32"/>
          <w:szCs w:val="32"/>
          <w:u w:val="none"/>
          <w:lang w:val="en-US" w:eastAsia="zh-CN"/>
        </w:rPr>
        <w:t>积极</w:t>
      </w:r>
      <w:r>
        <w:rPr>
          <w:rFonts w:hint="eastAsia" w:ascii="仿宋" w:hAnsi="仿宋" w:eastAsia="仿宋" w:cs="仿宋"/>
          <w:strike w:val="0"/>
          <w:dstrike w:val="0"/>
          <w:color w:val="auto"/>
          <w:sz w:val="32"/>
          <w:szCs w:val="32"/>
          <w:u w:val="none"/>
        </w:rPr>
        <w:t>开展先进典型选树活</w:t>
      </w:r>
      <w:r>
        <w:rPr>
          <w:rFonts w:hint="eastAsia" w:ascii="仿宋" w:hAnsi="仿宋" w:eastAsia="仿宋" w:cs="仿宋"/>
          <w:strike w:val="0"/>
          <w:dstrike w:val="0"/>
          <w:color w:val="auto"/>
          <w:spacing w:val="6"/>
          <w:sz w:val="32"/>
          <w:szCs w:val="32"/>
          <w:u w:val="none"/>
        </w:rPr>
        <w:t>动</w:t>
      </w:r>
      <w:r>
        <w:rPr>
          <w:rFonts w:hint="eastAsia" w:ascii="仿宋" w:hAnsi="仿宋" w:eastAsia="仿宋" w:cs="仿宋"/>
          <w:strike w:val="0"/>
          <w:dstrike w:val="0"/>
          <w:color w:val="auto"/>
          <w:spacing w:val="6"/>
          <w:sz w:val="32"/>
          <w:szCs w:val="32"/>
          <w:u w:val="none"/>
          <w:lang w:eastAsia="zh-CN"/>
        </w:rPr>
        <w:t>。</w:t>
      </w:r>
      <w:r>
        <w:rPr>
          <w:rFonts w:hint="eastAsia" w:ascii="仿宋" w:hAnsi="仿宋" w:eastAsia="仿宋" w:cs="仿宋"/>
          <w:strike w:val="0"/>
          <w:dstrike w:val="0"/>
          <w:color w:val="auto"/>
          <w:spacing w:val="6"/>
          <w:sz w:val="32"/>
          <w:szCs w:val="32"/>
          <w:u w:val="none"/>
        </w:rPr>
        <w:t>鼓励将城市公共汽电车驾驶员列入紧缺职业（工种）目录，</w:t>
      </w:r>
      <w:r>
        <w:rPr>
          <w:rFonts w:hint="eastAsia" w:ascii="仿宋" w:hAnsi="仿宋" w:eastAsia="仿宋" w:cs="仿宋"/>
          <w:strike w:val="0"/>
          <w:dstrike w:val="0"/>
          <w:color w:val="auto"/>
          <w:sz w:val="32"/>
          <w:szCs w:val="32"/>
          <w:u w:val="none"/>
        </w:rPr>
        <w:t>对符合条件的高技能人才给予岗位津贴。</w:t>
      </w:r>
      <w:r>
        <w:rPr>
          <w:rFonts w:hint="eastAsia" w:ascii="楷体" w:hAnsi="楷体" w:eastAsia="楷体" w:cs="楷体"/>
          <w:b w:val="0"/>
          <w:bCs w:val="0"/>
          <w:color w:val="auto"/>
          <w:sz w:val="32"/>
          <w:szCs w:val="32"/>
          <w:u w:val="none"/>
        </w:rPr>
        <w:t>（</w:t>
      </w:r>
      <w:r>
        <w:rPr>
          <w:rFonts w:hint="eastAsia" w:ascii="楷体" w:hAnsi="楷体" w:eastAsia="楷体" w:cs="楷体"/>
          <w:b w:val="0"/>
          <w:bCs w:val="0"/>
          <w:color w:val="auto"/>
          <w:kern w:val="2"/>
          <w:sz w:val="32"/>
          <w:szCs w:val="32"/>
          <w:u w:val="none"/>
          <w:vertAlign w:val="baseline"/>
          <w:lang w:val="en-US" w:eastAsia="zh-CN" w:bidi="ar-SA"/>
        </w:rPr>
        <w:t>责任单位：自治区人力资源社会保障厅、交通运输厅、</w:t>
      </w:r>
      <w:r>
        <w:rPr>
          <w:rFonts w:hint="eastAsia" w:ascii="楷体" w:hAnsi="楷体" w:eastAsia="楷体" w:cs="楷体"/>
          <w:b w:val="0"/>
          <w:bCs w:val="0"/>
          <w:color w:val="auto"/>
          <w:sz w:val="32"/>
          <w:szCs w:val="32"/>
          <w:u w:val="none"/>
        </w:rPr>
        <w:t>卫生健康委</w:t>
      </w:r>
      <w:r>
        <w:rPr>
          <w:rFonts w:hint="eastAsia" w:ascii="楷体" w:hAnsi="楷体" w:eastAsia="楷体" w:cs="楷体"/>
          <w:b w:val="0"/>
          <w:bCs w:val="0"/>
          <w:color w:val="auto"/>
          <w:kern w:val="2"/>
          <w:sz w:val="32"/>
          <w:szCs w:val="32"/>
          <w:u w:val="none"/>
          <w:vertAlign w:val="baseline"/>
          <w:lang w:val="en-US" w:eastAsia="zh-CN" w:bidi="ar-SA"/>
        </w:rPr>
        <w:t>、总工会</w:t>
      </w:r>
      <w:r>
        <w:rPr>
          <w:rFonts w:hint="eastAsia" w:ascii="楷体" w:hAnsi="楷体" w:eastAsia="楷体" w:cs="楷体"/>
          <w:b w:val="0"/>
          <w:bCs w:val="0"/>
          <w:color w:val="auto"/>
          <w:sz w:val="32"/>
          <w:szCs w:val="32"/>
          <w:u w:val="none"/>
        </w:rPr>
        <w:t>）</w:t>
      </w:r>
    </w:p>
    <w:p w14:paraId="423121BC">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十四</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val="en-US" w:eastAsia="zh-CN"/>
        </w:rPr>
        <w:t>加强工作</w:t>
      </w:r>
      <w:r>
        <w:rPr>
          <w:rFonts w:hint="eastAsia" w:ascii="黑体" w:hAnsi="黑体" w:eastAsia="黑体" w:cs="黑体"/>
          <w:color w:val="auto"/>
          <w:sz w:val="32"/>
          <w:szCs w:val="32"/>
          <w:u w:val="none"/>
        </w:rPr>
        <w:t>机制</w:t>
      </w:r>
      <w:r>
        <w:rPr>
          <w:rFonts w:hint="eastAsia" w:ascii="黑体" w:hAnsi="黑体" w:eastAsia="黑体" w:cs="黑体"/>
          <w:color w:val="auto"/>
          <w:sz w:val="32"/>
          <w:szCs w:val="32"/>
          <w:u w:val="none"/>
          <w:lang w:val="en-US" w:eastAsia="zh-CN"/>
        </w:rPr>
        <w:t>保障</w:t>
      </w:r>
    </w:p>
    <w:p w14:paraId="7A6D0873">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楷体" w:hAnsi="楷体" w:eastAsia="楷体" w:cs="楷体"/>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各盟市、旗县（市、区</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要加强对</w:t>
      </w:r>
      <w:r>
        <w:rPr>
          <w:rFonts w:hint="eastAsia" w:ascii="仿宋" w:hAnsi="仿宋" w:eastAsia="仿宋" w:cs="仿宋"/>
          <w:color w:val="auto"/>
          <w:sz w:val="32"/>
          <w:szCs w:val="32"/>
          <w:u w:val="none"/>
          <w:lang w:val="en-US" w:eastAsia="zh-CN"/>
        </w:rPr>
        <w:t>城市</w:t>
      </w:r>
      <w:r>
        <w:rPr>
          <w:rFonts w:hint="eastAsia" w:ascii="仿宋" w:hAnsi="仿宋" w:eastAsia="仿宋" w:cs="仿宋"/>
          <w:color w:val="auto"/>
          <w:sz w:val="32"/>
          <w:szCs w:val="32"/>
          <w:u w:val="none"/>
        </w:rPr>
        <w:t>公共交通发展工作的组织领导</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统筹协调解决城市公共交通工作中的重大问题，推动各项支持政策</w:t>
      </w:r>
      <w:r>
        <w:rPr>
          <w:rFonts w:hint="eastAsia" w:ascii="仿宋" w:hAnsi="仿宋" w:eastAsia="仿宋" w:cs="仿宋"/>
          <w:color w:val="auto"/>
          <w:sz w:val="32"/>
          <w:szCs w:val="32"/>
          <w:u w:val="none"/>
          <w:lang w:val="en-US" w:eastAsia="zh-CN"/>
        </w:rPr>
        <w:t>落地落实</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自治区交通运输厅</w:t>
      </w:r>
      <w:r>
        <w:rPr>
          <w:rFonts w:hint="eastAsia" w:ascii="仿宋" w:hAnsi="仿宋" w:eastAsia="仿宋" w:cs="仿宋"/>
          <w:color w:val="auto"/>
          <w:sz w:val="32"/>
          <w:szCs w:val="32"/>
          <w:u w:val="none"/>
          <w:lang w:val="en-US" w:eastAsia="zh-CN"/>
        </w:rPr>
        <w:t>要牵头</w:t>
      </w:r>
      <w:r>
        <w:rPr>
          <w:rFonts w:hint="eastAsia" w:ascii="仿宋" w:hAnsi="仿宋" w:eastAsia="仿宋" w:cs="仿宋"/>
          <w:color w:val="auto"/>
          <w:sz w:val="32"/>
          <w:szCs w:val="32"/>
          <w:u w:val="none"/>
        </w:rPr>
        <w:t>制定城市公共交通特许经营、运营服务成本规制、发展水平</w:t>
      </w:r>
      <w:r>
        <w:rPr>
          <w:rFonts w:hint="eastAsia" w:ascii="仿宋" w:hAnsi="仿宋" w:eastAsia="仿宋" w:cs="仿宋"/>
          <w:color w:val="auto"/>
          <w:sz w:val="32"/>
          <w:szCs w:val="32"/>
          <w:u w:val="none"/>
          <w:lang w:val="en-US" w:eastAsia="zh-CN"/>
        </w:rPr>
        <w:t>评价</w:t>
      </w:r>
      <w:r>
        <w:rPr>
          <w:rFonts w:hint="eastAsia" w:ascii="仿宋" w:hAnsi="仿宋" w:eastAsia="仿宋" w:cs="仿宋"/>
          <w:color w:val="auto"/>
          <w:sz w:val="32"/>
          <w:szCs w:val="32"/>
          <w:u w:val="none"/>
        </w:rPr>
        <w:t>、服务质量评价等指南</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做好城市公共交通行业发展服务工作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积极引导和鼓励成立城市公共交通行业协会。</w:t>
      </w:r>
      <w:r>
        <w:rPr>
          <w:rFonts w:hint="eastAsia" w:ascii="楷体" w:hAnsi="楷体" w:eastAsia="楷体" w:cs="楷体"/>
          <w:color w:val="auto"/>
          <w:sz w:val="32"/>
          <w:szCs w:val="32"/>
          <w:u w:val="none"/>
        </w:rPr>
        <w:t>（责任单位：</w:t>
      </w:r>
      <w:r>
        <w:rPr>
          <w:rFonts w:hint="eastAsia" w:ascii="楷体" w:hAnsi="楷体" w:eastAsia="楷体" w:cs="楷体"/>
          <w:color w:val="auto"/>
          <w:sz w:val="32"/>
          <w:szCs w:val="32"/>
          <w:u w:val="none"/>
          <w:lang w:val="en-US" w:eastAsia="zh-CN"/>
        </w:rPr>
        <w:t>自治区</w:t>
      </w:r>
      <w:r>
        <w:rPr>
          <w:rFonts w:hint="eastAsia" w:ascii="楷体" w:hAnsi="楷体" w:eastAsia="楷体" w:cs="楷体"/>
          <w:color w:val="auto"/>
          <w:sz w:val="32"/>
          <w:szCs w:val="32"/>
          <w:u w:val="none"/>
          <w:lang w:eastAsia="zh-CN"/>
        </w:rPr>
        <w:t>交通</w:t>
      </w:r>
      <w:r>
        <w:rPr>
          <w:rFonts w:hint="eastAsia" w:ascii="楷体" w:hAnsi="楷体" w:eastAsia="楷体" w:cs="楷体"/>
          <w:b w:val="0"/>
          <w:bCs w:val="0"/>
          <w:color w:val="auto"/>
          <w:sz w:val="32"/>
          <w:szCs w:val="32"/>
          <w:u w:val="none"/>
          <w:lang w:eastAsia="zh-CN"/>
        </w:rPr>
        <w:t>运输厅、</w:t>
      </w:r>
      <w:r>
        <w:rPr>
          <w:rFonts w:hint="eastAsia" w:ascii="楷体" w:hAnsi="楷体" w:eastAsia="楷体" w:cs="楷体"/>
          <w:b w:val="0"/>
          <w:bCs w:val="0"/>
          <w:color w:val="auto"/>
          <w:sz w:val="32"/>
          <w:szCs w:val="32"/>
          <w:u w:val="none"/>
          <w:lang w:val="en-US" w:eastAsia="zh-CN"/>
        </w:rPr>
        <w:t>民政厅</w:t>
      </w:r>
      <w:r>
        <w:rPr>
          <w:rFonts w:hint="eastAsia" w:ascii="楷体" w:hAnsi="楷体" w:eastAsia="楷体" w:cs="楷体"/>
          <w:b w:val="0"/>
          <w:bCs w:val="0"/>
          <w:color w:val="auto"/>
          <w:sz w:val="32"/>
          <w:szCs w:val="32"/>
          <w:u w:val="none"/>
        </w:rPr>
        <w:t>）</w:t>
      </w:r>
    </w:p>
    <w:p w14:paraId="29411B15">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仿宋" w:hAnsi="仿宋" w:eastAsia="仿宋" w:cs="仿宋"/>
          <w:color w:val="auto"/>
          <w:sz w:val="32"/>
          <w:szCs w:val="32"/>
          <w:u w:val="none"/>
          <w:lang w:val="en-US" w:eastAsia="zh-CN"/>
        </w:rPr>
        <w:t>本意见自印发之日起施行。《内蒙古自治区人民政府关于城市优先发展公共交通的意见》（内政发〔2013〕108号）同时废止。本意见未作具体规定的事项，按照《城市公共交通条例》及相关法律、行政法规的规定执行。</w:t>
      </w:r>
    </w:p>
    <w:p w14:paraId="63B01D2D">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p>
    <w:p w14:paraId="288413A4">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p>
    <w:p w14:paraId="10536B05">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p>
    <w:p w14:paraId="25813205">
      <w:pPr>
        <w:keepNext w:val="0"/>
        <w:keepLines w:val="0"/>
        <w:pageBreakBefore w:val="0"/>
        <w:widowControl w:val="0"/>
        <w:kinsoku/>
        <w:wordWrap/>
        <w:overflowPunct/>
        <w:topLinePunct/>
        <w:autoSpaceDE/>
        <w:autoSpaceDN/>
        <w:bidi w:val="0"/>
        <w:adjustRightInd w:val="0"/>
        <w:snapToGrid w:val="0"/>
        <w:spacing w:line="580" w:lineRule="exact"/>
        <w:ind w:firstLine="5440" w:firstLineChars="17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2025年7月17日</w:t>
      </w:r>
    </w:p>
    <w:p w14:paraId="185C13B6">
      <w:pPr>
        <w:pStyle w:val="2"/>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仿宋_GBK" w:hAnsi="方正仿宋_GBK" w:eastAsia="方正仿宋_GBK" w:cs="方正仿宋_GBK"/>
          <w:color w:val="auto"/>
          <w:sz w:val="32"/>
          <w:szCs w:val="32"/>
          <w:u w:val="none"/>
          <w:lang w:val="en-US"/>
        </w:rPr>
      </w:pPr>
      <w:r>
        <w:rPr>
          <w:rFonts w:hint="eastAsia" w:ascii="方正仿宋_GBK" w:hAnsi="方正仿宋_GBK" w:eastAsia="方正仿宋_GBK" w:cs="方正仿宋_GBK"/>
          <w:color w:val="auto"/>
          <w:sz w:val="32"/>
          <w:szCs w:val="32"/>
          <w:u w:val="none"/>
          <w:lang w:val="en-US" w:eastAsia="zh-CN"/>
        </w:rPr>
        <w:t>（此件公开发布）</w:t>
      </w:r>
    </w:p>
    <w:p w14:paraId="2185BD1F">
      <w:pPr>
        <w:pStyle w:val="13"/>
        <w:spacing w:line="620" w:lineRule="exact"/>
        <w:ind w:left="0" w:leftChars="0" w:right="1270" w:rightChars="605" w:firstLine="0" w:firstLineChars="0"/>
        <w:jc w:val="both"/>
        <w:rPr>
          <w:rFonts w:hint="eastAsia" w:ascii="方正仿宋_GBK" w:hAnsi="方正仿宋_GBK" w:eastAsia="方正仿宋_GBK" w:cs="方正仿宋_GBK"/>
          <w:color w:val="auto"/>
          <w:sz w:val="32"/>
          <w:szCs w:val="32"/>
          <w:u w:val="none"/>
          <w:lang w:val="en-US" w:eastAsia="zh-CN"/>
        </w:rPr>
      </w:pPr>
    </w:p>
    <w:p w14:paraId="7E5AC8B8">
      <w:pPr>
        <w:spacing w:line="620" w:lineRule="exact"/>
        <w:ind w:firstLine="600"/>
        <w:rPr>
          <w:rFonts w:hint="eastAsia" w:eastAsia="仿宋_GB2312"/>
          <w:color w:val="auto"/>
          <w:sz w:val="15"/>
          <w:szCs w:val="15"/>
          <w:u w:val="none"/>
        </w:rPr>
      </w:pPr>
    </w:p>
    <w:p w14:paraId="54D3AA0A">
      <w:pPr>
        <w:ind w:firstLine="600"/>
        <w:rPr>
          <w:rFonts w:hint="eastAsia" w:eastAsia="仿宋_GB2312"/>
          <w:color w:val="auto"/>
          <w:sz w:val="15"/>
          <w:szCs w:val="15"/>
          <w:u w:val="none"/>
        </w:rPr>
      </w:pPr>
    </w:p>
    <w:p w14:paraId="08DB2616">
      <w:pPr>
        <w:ind w:firstLine="600"/>
        <w:rPr>
          <w:rFonts w:hint="eastAsia" w:eastAsia="仿宋_GB2312"/>
          <w:color w:val="auto"/>
          <w:sz w:val="15"/>
          <w:szCs w:val="15"/>
          <w:u w:val="none"/>
        </w:rPr>
      </w:pPr>
    </w:p>
    <w:p w14:paraId="4392F05E">
      <w:pPr>
        <w:pStyle w:val="2"/>
        <w:rPr>
          <w:rFonts w:hint="default" w:eastAsia="仿宋_GB2312"/>
          <w:color w:val="auto"/>
          <w:sz w:val="15"/>
          <w:szCs w:val="15"/>
          <w:u w:val="none"/>
        </w:rPr>
      </w:pPr>
    </w:p>
    <w:p w14:paraId="0509111F">
      <w:pPr>
        <w:pStyle w:val="2"/>
        <w:rPr>
          <w:rFonts w:hint="default" w:eastAsia="仿宋_GB2312"/>
          <w:color w:val="auto"/>
          <w:sz w:val="15"/>
          <w:szCs w:val="15"/>
          <w:u w:val="none"/>
        </w:rPr>
      </w:pPr>
    </w:p>
    <w:p w14:paraId="2589C452">
      <w:pPr>
        <w:pStyle w:val="2"/>
        <w:rPr>
          <w:rFonts w:hint="default" w:eastAsia="仿宋_GB2312"/>
          <w:color w:val="auto"/>
          <w:sz w:val="15"/>
          <w:szCs w:val="15"/>
          <w:u w:val="none"/>
        </w:rPr>
      </w:pPr>
    </w:p>
    <w:p w14:paraId="5914E513">
      <w:pPr>
        <w:pStyle w:val="2"/>
        <w:rPr>
          <w:rFonts w:hint="default" w:eastAsia="仿宋_GB2312"/>
          <w:color w:val="auto"/>
          <w:sz w:val="15"/>
          <w:szCs w:val="15"/>
          <w:u w:val="none"/>
        </w:rPr>
      </w:pPr>
    </w:p>
    <w:p w14:paraId="01F63A3C">
      <w:pPr>
        <w:pStyle w:val="2"/>
        <w:rPr>
          <w:rFonts w:hint="default" w:eastAsia="仿宋_GB2312"/>
          <w:color w:val="auto"/>
          <w:sz w:val="15"/>
          <w:szCs w:val="15"/>
          <w:u w:val="none"/>
        </w:rPr>
      </w:pPr>
    </w:p>
    <w:p w14:paraId="7B27ED3A">
      <w:pPr>
        <w:pStyle w:val="2"/>
        <w:rPr>
          <w:rFonts w:hint="default" w:eastAsia="仿宋_GB2312"/>
          <w:color w:val="auto"/>
          <w:sz w:val="15"/>
          <w:szCs w:val="15"/>
          <w:u w:val="none"/>
        </w:rPr>
      </w:pPr>
    </w:p>
    <w:p w14:paraId="6A8B2A0B">
      <w:pPr>
        <w:pStyle w:val="2"/>
        <w:rPr>
          <w:rFonts w:hint="default" w:eastAsia="仿宋_GB2312"/>
          <w:color w:val="auto"/>
          <w:sz w:val="15"/>
          <w:szCs w:val="15"/>
          <w:u w:val="none"/>
        </w:rPr>
      </w:pPr>
    </w:p>
    <w:p w14:paraId="4D418569">
      <w:pPr>
        <w:pStyle w:val="2"/>
        <w:rPr>
          <w:rFonts w:hint="default" w:eastAsia="仿宋_GB2312"/>
          <w:color w:val="auto"/>
          <w:sz w:val="15"/>
          <w:szCs w:val="15"/>
          <w:u w:val="none"/>
        </w:rPr>
      </w:pPr>
      <w:bookmarkStart w:id="2" w:name="_GoBack"/>
      <w:bookmarkEnd w:id="2"/>
    </w:p>
    <w:p w14:paraId="6C8C5ABA">
      <w:pPr>
        <w:pStyle w:val="2"/>
        <w:rPr>
          <w:rFonts w:hint="default" w:eastAsia="仿宋_GB2312"/>
          <w:color w:val="auto"/>
          <w:sz w:val="15"/>
          <w:szCs w:val="15"/>
          <w:u w:val="none"/>
        </w:rPr>
      </w:pPr>
    </w:p>
    <w:p w14:paraId="1B8F4DD4">
      <w:pPr>
        <w:pStyle w:val="2"/>
        <w:rPr>
          <w:rFonts w:hint="default" w:eastAsia="仿宋_GB2312"/>
          <w:color w:val="auto"/>
          <w:sz w:val="15"/>
          <w:szCs w:val="15"/>
          <w:u w:val="none"/>
        </w:rPr>
      </w:pPr>
    </w:p>
    <w:p w14:paraId="1AF23D61">
      <w:pPr>
        <w:pStyle w:val="2"/>
        <w:rPr>
          <w:rFonts w:hint="default" w:eastAsia="仿宋_GB2312"/>
          <w:color w:val="auto"/>
          <w:sz w:val="15"/>
          <w:szCs w:val="15"/>
          <w:u w:val="none"/>
        </w:rPr>
      </w:pPr>
    </w:p>
    <w:p w14:paraId="49DAE50B">
      <w:pPr>
        <w:pStyle w:val="2"/>
        <w:rPr>
          <w:rFonts w:hint="default" w:eastAsia="仿宋_GB2312"/>
          <w:color w:val="auto"/>
          <w:sz w:val="15"/>
          <w:szCs w:val="15"/>
          <w:u w:val="none"/>
        </w:rPr>
      </w:pPr>
    </w:p>
    <w:p w14:paraId="52E2F6FC">
      <w:pPr>
        <w:pStyle w:val="2"/>
        <w:rPr>
          <w:rFonts w:hint="default" w:eastAsia="仿宋_GB2312"/>
          <w:color w:val="auto"/>
          <w:sz w:val="15"/>
          <w:szCs w:val="15"/>
          <w:u w:val="none"/>
        </w:rPr>
      </w:pPr>
    </w:p>
    <w:p w14:paraId="314F3DC9">
      <w:pPr>
        <w:pStyle w:val="2"/>
        <w:rPr>
          <w:rFonts w:hint="default" w:eastAsia="仿宋_GB2312"/>
          <w:color w:val="auto"/>
          <w:sz w:val="15"/>
          <w:szCs w:val="15"/>
          <w:u w:val="none"/>
        </w:rPr>
      </w:pPr>
    </w:p>
    <w:p w14:paraId="7B15A651">
      <w:pPr>
        <w:pStyle w:val="2"/>
        <w:rPr>
          <w:rFonts w:hint="default" w:eastAsia="仿宋_GB2312"/>
          <w:color w:val="auto"/>
          <w:sz w:val="15"/>
          <w:szCs w:val="15"/>
          <w:u w:val="none"/>
        </w:rPr>
      </w:pPr>
    </w:p>
    <w:p w14:paraId="6A04FC6C">
      <w:pPr>
        <w:pStyle w:val="7"/>
        <w:tabs>
          <w:tab w:val="left" w:pos="7560"/>
        </w:tabs>
        <w:wordWrap w:val="0"/>
        <w:ind w:left="4520" w:leftChars="2058" w:hanging="198" w:hangingChars="62"/>
        <w:jc w:val="right"/>
        <w:rPr>
          <w:rFonts w:hint="eastAsia" w:ascii="黑体" w:eastAsia="黑体"/>
          <w:color w:val="auto"/>
          <w:u w:val="none"/>
          <w:lang w:eastAsia="zh-CN"/>
        </w:rPr>
      </w:pPr>
    </w:p>
    <w:tbl>
      <w:tblPr>
        <w:tblStyle w:val="14"/>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2"/>
      </w:tblGrid>
      <w:tr w14:paraId="79600A4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2" w:type="dxa"/>
            <w:noWrap w:val="0"/>
            <w:vAlign w:val="top"/>
          </w:tcPr>
          <w:p w14:paraId="23347B0F">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14:paraId="61DB0B6D">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76" w:firstLineChars="300"/>
              <w:textAlignment w:val="auto"/>
              <w:rPr>
                <w:rFonts w:hint="eastAsia" w:ascii="仿宋" w:hAnsi="仿宋" w:eastAsia="仿宋" w:cs="仿宋"/>
                <w:spacing w:val="6"/>
                <w:sz w:val="28"/>
                <w:szCs w:val="28"/>
                <w:lang w:eastAsia="zh-CN"/>
              </w:rPr>
            </w:pPr>
            <w:r>
              <w:rPr>
                <w:rFonts w:hint="eastAsia" w:ascii="仿宋" w:hAnsi="仿宋" w:eastAsia="仿宋" w:cs="仿宋"/>
                <w:spacing w:val="6"/>
                <w:sz w:val="28"/>
                <w:szCs w:val="28"/>
              </w:rPr>
              <w:t>自治区人大常委会办公厅</w:t>
            </w:r>
            <w:r>
              <w:rPr>
                <w:rFonts w:hint="eastAsia" w:ascii="仿宋" w:hAnsi="仿宋" w:eastAsia="仿宋" w:cs="仿宋"/>
                <w:spacing w:val="6"/>
                <w:sz w:val="28"/>
                <w:szCs w:val="28"/>
                <w:lang w:eastAsia="zh-CN"/>
              </w:rPr>
              <w:t>，自治区</w:t>
            </w:r>
            <w:r>
              <w:rPr>
                <w:rFonts w:hint="eastAsia" w:ascii="仿宋" w:hAnsi="仿宋" w:eastAsia="仿宋" w:cs="仿宋"/>
                <w:spacing w:val="6"/>
                <w:sz w:val="28"/>
                <w:szCs w:val="28"/>
              </w:rPr>
              <w:t>政协办公厅，</w:t>
            </w:r>
            <w:r>
              <w:rPr>
                <w:rFonts w:hint="eastAsia" w:ascii="仿宋" w:hAnsi="仿宋" w:eastAsia="仿宋" w:cs="仿宋"/>
                <w:spacing w:val="6"/>
                <w:sz w:val="28"/>
                <w:szCs w:val="28"/>
                <w:lang w:eastAsia="zh-CN"/>
              </w:rPr>
              <w:t>自治区监委，</w:t>
            </w:r>
          </w:p>
          <w:p w14:paraId="4601C700">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eastAsia="zh-CN"/>
              </w:rPr>
              <w:t>自治区高</w:t>
            </w:r>
            <w:r>
              <w:rPr>
                <w:rFonts w:hint="eastAsia" w:ascii="仿宋" w:hAnsi="仿宋" w:eastAsia="仿宋" w:cs="仿宋"/>
                <w:sz w:val="28"/>
                <w:szCs w:val="28"/>
              </w:rPr>
              <w:t>级人民法院，</w:t>
            </w:r>
            <w:r>
              <w:rPr>
                <w:rFonts w:hint="eastAsia" w:ascii="仿宋" w:hAnsi="仿宋" w:eastAsia="仿宋" w:cs="仿宋"/>
                <w:sz w:val="28"/>
                <w:szCs w:val="28"/>
                <w:lang w:eastAsia="zh-CN"/>
              </w:rPr>
              <w:t>自治区人民</w:t>
            </w:r>
            <w:r>
              <w:rPr>
                <w:rFonts w:hint="eastAsia" w:ascii="仿宋" w:hAnsi="仿宋" w:eastAsia="仿宋" w:cs="仿宋"/>
                <w:sz w:val="28"/>
                <w:szCs w:val="28"/>
              </w:rPr>
              <w:t>检察院。</w:t>
            </w:r>
          </w:p>
          <w:p w14:paraId="5A923B5D">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eastAsia="zh-CN"/>
              </w:rPr>
              <w:t>各民主党派区委会，</w:t>
            </w:r>
            <w:r>
              <w:rPr>
                <w:rFonts w:hint="eastAsia" w:ascii="仿宋" w:hAnsi="仿宋" w:eastAsia="仿宋" w:cs="仿宋"/>
                <w:sz w:val="28"/>
                <w:szCs w:val="28"/>
              </w:rPr>
              <w:t>各人民团体，新闻单位。</w:t>
            </w:r>
          </w:p>
        </w:tc>
      </w:tr>
      <w:tr w14:paraId="3E9460B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2" w:type="dxa"/>
            <w:noWrap w:val="0"/>
            <w:vAlign w:val="top"/>
          </w:tcPr>
          <w:p w14:paraId="56FC1C92">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内蒙古自治区人民政府办公厅文电处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日印发</w:t>
            </w:r>
          </w:p>
        </w:tc>
      </w:tr>
    </w:tbl>
    <w:p w14:paraId="669A9D3B">
      <w:pPr>
        <w:spacing w:line="20" w:lineRule="exact"/>
        <w:rPr>
          <w:rFonts w:hint="eastAsia"/>
        </w:rPr>
      </w:pPr>
      <w:r>
        <w:rPr>
          <w:rFonts w:hint="eastAsia" w:eastAsia="仿宋_GB2312"/>
          <w:color w:val="auto"/>
          <w:sz w:val="15"/>
          <w:szCs w:val="15"/>
          <w:u w:val="none"/>
          <w:lang w:eastAsia="zh-CN"/>
        </w:rPr>
        <w:drawing>
          <wp:anchor distT="0" distB="0" distL="114300" distR="114300" simplePos="0" relativeHeight="251659264" behindDoc="0" locked="0" layoutInCell="1" allowOverlap="1">
            <wp:simplePos x="0" y="0"/>
            <wp:positionH relativeFrom="column">
              <wp:posOffset>3979545</wp:posOffset>
            </wp:positionH>
            <wp:positionV relativeFrom="paragraph">
              <wp:posOffset>104140</wp:posOffset>
            </wp:positionV>
            <wp:extent cx="1638935" cy="487045"/>
            <wp:effectExtent l="0" t="0" r="18415" b="8255"/>
            <wp:wrapSquare wrapText="bothSides"/>
            <wp:docPr id="1" name="图片 5" descr="NZ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15"/>
                    <pic:cNvPicPr>
                      <a:picLocks noChangeAspect="1"/>
                    </pic:cNvPicPr>
                  </pic:nvPicPr>
                  <pic:blipFill>
                    <a:blip r:embed="rId8"/>
                    <a:stretch>
                      <a:fillRect/>
                    </a:stretch>
                  </pic:blipFill>
                  <pic:spPr>
                    <a:xfrm>
                      <a:off x="0" y="0"/>
                      <a:ext cx="1638935" cy="48704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89D87">
    <w:pPr>
      <w:pStyle w:val="9"/>
      <w:framePr w:wrap="around" w:vAnchor="text" w:hAnchor="page" w:x="9452" w:y="-23"/>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lang/>
      </w:rPr>
      <w:t>- 1 -</w:t>
    </w:r>
    <w:r>
      <w:rPr>
        <w:rFonts w:hint="eastAsia" w:ascii="宋体" w:hAnsi="宋体"/>
        <w:sz w:val="28"/>
        <w:szCs w:val="28"/>
      </w:rPr>
      <w:fldChar w:fldCharType="end"/>
    </w:r>
  </w:p>
  <w:p w14:paraId="4AB8445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29099">
    <w:pPr>
      <w:pStyle w:val="9"/>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14:paraId="3C1C38BD">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E6F5">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95E97">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4FE"/>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1C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2D64"/>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C7819"/>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867"/>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01BD"/>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B7A25"/>
    <w:rsid w:val="003C1EB9"/>
    <w:rsid w:val="003C3249"/>
    <w:rsid w:val="003C3EA0"/>
    <w:rsid w:val="003C419C"/>
    <w:rsid w:val="003C41EC"/>
    <w:rsid w:val="003C4942"/>
    <w:rsid w:val="003C7D67"/>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1D4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2FD7"/>
    <w:rsid w:val="005045F2"/>
    <w:rsid w:val="0051102B"/>
    <w:rsid w:val="0051110B"/>
    <w:rsid w:val="00513E02"/>
    <w:rsid w:val="005141F0"/>
    <w:rsid w:val="00514727"/>
    <w:rsid w:val="0051691A"/>
    <w:rsid w:val="00517F09"/>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447"/>
    <w:rsid w:val="005906A6"/>
    <w:rsid w:val="00590E74"/>
    <w:rsid w:val="00593B63"/>
    <w:rsid w:val="005A1F8D"/>
    <w:rsid w:val="005A67BB"/>
    <w:rsid w:val="005A740E"/>
    <w:rsid w:val="005B0120"/>
    <w:rsid w:val="005B0BCC"/>
    <w:rsid w:val="005B2090"/>
    <w:rsid w:val="005B2A3B"/>
    <w:rsid w:val="005B2AFE"/>
    <w:rsid w:val="005B3136"/>
    <w:rsid w:val="005B39F8"/>
    <w:rsid w:val="005B3F4F"/>
    <w:rsid w:val="005C2B4E"/>
    <w:rsid w:val="005C663F"/>
    <w:rsid w:val="005C79E2"/>
    <w:rsid w:val="005D07B3"/>
    <w:rsid w:val="005D1611"/>
    <w:rsid w:val="005E5234"/>
    <w:rsid w:val="005E7F3F"/>
    <w:rsid w:val="005F0DE3"/>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042"/>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2872"/>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1BC7"/>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6015"/>
    <w:rsid w:val="00886AA8"/>
    <w:rsid w:val="0088714E"/>
    <w:rsid w:val="00887FA5"/>
    <w:rsid w:val="008926B7"/>
    <w:rsid w:val="0089561E"/>
    <w:rsid w:val="008A0590"/>
    <w:rsid w:val="008A2476"/>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D7BB6"/>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49F5"/>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10E9"/>
    <w:rsid w:val="00B54162"/>
    <w:rsid w:val="00B542D3"/>
    <w:rsid w:val="00B560B0"/>
    <w:rsid w:val="00B56A1E"/>
    <w:rsid w:val="00B57284"/>
    <w:rsid w:val="00B6035B"/>
    <w:rsid w:val="00B64E58"/>
    <w:rsid w:val="00B666ED"/>
    <w:rsid w:val="00B66DFE"/>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05E0"/>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476B"/>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43DB"/>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54F7"/>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4A4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47E63FE"/>
    <w:rsid w:val="05C80F12"/>
    <w:rsid w:val="098B434F"/>
    <w:rsid w:val="0CA94973"/>
    <w:rsid w:val="0ECEAD1E"/>
    <w:rsid w:val="0F6E701B"/>
    <w:rsid w:val="10CF0C6D"/>
    <w:rsid w:val="14D43D59"/>
    <w:rsid w:val="17C42E58"/>
    <w:rsid w:val="199A65C5"/>
    <w:rsid w:val="1A3A4DBC"/>
    <w:rsid w:val="1DD11934"/>
    <w:rsid w:val="1ED24BFE"/>
    <w:rsid w:val="1EFFA618"/>
    <w:rsid w:val="1F48029C"/>
    <w:rsid w:val="210A377C"/>
    <w:rsid w:val="24167A06"/>
    <w:rsid w:val="28B640A0"/>
    <w:rsid w:val="298F67ED"/>
    <w:rsid w:val="2BAD69DC"/>
    <w:rsid w:val="2E84799A"/>
    <w:rsid w:val="2F186D7C"/>
    <w:rsid w:val="331D3BE6"/>
    <w:rsid w:val="338A1A32"/>
    <w:rsid w:val="370A6D13"/>
    <w:rsid w:val="37692973"/>
    <w:rsid w:val="3842225B"/>
    <w:rsid w:val="3BAFA1CA"/>
    <w:rsid w:val="3E173688"/>
    <w:rsid w:val="3E7C4685"/>
    <w:rsid w:val="3F813279"/>
    <w:rsid w:val="40973487"/>
    <w:rsid w:val="43CE029F"/>
    <w:rsid w:val="499F0266"/>
    <w:rsid w:val="4B4F7E57"/>
    <w:rsid w:val="4C134A8D"/>
    <w:rsid w:val="4E200F31"/>
    <w:rsid w:val="52CE0BEA"/>
    <w:rsid w:val="558F3324"/>
    <w:rsid w:val="56271AC9"/>
    <w:rsid w:val="57A4D961"/>
    <w:rsid w:val="587530F2"/>
    <w:rsid w:val="5BFF3267"/>
    <w:rsid w:val="5C4A2FDE"/>
    <w:rsid w:val="5DCB4CF4"/>
    <w:rsid w:val="63563B19"/>
    <w:rsid w:val="642C3B3E"/>
    <w:rsid w:val="65EF1059"/>
    <w:rsid w:val="6A1C2667"/>
    <w:rsid w:val="6DEA2065"/>
    <w:rsid w:val="6DFA1037"/>
    <w:rsid w:val="6ECF23D3"/>
    <w:rsid w:val="71E46A3C"/>
    <w:rsid w:val="75765346"/>
    <w:rsid w:val="761342BE"/>
    <w:rsid w:val="76FD0D21"/>
    <w:rsid w:val="77CD76B1"/>
    <w:rsid w:val="791B28A2"/>
    <w:rsid w:val="79F67B1C"/>
    <w:rsid w:val="7B6831BE"/>
    <w:rsid w:val="7DF131DA"/>
    <w:rsid w:val="7E991BAC"/>
    <w:rsid w:val="7FFD3D82"/>
    <w:rsid w:val="AFFF6BAB"/>
    <w:rsid w:val="B6AF6AED"/>
    <w:rsid w:val="B6FF5A46"/>
    <w:rsid w:val="BFE3AF06"/>
    <w:rsid w:val="CD2C9144"/>
    <w:rsid w:val="CDBFC477"/>
    <w:rsid w:val="D6FEE575"/>
    <w:rsid w:val="EFB71566"/>
    <w:rsid w:val="EFFD4831"/>
    <w:rsid w:val="F3357836"/>
    <w:rsid w:val="F7CFD691"/>
    <w:rsid w:val="FCE691C8"/>
    <w:rsid w:val="FDB2EF20"/>
    <w:rsid w:val="FDF5F61C"/>
    <w:rsid w:val="FE37D5CF"/>
    <w:rsid w:val="FF3ECB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6">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Cs w:val="22"/>
      <w:lang w:bidi="ar-SA"/>
    </w:rPr>
  </w:style>
  <w:style w:type="paragraph" w:styleId="3">
    <w:name w:val="Document Map"/>
    <w:basedOn w:val="1"/>
    <w:semiHidden/>
    <w:uiPriority w:val="0"/>
    <w:pPr>
      <w:shd w:val="clear" w:color="auto" w:fill="000080"/>
    </w:pPr>
  </w:style>
  <w:style w:type="paragraph" w:styleId="4">
    <w:name w:val="Body Text"/>
    <w:basedOn w:val="1"/>
    <w:next w:val="1"/>
    <w:qFormat/>
    <w:uiPriority w:val="0"/>
    <w:pPr>
      <w:keepNext w:val="0"/>
      <w:keepLines w:val="0"/>
      <w:widowControl w:val="0"/>
      <w:suppressLineNumbers w:val="0"/>
      <w:spacing w:before="134" w:beforeAutospacing="0" w:after="0" w:afterAutospacing="0"/>
      <w:ind w:left="111" w:right="0"/>
      <w:jc w:val="both"/>
    </w:pPr>
    <w:rPr>
      <w:rFonts w:hint="eastAsia" w:ascii="方正仿宋_GBK" w:hAnsi="方正仿宋_GBK" w:eastAsia="宋体" w:cs="Times New Roman"/>
      <w:kern w:val="2"/>
      <w:sz w:val="31"/>
      <w:szCs w:val="31"/>
      <w:lang w:val="en-US" w:eastAsia="zh-CN" w:bidi="ar"/>
    </w:rPr>
  </w:style>
  <w:style w:type="paragraph" w:styleId="5">
    <w:name w:val="Body Text Indent"/>
    <w:basedOn w:val="1"/>
    <w:qFormat/>
    <w:uiPriority w:val="0"/>
    <w:rPr>
      <w:rFonts w:ascii="仿宋_GB2312" w:hAnsi="Calibri" w:eastAsia="仿宋_GB2312" w:cs="Times New Roman"/>
      <w:sz w:val="28"/>
      <w:szCs w:val="20"/>
      <w:lang w:bidi="ar-SA"/>
    </w:rPr>
  </w:style>
  <w:style w:type="paragraph" w:styleId="6">
    <w:name w:val="toc 5"/>
    <w:basedOn w:val="1"/>
    <w:next w:val="1"/>
    <w:unhideWhenUsed/>
    <w:qFormat/>
    <w:uiPriority w:val="39"/>
    <w:pPr>
      <w:ind w:left="1680" w:leftChars="800"/>
    </w:pPr>
    <w:rPr>
      <w:rFonts w:ascii="Calibri" w:hAnsi="Calibri" w:eastAsia="宋体" w:cs="Times New Roman"/>
      <w:szCs w:val="24"/>
      <w:lang w:bidi="ar-SA"/>
    </w:rPr>
  </w:style>
  <w:style w:type="paragraph" w:styleId="7">
    <w:name w:val="Date"/>
    <w:basedOn w:val="1"/>
    <w:next w:val="1"/>
    <w:link w:val="18"/>
    <w:uiPriority w:val="0"/>
    <w:pPr>
      <w:ind w:left="100" w:leftChars="2500"/>
    </w:pPr>
    <w:rPr>
      <w:rFonts w:ascii="仿宋_GB2312" w:eastAsia="仿宋_GB2312"/>
      <w:sz w:val="32"/>
    </w:rPr>
  </w:style>
  <w:style w:type="paragraph" w:styleId="8">
    <w:name w:val="Balloon Text"/>
    <w:basedOn w:val="1"/>
    <w:link w:val="19"/>
    <w:semiHidden/>
    <w:uiPriority w:val="0"/>
    <w:rPr>
      <w:sz w:val="18"/>
      <w:szCs w:val="18"/>
    </w:rPr>
  </w:style>
  <w:style w:type="paragraph" w:styleId="9">
    <w:name w:val="footer"/>
    <w:basedOn w:val="1"/>
    <w:link w:val="20"/>
    <w:uiPriority w:val="0"/>
    <w:pPr>
      <w:tabs>
        <w:tab w:val="center" w:pos="4153"/>
        <w:tab w:val="right" w:pos="8306"/>
      </w:tabs>
      <w:snapToGrid w:val="0"/>
      <w:jc w:val="left"/>
    </w:pPr>
    <w:rPr>
      <w:sz w:val="18"/>
      <w:szCs w:val="18"/>
    </w:rPr>
  </w:style>
  <w:style w:type="paragraph" w:styleId="10">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suppressAutoHyphens/>
      <w:bidi w:val="0"/>
      <w:ind w:left="420" w:leftChars="200"/>
    </w:pPr>
    <w:rPr>
      <w:rFonts w:ascii="Calibri" w:hAnsi="Calibri" w:eastAsia="仿宋_GB2312" w:cs="Times New Roman"/>
      <w:color w:val="auto"/>
      <w:sz w:val="32"/>
      <w:szCs w:val="24"/>
      <w:lang w:bidi="ar-SA"/>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2"/>
      <w:lang w:bidi="ar-SA"/>
    </w:rPr>
  </w:style>
  <w:style w:type="paragraph" w:styleId="13">
    <w:name w:val="Body Text First Indent 2"/>
    <w:basedOn w:val="5"/>
    <w:qFormat/>
    <w:uiPriority w:val="0"/>
    <w:pPr>
      <w:spacing w:after="120"/>
      <w:ind w:left="420" w:leftChars="200" w:firstLine="420"/>
    </w:pPr>
    <w:rPr>
      <w:rFonts w:ascii="Calibri" w:hAnsi="Calibri" w:eastAsia="宋体"/>
      <w:sz w:val="21"/>
      <w:szCs w:val="24"/>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iPriority w:val="0"/>
  </w:style>
  <w:style w:type="character" w:customStyle="1" w:styleId="18">
    <w:name w:val=" Char Char1"/>
    <w:basedOn w:val="16"/>
    <w:link w:val="7"/>
    <w:uiPriority w:val="0"/>
    <w:rPr>
      <w:rFonts w:ascii="仿宋_GB2312" w:hAnsi="Times New Roman" w:eastAsia="仿宋_GB2312" w:cs="Times New Roman"/>
      <w:kern w:val="2"/>
      <w:sz w:val="32"/>
      <w:szCs w:val="24"/>
      <w:lang w:bidi="ar-SA"/>
    </w:rPr>
  </w:style>
  <w:style w:type="character" w:customStyle="1" w:styleId="19">
    <w:name w:val="批注框文本 Char"/>
    <w:link w:val="8"/>
    <w:semiHidden/>
    <w:uiPriority w:val="99"/>
    <w:rPr>
      <w:rFonts w:ascii="Calibri" w:hAnsi="Calibri" w:eastAsia="宋体" w:cs="Times New Roman"/>
      <w:sz w:val="18"/>
      <w:szCs w:val="18"/>
    </w:rPr>
  </w:style>
  <w:style w:type="character" w:customStyle="1" w:styleId="20">
    <w:name w:val=" Char Char2"/>
    <w:basedOn w:val="16"/>
    <w:link w:val="9"/>
    <w:semiHidden/>
    <w:uiPriority w:val="99"/>
    <w:rPr>
      <w:rFonts w:ascii="Calibri" w:hAnsi="Calibri" w:eastAsia="宋体" w:cs="Mongolian Baiti"/>
      <w:kern w:val="2"/>
      <w:sz w:val="18"/>
      <w:szCs w:val="22"/>
    </w:rPr>
  </w:style>
  <w:style w:type="character" w:customStyle="1" w:styleId="21">
    <w:name w:val=" Char Char"/>
    <w:basedOn w:val="16"/>
    <w:link w:val="10"/>
    <w:semiHidden/>
    <w:uiPriority w:val="99"/>
    <w:rPr>
      <w:rFonts w:ascii="Calibri" w:hAnsi="Calibri" w:eastAsia="宋体" w:cs="Mongolian Baiti"/>
      <w:kern w:val="2"/>
      <w:sz w:val="18"/>
      <w:szCs w:val="22"/>
    </w:rPr>
  </w:style>
  <w:style w:type="character" w:customStyle="1" w:styleId="22">
    <w:name w:val="页眉 Char"/>
    <w:uiPriority w:val="0"/>
    <w:rPr>
      <w:rFonts w:ascii="Calibri" w:hAnsi="Calibri" w:eastAsia="宋体" w:cs="Times New Roman"/>
      <w:kern w:val="2"/>
      <w:sz w:val="18"/>
      <w:szCs w:val="18"/>
    </w:rPr>
  </w:style>
  <w:style w:type="character" w:customStyle="1" w:styleId="23">
    <w:name w:val="页脚 Char"/>
    <w:uiPriority w:val="0"/>
    <w:rPr>
      <w:rFonts w:ascii="Calibri" w:hAnsi="Calibri" w:eastAsia="宋体" w:cs="Times New Roman"/>
      <w:kern w:val="2"/>
      <w:sz w:val="18"/>
      <w:szCs w:val="18"/>
    </w:rPr>
  </w:style>
  <w:style w:type="paragraph" w:customStyle="1" w:styleId="24">
    <w:name w:val="BodyText"/>
    <w:basedOn w:val="1"/>
    <w:qFormat/>
    <w:uiPriority w:val="0"/>
    <w:pPr>
      <w:suppressAutoHyphens/>
      <w:bidi w:val="0"/>
    </w:pPr>
    <w:rPr>
      <w:rFonts w:ascii="Calibri" w:hAnsi="Calibri" w:eastAsia="宋体" w:cs="Times New Roman"/>
      <w:color w:val="auto"/>
      <w:sz w:val="28"/>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Lenovo (Beijing) Limited</Company>
  <Pages>7</Pages>
  <Words>3200</Words>
  <Characters>3222</Characters>
  <Lines>1</Lines>
  <Paragraphs>1</Paragraphs>
  <TotalTime>0</TotalTime>
  <ScaleCrop>false</ScaleCrop>
  <LinksUpToDate>false</LinksUpToDate>
  <CharactersWithSpaces>3230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涛涛</cp:lastModifiedBy>
  <dcterms:modified xsi:type="dcterms:W3CDTF">2025-07-22T03:23:10Z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eyJoZGlkIjoiYTExZGFmZDEwMTM5MmIzNGQ0Yzk3ODAwOWExMmEyMTUiLCJ1c2VySWQiOiI2MDc2MjA4MjkifQ==</vt:lpwstr>
  </property>
  <property fmtid="{D5CDD505-2E9C-101B-9397-08002B2CF9AE}" pid="4" name="ICV">
    <vt:lpwstr>424585C753A549B29719D3429AFED417_13</vt:lpwstr>
  </property>
</Properties>
</file>