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黑体" w:eastAsia="黑体"/>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小标宋简体" w:hAnsi="宋体" w:eastAsia="方正小标宋简体"/>
          <w:b w:val="0"/>
          <w:bCs/>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pacing w:val="-6"/>
          <w:sz w:val="44"/>
          <w:szCs w:val="44"/>
          <w:lang w:eastAsia="zh-CN"/>
        </w:rPr>
        <w:t>内蒙古自治区人民政府关于印发促进数据和</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pacing w:val="-6"/>
          <w:sz w:val="44"/>
          <w:szCs w:val="44"/>
          <w:lang w:eastAsia="zh-CN"/>
        </w:rPr>
      </w:pPr>
      <w:r>
        <w:rPr>
          <w:rFonts w:hint="eastAsia" w:ascii="方正小标宋简体" w:hAnsi="宋体" w:eastAsia="方正小标宋简体"/>
          <w:b w:val="0"/>
          <w:bCs/>
          <w:spacing w:val="-6"/>
          <w:sz w:val="44"/>
          <w:szCs w:val="44"/>
          <w:lang w:eastAsia="zh-CN"/>
        </w:rPr>
        <w:t>人工智能产业高质量发展若干政策的通知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pacing w:val="-6"/>
          <w:sz w:val="44"/>
          <w:szCs w:val="44"/>
          <w:lang w:eastAsia="zh-CN"/>
        </w:rPr>
      </w:pPr>
      <w:bookmarkStart w:id="0" w:name="缓急"/>
      <w:bookmarkEnd w:id="0"/>
      <w:r>
        <w:rPr>
          <w:rFonts w:hint="eastAsia" w:ascii="仿宋_GB2312" w:eastAsia="仿宋_GB2312"/>
          <w:sz w:val="32"/>
          <w:szCs w:val="32"/>
          <w:lang w:eastAsia="zh-CN"/>
        </w:rPr>
        <w:t>内政字〔2025〕119号</w:t>
      </w: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jc w:val="both"/>
        <w:textAlignment w:val="auto"/>
        <w:rPr>
          <w:rFonts w:hint="eastAsia" w:ascii="仿宋_GB2312" w:hAnsi="仿宋_GB2312" w:eastAsia="仿宋_GB2312" w:cs="仿宋_GB2312"/>
          <w:sz w:val="32"/>
          <w:szCs w:val="32"/>
          <w:lang w:eastAsia="zh-CN"/>
        </w:rPr>
      </w:pPr>
      <w:bookmarkStart w:id="2" w:name="_GoBack"/>
      <w:bookmarkStart w:id="1" w:name="OLE_LINK1"/>
      <w:r>
        <w:rPr>
          <w:rFonts w:hint="eastAsia" w:ascii="仿宋_GB2312" w:hAnsi="仿宋_GB2312" w:eastAsia="仿宋_GB2312" w:cs="仿宋_GB2312"/>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现将《内蒙古自治区促进数据和人工智能产业高质量发展若干政策》印发给你们，请认真抓好贯彻落实。</w:t>
      </w:r>
    </w:p>
    <w:p>
      <w:pPr>
        <w:pStyle w:val="2"/>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5120" w:firstLineChars="1600"/>
        <w:jc w:val="both"/>
        <w:textAlignment w:val="auto"/>
        <w:rPr>
          <w:rFonts w:hint="default"/>
          <w:lang w:val="en-US" w:eastAsia="zh-CN"/>
        </w:rPr>
      </w:pPr>
      <w:r>
        <w:rPr>
          <w:rFonts w:hint="eastAsia" w:ascii="仿宋_GB2312" w:hAnsi="仿宋_GB2312" w:eastAsia="仿宋_GB2312" w:cs="仿宋_GB2312"/>
          <w:sz w:val="32"/>
          <w:szCs w:val="32"/>
          <w:lang w:val="en-US" w:eastAsia="zh-CN"/>
        </w:rPr>
        <w:t>2025年7月12日</w:t>
      </w:r>
    </w:p>
    <w:p>
      <w:pPr>
        <w:pStyle w:val="2"/>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（此件公开发布）</w:t>
      </w: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jc w:val="both"/>
        <w:textAlignment w:val="auto"/>
        <w:rPr>
          <w:rFonts w:hint="eastAsia" w:ascii="方正小标宋简体" w:hAnsi="方正小标宋简体" w:eastAsia="方正小标宋简体" w:cs="方正小标宋简体"/>
          <w:color w:val="auto"/>
          <w:sz w:val="44"/>
          <w:szCs w:val="44"/>
          <w:highlight w:val="none"/>
          <w:u w:val="none"/>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jc w:val="both"/>
        <w:textAlignment w:val="auto"/>
        <w:rPr>
          <w:rFonts w:hint="eastAsia" w:ascii="方正小标宋简体" w:hAnsi="方正小标宋简体" w:eastAsia="方正小标宋简体" w:cs="方正小标宋简体"/>
          <w:color w:val="auto"/>
          <w:sz w:val="44"/>
          <w:szCs w:val="44"/>
          <w:highlight w:val="none"/>
          <w:u w:val="none"/>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jc w:val="both"/>
        <w:textAlignment w:val="auto"/>
        <w:rPr>
          <w:rFonts w:hint="eastAsia" w:ascii="方正小标宋简体" w:hAnsi="方正小标宋简体" w:eastAsia="方正小标宋简体" w:cs="方正小标宋简体"/>
          <w:color w:val="auto"/>
          <w:sz w:val="44"/>
          <w:szCs w:val="44"/>
          <w:highlight w:val="none"/>
          <w:u w:val="none"/>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jc w:val="both"/>
        <w:textAlignment w:val="auto"/>
        <w:rPr>
          <w:rFonts w:hint="eastAsia" w:ascii="方正小标宋简体" w:hAnsi="方正小标宋简体" w:eastAsia="方正小标宋简体" w:cs="方正小标宋简体"/>
          <w:color w:val="auto"/>
          <w:sz w:val="44"/>
          <w:szCs w:val="44"/>
          <w:highlight w:val="none"/>
          <w:u w:val="none"/>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color w:val="auto"/>
          <w:sz w:val="44"/>
          <w:szCs w:val="44"/>
          <w:highlight w:val="none"/>
          <w:u w:val="none"/>
          <w:lang w:eastAsia="zh-CN"/>
        </w:rPr>
      </w:pPr>
      <w:r>
        <w:rPr>
          <w:rFonts w:hint="eastAsia" w:ascii="方正小标宋简体" w:hAnsi="方正小标宋简体" w:eastAsia="方正小标宋简体" w:cs="方正小标宋简体"/>
          <w:color w:val="auto"/>
          <w:sz w:val="44"/>
          <w:szCs w:val="44"/>
          <w:highlight w:val="none"/>
          <w:u w:val="none"/>
        </w:rPr>
        <w:t>内蒙古自治区促进</w:t>
      </w:r>
      <w:r>
        <w:rPr>
          <w:rFonts w:hint="eastAsia" w:ascii="方正小标宋简体" w:hAnsi="方正小标宋简体" w:eastAsia="方正小标宋简体" w:cs="方正小标宋简体"/>
          <w:color w:val="auto"/>
          <w:sz w:val="44"/>
          <w:szCs w:val="44"/>
          <w:highlight w:val="none"/>
          <w:u w:val="none"/>
          <w:lang w:eastAsia="zh-CN"/>
        </w:rPr>
        <w:t>数据和</w:t>
      </w:r>
      <w:r>
        <w:rPr>
          <w:rFonts w:hint="eastAsia" w:ascii="方正小标宋简体" w:hAnsi="方正小标宋简体" w:eastAsia="方正小标宋简体" w:cs="方正小标宋简体"/>
          <w:color w:val="auto"/>
          <w:sz w:val="44"/>
          <w:szCs w:val="44"/>
          <w:highlight w:val="none"/>
          <w:u w:val="none"/>
        </w:rPr>
        <w:t>人工智能</w:t>
      </w:r>
      <w:r>
        <w:rPr>
          <w:rFonts w:hint="eastAsia" w:ascii="方正小标宋简体" w:hAnsi="方正小标宋简体" w:eastAsia="方正小标宋简体" w:cs="方正小标宋简体"/>
          <w:color w:val="auto"/>
          <w:sz w:val="44"/>
          <w:szCs w:val="44"/>
          <w:highlight w:val="none"/>
          <w:u w:val="none"/>
          <w:lang w:eastAsia="zh-CN"/>
        </w:rPr>
        <w:t>产业</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color w:val="auto"/>
          <w:sz w:val="44"/>
          <w:szCs w:val="44"/>
          <w:highlight w:val="none"/>
          <w:u w:val="none"/>
          <w:lang w:eastAsia="zh-CN"/>
        </w:rPr>
      </w:pPr>
      <w:r>
        <w:rPr>
          <w:rFonts w:hint="eastAsia" w:ascii="方正小标宋简体" w:hAnsi="方正小标宋简体" w:eastAsia="方正小标宋简体" w:cs="方正小标宋简体"/>
          <w:color w:val="auto"/>
          <w:sz w:val="44"/>
          <w:szCs w:val="44"/>
          <w:highlight w:val="none"/>
          <w:u w:val="none"/>
          <w:lang w:eastAsia="zh-CN"/>
        </w:rPr>
        <w:t>高质量</w:t>
      </w:r>
      <w:r>
        <w:rPr>
          <w:rFonts w:hint="eastAsia" w:ascii="方正小标宋简体" w:hAnsi="方正小标宋简体" w:eastAsia="方正小标宋简体" w:cs="方正小标宋简体"/>
          <w:color w:val="auto"/>
          <w:sz w:val="44"/>
          <w:szCs w:val="44"/>
          <w:highlight w:val="none"/>
          <w:u w:val="none"/>
        </w:rPr>
        <w:t>发展</w:t>
      </w:r>
      <w:r>
        <w:rPr>
          <w:rFonts w:hint="eastAsia" w:ascii="方正小标宋简体" w:hAnsi="方正小标宋简体" w:eastAsia="方正小标宋简体" w:cs="方正小标宋简体"/>
          <w:color w:val="auto"/>
          <w:sz w:val="44"/>
          <w:szCs w:val="44"/>
          <w:highlight w:val="none"/>
          <w:u w:val="none"/>
          <w:lang w:eastAsia="zh-CN"/>
        </w:rPr>
        <w:t>若干政策</w:t>
      </w:r>
    </w:p>
    <w:p>
      <w:pPr>
        <w:pStyle w:val="2"/>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lang w:val="en-US" w:eastAsia="zh-CN"/>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color w:val="auto"/>
          <w:spacing w:val="0"/>
          <w:sz w:val="32"/>
          <w:szCs w:val="32"/>
          <w:highlight w:val="none"/>
          <w:u w:val="none"/>
        </w:rPr>
      </w:pPr>
      <w:r>
        <w:rPr>
          <w:rFonts w:hint="eastAsia" w:ascii="仿宋_GB2312" w:hAnsi="仿宋_GB2312" w:eastAsia="仿宋_GB2312" w:cs="仿宋_GB2312"/>
          <w:bCs/>
          <w:color w:val="auto"/>
          <w:kern w:val="2"/>
          <w:sz w:val="32"/>
          <w:szCs w:val="32"/>
          <w:lang w:val="en-US" w:eastAsia="zh-CN" w:bidi="ar-SA"/>
        </w:rPr>
        <w:t>为全面贯彻落实党的二十大和二十届二中、三中全会精神，认真贯彻落实党中央、国务院关于加快发展新一代人工智能的决策部署，紧紧围绕铸牢中华民族共同体意识工作主线，推动自治区数据和</w:t>
      </w:r>
      <w:r>
        <w:rPr>
          <w:rFonts w:hint="eastAsia" w:ascii="仿宋_GB2312" w:hAnsi="仿宋_GB2312" w:eastAsia="仿宋_GB2312" w:cs="仿宋_GB2312"/>
          <w:color w:val="auto"/>
          <w:sz w:val="32"/>
          <w:szCs w:val="32"/>
          <w:lang w:val="en-US" w:eastAsia="zh-CN"/>
        </w:rPr>
        <w:t>人工智能产业高质量发展，</w:t>
      </w:r>
      <w:r>
        <w:rPr>
          <w:rFonts w:hint="eastAsia" w:ascii="仿宋_GB2312" w:hAnsi="仿宋_GB2312" w:eastAsia="仿宋_GB2312" w:cs="仿宋_GB2312"/>
          <w:i w:val="0"/>
          <w:iCs w:val="0"/>
          <w:color w:val="auto"/>
          <w:spacing w:val="0"/>
          <w:kern w:val="0"/>
          <w:sz w:val="32"/>
          <w:szCs w:val="32"/>
          <w:highlight w:val="none"/>
          <w:u w:val="none"/>
          <w:lang w:val="en-US" w:eastAsia="zh-CN" w:bidi="ar"/>
        </w:rPr>
        <w:t>加速形成新质生产力，赋能产业数智化转型，</w:t>
      </w:r>
      <w:r>
        <w:rPr>
          <w:rFonts w:hint="eastAsia" w:ascii="仿宋_GB2312" w:hAnsi="仿宋_GB2312" w:eastAsia="仿宋_GB2312" w:cs="仿宋_GB2312"/>
          <w:b w:val="0"/>
          <w:bCs/>
          <w:color w:val="auto"/>
          <w:spacing w:val="0"/>
          <w:sz w:val="32"/>
          <w:szCs w:val="32"/>
          <w:highlight w:val="none"/>
          <w:u w:val="none"/>
        </w:rPr>
        <w:t>结合</w:t>
      </w:r>
      <w:r>
        <w:rPr>
          <w:rFonts w:hint="eastAsia" w:ascii="仿宋_GB2312" w:hAnsi="仿宋_GB2312" w:eastAsia="仿宋_GB2312" w:cs="仿宋_GB2312"/>
          <w:b w:val="0"/>
          <w:bCs/>
          <w:color w:val="auto"/>
          <w:spacing w:val="0"/>
          <w:sz w:val="32"/>
          <w:szCs w:val="32"/>
          <w:highlight w:val="none"/>
          <w:u w:val="none"/>
          <w:lang w:val="en-US" w:eastAsia="zh-CN"/>
        </w:rPr>
        <w:t>自治区</w:t>
      </w:r>
      <w:r>
        <w:rPr>
          <w:rFonts w:hint="eastAsia" w:ascii="仿宋_GB2312" w:hAnsi="仿宋_GB2312" w:eastAsia="仿宋_GB2312" w:cs="仿宋_GB2312"/>
          <w:b w:val="0"/>
          <w:bCs/>
          <w:color w:val="auto"/>
          <w:spacing w:val="0"/>
          <w:sz w:val="32"/>
          <w:szCs w:val="32"/>
          <w:highlight w:val="none"/>
          <w:u w:val="none"/>
        </w:rPr>
        <w:t>实际，制定</w:t>
      </w:r>
      <w:r>
        <w:rPr>
          <w:rFonts w:hint="eastAsia" w:ascii="仿宋_GB2312" w:hAnsi="仿宋_GB2312" w:eastAsia="仿宋_GB2312" w:cs="仿宋_GB2312"/>
          <w:b w:val="0"/>
          <w:bCs/>
          <w:color w:val="auto"/>
          <w:spacing w:val="0"/>
          <w:sz w:val="32"/>
          <w:szCs w:val="32"/>
          <w:highlight w:val="none"/>
          <w:u w:val="none"/>
          <w:lang w:eastAsia="zh-CN"/>
        </w:rPr>
        <w:t>以下</w:t>
      </w:r>
      <w:r>
        <w:rPr>
          <w:rFonts w:hint="eastAsia" w:ascii="仿宋_GB2312" w:hAnsi="仿宋_GB2312" w:eastAsia="仿宋_GB2312" w:cs="仿宋_GB2312"/>
          <w:b w:val="0"/>
          <w:bCs/>
          <w:color w:val="auto"/>
          <w:spacing w:val="0"/>
          <w:sz w:val="32"/>
          <w:szCs w:val="32"/>
          <w:highlight w:val="none"/>
          <w:u w:val="none"/>
          <w:lang w:val="en-US" w:eastAsia="zh-CN"/>
        </w:rPr>
        <w:t>政策</w:t>
      </w:r>
      <w:r>
        <w:rPr>
          <w:rFonts w:hint="eastAsia" w:ascii="仿宋_GB2312" w:hAnsi="仿宋_GB2312" w:eastAsia="仿宋_GB2312" w:cs="仿宋_GB2312"/>
          <w:b w:val="0"/>
          <w:bCs/>
          <w:color w:val="auto"/>
          <w:spacing w:val="0"/>
          <w:sz w:val="32"/>
          <w:szCs w:val="32"/>
          <w:highlight w:val="none"/>
          <w:u w:val="none"/>
        </w:rPr>
        <w:t>。</w:t>
      </w: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80" w:lineRule="exact"/>
        <w:ind w:firstLine="640" w:firstLineChars="200"/>
        <w:jc w:val="both"/>
        <w:textAlignment w:val="auto"/>
        <w:rPr>
          <w:rStyle w:val="10"/>
          <w:rFonts w:hint="eastAsia" w:ascii="黑体" w:hAnsi="黑体" w:eastAsia="黑体" w:cs="黑体"/>
          <w:b w:val="0"/>
          <w:bCs/>
          <w:i w:val="0"/>
          <w:caps w:val="0"/>
          <w:color w:val="auto"/>
          <w:spacing w:val="0"/>
          <w:kern w:val="2"/>
          <w:sz w:val="32"/>
          <w:szCs w:val="32"/>
          <w:highlight w:val="none"/>
          <w:lang w:val="en-US" w:eastAsia="zh-CN" w:bidi="ar-SA"/>
        </w:rPr>
      </w:pPr>
      <w:r>
        <w:rPr>
          <w:rStyle w:val="10"/>
          <w:rFonts w:hint="eastAsia" w:ascii="黑体" w:hAnsi="黑体" w:eastAsia="黑体" w:cs="黑体"/>
          <w:b w:val="0"/>
          <w:bCs/>
          <w:i w:val="0"/>
          <w:caps w:val="0"/>
          <w:color w:val="auto"/>
          <w:spacing w:val="0"/>
          <w:kern w:val="2"/>
          <w:sz w:val="32"/>
          <w:szCs w:val="32"/>
          <w:highlight w:val="none"/>
          <w:lang w:val="en-US" w:eastAsia="zh-CN" w:bidi="ar-SA"/>
        </w:rPr>
        <w:t>一、优化产业布局</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楷体"/>
          <w:b w:val="0"/>
          <w:bCs/>
          <w:color w:val="auto"/>
          <w:spacing w:val="0"/>
          <w:sz w:val="32"/>
          <w:szCs w:val="32"/>
          <w:highlight w:val="none"/>
          <w:u w:val="none"/>
          <w:lang w:val="en-US" w:eastAsia="zh-CN"/>
        </w:rPr>
      </w:pPr>
      <w:r>
        <w:rPr>
          <w:rFonts w:hint="eastAsia" w:ascii="仿宋_GB2312" w:hAnsi="仿宋_GB2312" w:eastAsia="仿宋_GB2312" w:cs="仿宋_GB2312"/>
          <w:b w:val="0"/>
          <w:bCs/>
          <w:color w:val="auto"/>
          <w:spacing w:val="0"/>
          <w:sz w:val="32"/>
          <w:szCs w:val="32"/>
          <w:highlight w:val="none"/>
          <w:u w:val="none"/>
          <w:lang w:val="en-US" w:eastAsia="zh-CN"/>
        </w:rPr>
        <w:t>按照“空间集聚、错位发展、业态成链”原则，依托和林格尔数据中心集群，高标准建设数字产业园，</w:t>
      </w:r>
      <w:r>
        <w:rPr>
          <w:rFonts w:hint="default" w:ascii="仿宋_GB2312" w:hAnsi="仿宋_GB2312" w:eastAsia="仿宋_GB2312" w:cs="仿宋_GB2312"/>
          <w:b w:val="0"/>
          <w:bCs/>
          <w:color w:val="auto"/>
          <w:spacing w:val="0"/>
          <w:sz w:val="32"/>
          <w:szCs w:val="32"/>
          <w:highlight w:val="none"/>
          <w:u w:val="none"/>
          <w:lang w:val="en-US" w:eastAsia="zh-CN"/>
        </w:rPr>
        <w:t>认定为自治区</w:t>
      </w:r>
      <w:r>
        <w:rPr>
          <w:rFonts w:hint="eastAsia" w:ascii="仿宋_GB2312" w:hAnsi="仿宋_GB2312" w:eastAsia="仿宋_GB2312" w:cs="仿宋_GB2312"/>
          <w:b w:val="0"/>
          <w:bCs/>
          <w:color w:val="auto"/>
          <w:spacing w:val="0"/>
          <w:sz w:val="32"/>
          <w:szCs w:val="32"/>
          <w:highlight w:val="none"/>
          <w:u w:val="none"/>
          <w:lang w:val="en-US" w:eastAsia="zh-CN"/>
        </w:rPr>
        <w:t>级</w:t>
      </w:r>
      <w:r>
        <w:rPr>
          <w:rFonts w:hint="default" w:ascii="仿宋_GB2312" w:hAnsi="仿宋_GB2312" w:eastAsia="仿宋_GB2312" w:cs="仿宋_GB2312"/>
          <w:b w:val="0"/>
          <w:bCs/>
          <w:color w:val="auto"/>
          <w:spacing w:val="0"/>
          <w:sz w:val="32"/>
          <w:szCs w:val="32"/>
          <w:highlight w:val="none"/>
          <w:u w:val="none"/>
          <w:lang w:val="en-US" w:eastAsia="zh-CN"/>
        </w:rPr>
        <w:t>数字产业园区</w:t>
      </w:r>
      <w:r>
        <w:rPr>
          <w:rFonts w:hint="eastAsia" w:ascii="仿宋_GB2312" w:hAnsi="仿宋_GB2312" w:eastAsia="仿宋_GB2312" w:cs="仿宋_GB2312"/>
          <w:b w:val="0"/>
          <w:bCs/>
          <w:color w:val="auto"/>
          <w:spacing w:val="0"/>
          <w:sz w:val="32"/>
          <w:szCs w:val="32"/>
          <w:highlight w:val="none"/>
          <w:u w:val="none"/>
          <w:lang w:val="en-US" w:eastAsia="zh-CN"/>
        </w:rPr>
        <w:t>同等享受自治区工业园区相关支持政策。</w:t>
      </w:r>
      <w:r>
        <w:rPr>
          <w:rFonts w:hint="default" w:ascii="仿宋_GB2312" w:hAnsi="仿宋_GB2312" w:eastAsia="仿宋_GB2312" w:cs="仿宋_GB2312"/>
          <w:b w:val="0"/>
          <w:bCs/>
          <w:color w:val="auto"/>
          <w:spacing w:val="0"/>
          <w:sz w:val="32"/>
          <w:szCs w:val="32"/>
          <w:highlight w:val="none"/>
          <w:u w:val="none"/>
          <w:lang w:val="en-US" w:eastAsia="zh-CN"/>
        </w:rPr>
        <w:t>鼓励各盟市</w:t>
      </w:r>
      <w:r>
        <w:rPr>
          <w:rFonts w:hint="eastAsia" w:ascii="仿宋_GB2312" w:hAnsi="仿宋_GB2312" w:eastAsia="仿宋_GB2312" w:cs="仿宋_GB2312"/>
          <w:b w:val="0"/>
          <w:bCs/>
          <w:color w:val="auto"/>
          <w:spacing w:val="0"/>
          <w:sz w:val="32"/>
          <w:szCs w:val="32"/>
          <w:highlight w:val="none"/>
          <w:u w:val="none"/>
          <w:lang w:val="en-US" w:eastAsia="zh-CN"/>
        </w:rPr>
        <w:t>运用</w:t>
      </w:r>
      <w:r>
        <w:rPr>
          <w:rFonts w:hint="default" w:ascii="仿宋_GB2312" w:hAnsi="仿宋_GB2312" w:eastAsia="仿宋_GB2312" w:cs="仿宋_GB2312"/>
          <w:b w:val="0"/>
          <w:bCs/>
          <w:color w:val="auto"/>
          <w:spacing w:val="0"/>
          <w:sz w:val="32"/>
          <w:szCs w:val="32"/>
          <w:highlight w:val="none"/>
          <w:u w:val="none"/>
          <w:lang w:val="en-US" w:eastAsia="zh-CN"/>
        </w:rPr>
        <w:t>数据和人工智能技术</w:t>
      </w:r>
      <w:r>
        <w:rPr>
          <w:rFonts w:hint="eastAsia" w:ascii="仿宋_GB2312" w:hAnsi="仿宋_GB2312" w:eastAsia="仿宋_GB2312" w:cs="仿宋_GB2312"/>
          <w:b w:val="0"/>
          <w:bCs/>
          <w:color w:val="auto"/>
          <w:spacing w:val="0"/>
          <w:sz w:val="32"/>
          <w:szCs w:val="32"/>
          <w:highlight w:val="none"/>
          <w:u w:val="none"/>
          <w:lang w:val="en-US" w:eastAsia="zh-CN"/>
        </w:rPr>
        <w:t>推动特色优势产业数智化改造升级</w:t>
      </w:r>
      <w:r>
        <w:rPr>
          <w:rFonts w:hint="default" w:ascii="仿宋_GB2312" w:hAnsi="仿宋_GB2312" w:eastAsia="仿宋_GB2312" w:cs="仿宋_GB2312"/>
          <w:b w:val="0"/>
          <w:bCs/>
          <w:color w:val="auto"/>
          <w:spacing w:val="0"/>
          <w:sz w:val="32"/>
          <w:szCs w:val="32"/>
          <w:highlight w:val="none"/>
          <w:u w:val="none"/>
          <w:lang w:val="en-US" w:eastAsia="zh-CN"/>
        </w:rPr>
        <w:t>，</w:t>
      </w:r>
      <w:r>
        <w:rPr>
          <w:rFonts w:hint="eastAsia" w:ascii="仿宋_GB2312" w:hAnsi="仿宋_GB2312" w:eastAsia="仿宋_GB2312" w:cs="仿宋_GB2312"/>
          <w:b w:val="0"/>
          <w:bCs/>
          <w:color w:val="auto"/>
          <w:spacing w:val="0"/>
          <w:sz w:val="32"/>
          <w:szCs w:val="32"/>
          <w:highlight w:val="none"/>
          <w:u w:val="none"/>
          <w:lang w:val="en-US" w:eastAsia="zh-CN"/>
        </w:rPr>
        <w:t>建设一批各具特色的应用示范基地。</w:t>
      </w: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80" w:lineRule="exact"/>
        <w:ind w:firstLine="640" w:firstLineChars="200"/>
        <w:jc w:val="both"/>
        <w:textAlignment w:val="auto"/>
        <w:rPr>
          <w:rStyle w:val="10"/>
          <w:rFonts w:hint="eastAsia" w:ascii="黑体" w:hAnsi="黑体" w:eastAsia="黑体" w:cs="黑体"/>
          <w:b w:val="0"/>
          <w:bCs/>
          <w:i w:val="0"/>
          <w:caps w:val="0"/>
          <w:color w:val="auto"/>
          <w:spacing w:val="0"/>
          <w:kern w:val="2"/>
          <w:sz w:val="32"/>
          <w:szCs w:val="32"/>
          <w:highlight w:val="none"/>
          <w:lang w:val="en-US" w:eastAsia="zh-CN" w:bidi="ar-SA"/>
        </w:rPr>
      </w:pPr>
      <w:r>
        <w:rPr>
          <w:rStyle w:val="10"/>
          <w:rFonts w:hint="eastAsia" w:ascii="黑体" w:hAnsi="黑体" w:eastAsia="黑体" w:cs="黑体"/>
          <w:b w:val="0"/>
          <w:bCs/>
          <w:i w:val="0"/>
          <w:caps w:val="0"/>
          <w:color w:val="auto"/>
          <w:spacing w:val="0"/>
          <w:kern w:val="2"/>
          <w:sz w:val="32"/>
          <w:szCs w:val="32"/>
          <w:highlight w:val="none"/>
          <w:lang w:val="en-US" w:eastAsia="zh-CN" w:bidi="ar-SA"/>
        </w:rPr>
        <w:t>二、鼓励技术攻关</w:t>
      </w: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自治区科技“突围”工程、重点研发和成果转化计划将数据科技、人工智能列入重点支持范围。支持数据处理和人工智能等软件研发应用，按照首版次软件取得知识产权或证书规定期限内截至申请时实际销售总额的20%给予</w:t>
      </w:r>
      <w:r>
        <w:rPr>
          <w:rFonts w:hint="eastAsia" w:ascii="仿宋_GB2312" w:hAnsi="仿宋_GB2312" w:eastAsia="仿宋_GB2312" w:cs="仿宋_GB2312"/>
          <w:color w:val="auto"/>
          <w:kern w:val="2"/>
          <w:sz w:val="32"/>
          <w:szCs w:val="32"/>
          <w:lang w:val="en-US" w:eastAsia="zh-CN" w:bidi="ar-SA"/>
        </w:rPr>
        <w:t>奖补</w:t>
      </w:r>
      <w:r>
        <w:rPr>
          <w:rFonts w:hint="eastAsia" w:ascii="仿宋_GB2312" w:hAnsi="仿宋_GB2312" w:eastAsia="仿宋_GB2312" w:cs="仿宋_GB2312"/>
          <w:bCs/>
          <w:color w:val="auto"/>
          <w:kern w:val="2"/>
          <w:sz w:val="32"/>
          <w:szCs w:val="32"/>
          <w:lang w:val="en-US" w:eastAsia="zh-CN" w:bidi="ar-SA"/>
        </w:rPr>
        <w:t>，单个企业</w:t>
      </w:r>
      <w:r>
        <w:rPr>
          <w:rFonts w:hint="eastAsia" w:ascii="仿宋_GB2312" w:hAnsi="仿宋_GB2312" w:eastAsia="仿宋_GB2312" w:cs="仿宋_GB2312"/>
          <w:color w:val="auto"/>
          <w:kern w:val="2"/>
          <w:sz w:val="32"/>
          <w:szCs w:val="32"/>
          <w:lang w:val="en-US" w:eastAsia="zh-CN" w:bidi="ar-SA"/>
        </w:rPr>
        <w:t>奖补</w:t>
      </w:r>
      <w:r>
        <w:rPr>
          <w:rFonts w:hint="eastAsia" w:ascii="仿宋_GB2312" w:hAnsi="仿宋_GB2312" w:eastAsia="仿宋_GB2312" w:cs="仿宋_GB2312"/>
          <w:bCs/>
          <w:color w:val="auto"/>
          <w:kern w:val="2"/>
          <w:sz w:val="32"/>
          <w:szCs w:val="32"/>
          <w:lang w:val="en-US" w:eastAsia="zh-CN" w:bidi="ar-SA"/>
        </w:rPr>
        <w:t>金额不超过300万元。鼓励企业布局培育一批具有技术先进性和生态竞争优势的开源项目。</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三、推动创新平台建设</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支持企业在自治区建设人工智能实验室、具身智能行业应用中试基地、人工智能安全示范中心等，支持企业建设数据治理、模型算法、产品评测、安全防护、算力和数据交易等服务平台，对新认定的国家级和自治区级重点实验室、技术创新中心、科技企业孵化器、加速器等，给予后补助。</w:t>
      </w:r>
    </w:p>
    <w:p>
      <w:pPr>
        <w:pStyle w:val="5"/>
        <w:keepNext w:val="0"/>
        <w:keepLines w:val="0"/>
        <w:pageBreakBefore w:val="0"/>
        <w:widowControl w:val="0"/>
        <w:suppressLineNumbers w:val="0"/>
        <w:kinsoku/>
        <w:wordWrap/>
        <w:overflowPunct/>
        <w:topLinePunct/>
        <w:autoSpaceDE/>
        <w:autoSpaceDN/>
        <w:bidi w:val="0"/>
        <w:adjustRightInd/>
        <w:snapToGrid/>
        <w:spacing w:line="580" w:lineRule="exact"/>
        <w:ind w:firstLine="640" w:firstLineChars="200"/>
        <w:jc w:val="both"/>
        <w:textAlignment w:val="auto"/>
        <w:rPr>
          <w:rFonts w:hint="default" w:ascii="黑体" w:hAnsi="黑体" w:eastAsia="黑体" w:cs="黑体"/>
          <w:color w:val="auto"/>
          <w:spacing w:val="0"/>
          <w:kern w:val="2"/>
          <w:sz w:val="32"/>
          <w:szCs w:val="32"/>
          <w:highlight w:val="none"/>
          <w:lang w:val="en-US" w:eastAsia="zh-CN" w:bidi="ar-SA"/>
        </w:rPr>
      </w:pPr>
      <w:r>
        <w:rPr>
          <w:rFonts w:hint="eastAsia" w:ascii="黑体" w:hAnsi="黑体" w:eastAsia="黑体" w:cs="黑体"/>
          <w:color w:val="auto"/>
          <w:kern w:val="2"/>
          <w:sz w:val="32"/>
          <w:szCs w:val="32"/>
          <w:lang w:val="en-US" w:eastAsia="zh-CN" w:bidi="ar-SA"/>
        </w:rPr>
        <w:t>四、</w:t>
      </w:r>
      <w:r>
        <w:rPr>
          <w:rFonts w:hint="eastAsia" w:ascii="黑体" w:hAnsi="黑体" w:eastAsia="黑体" w:cs="黑体"/>
          <w:color w:val="auto"/>
          <w:spacing w:val="0"/>
          <w:kern w:val="2"/>
          <w:sz w:val="32"/>
          <w:szCs w:val="32"/>
          <w:highlight w:val="none"/>
          <w:lang w:val="en-US" w:eastAsia="zh-CN" w:bidi="ar-SA"/>
        </w:rPr>
        <w:t>降低算力使用成本</w:t>
      </w:r>
    </w:p>
    <w:p>
      <w:pPr>
        <w:pStyle w:val="5"/>
        <w:keepNext w:val="0"/>
        <w:keepLines w:val="0"/>
        <w:pageBreakBefore w:val="0"/>
        <w:widowControl w:val="0"/>
        <w:suppressLineNumbers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color w:val="auto"/>
          <w:spacing w:val="6"/>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lang w:val="en-US" w:eastAsia="zh-CN" w:bidi="ar-SA"/>
        </w:rPr>
        <w:t>支持算力供需方在自治区算力监测调度平台交易结算，按照</w:t>
      </w:r>
      <w:r>
        <w:rPr>
          <w:rFonts w:hint="eastAsia" w:ascii="仿宋_GB2312" w:hAnsi="仿宋_GB2312" w:eastAsia="仿宋_GB2312" w:cs="仿宋_GB2312"/>
          <w:color w:val="auto"/>
          <w:spacing w:val="6"/>
          <w:kern w:val="2"/>
          <w:sz w:val="32"/>
          <w:szCs w:val="32"/>
          <w:lang w:val="en-US" w:eastAsia="zh-CN" w:bidi="ar-SA"/>
        </w:rPr>
        <w:t>《内蒙古自治区人民政府办公厅关于支持内蒙古和林格尔集群绿色算力产业发展的若干意见》（内政办发〔2024〕26号）给予算力接入和使用方支持。</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firstLine="640" w:firstLineChars="200"/>
        <w:jc w:val="both"/>
        <w:textAlignment w:val="auto"/>
        <w:rPr>
          <w:rStyle w:val="10"/>
          <w:rFonts w:hint="eastAsia" w:ascii="黑体" w:hAnsi="黑体" w:eastAsia="黑体" w:cs="黑体"/>
          <w:b w:val="0"/>
          <w:bCs/>
          <w:i w:val="0"/>
          <w:caps w:val="0"/>
          <w:color w:val="auto"/>
          <w:spacing w:val="0"/>
          <w:kern w:val="2"/>
          <w:sz w:val="32"/>
          <w:szCs w:val="32"/>
          <w:highlight w:val="none"/>
          <w:lang w:val="en-US" w:eastAsia="zh-CN" w:bidi="ar-SA"/>
        </w:rPr>
      </w:pPr>
      <w:r>
        <w:rPr>
          <w:rFonts w:hint="eastAsia" w:ascii="黑体" w:hAnsi="黑体" w:eastAsia="黑体" w:cs="黑体"/>
          <w:color w:val="auto"/>
          <w:kern w:val="2"/>
          <w:sz w:val="32"/>
          <w:szCs w:val="32"/>
          <w:lang w:val="en-US" w:eastAsia="zh-CN" w:bidi="ar-SA"/>
        </w:rPr>
        <w:t>五、</w:t>
      </w:r>
      <w:r>
        <w:rPr>
          <w:rStyle w:val="10"/>
          <w:rFonts w:hint="eastAsia" w:ascii="黑体" w:hAnsi="黑体" w:eastAsia="黑体" w:cs="黑体"/>
          <w:b w:val="0"/>
          <w:bCs/>
          <w:i w:val="0"/>
          <w:caps w:val="0"/>
          <w:color w:val="auto"/>
          <w:spacing w:val="0"/>
          <w:kern w:val="2"/>
          <w:sz w:val="32"/>
          <w:szCs w:val="32"/>
          <w:highlight w:val="none"/>
          <w:lang w:val="en-US" w:eastAsia="zh-CN" w:bidi="ar-SA"/>
        </w:rPr>
        <w:t>加快数据授权应用</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制定公共数据资源开放清单，依托自治区公共数据开放平台有序开放重点领域数据。深化公共数据授权运营，自治区每年授权3家企业开展公共数据运营。按照数据总量、应用价值、开发</w:t>
      </w:r>
      <w:r>
        <w:rPr>
          <w:rFonts w:hint="eastAsia" w:ascii="仿宋_GB2312" w:hAnsi="仿宋_GB2312" w:eastAsia="仿宋_GB2312" w:cs="仿宋_GB2312"/>
          <w:color w:val="auto"/>
          <w:spacing w:val="6"/>
          <w:kern w:val="2"/>
          <w:sz w:val="32"/>
          <w:szCs w:val="32"/>
          <w:lang w:val="en-US" w:eastAsia="zh-CN" w:bidi="ar-SA"/>
        </w:rPr>
        <w:t>利用成效，每年评选推荐国家级数据标注、行业高质量数据集、</w:t>
      </w:r>
      <w:r>
        <w:rPr>
          <w:rFonts w:hint="eastAsia" w:ascii="仿宋_GB2312" w:hAnsi="仿宋_GB2312" w:eastAsia="仿宋_GB2312" w:cs="仿宋_GB2312"/>
          <w:color w:val="auto"/>
          <w:kern w:val="2"/>
          <w:sz w:val="32"/>
          <w:szCs w:val="32"/>
          <w:lang w:val="en-US" w:eastAsia="zh-CN" w:bidi="ar-SA"/>
        </w:rPr>
        <w:t>可信数据空间等数据及人工智能领域典型案例，对获得国家级典型案例的给予一次性200万元奖补。</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firstLine="640" w:firstLineChars="200"/>
        <w:jc w:val="both"/>
        <w:textAlignment w:val="auto"/>
        <w:rPr>
          <w:rStyle w:val="10"/>
          <w:rFonts w:hint="eastAsia" w:ascii="黑体" w:hAnsi="黑体" w:eastAsia="黑体" w:cs="黑体"/>
          <w:b w:val="0"/>
          <w:bCs/>
          <w:i w:val="0"/>
          <w:caps w:val="0"/>
          <w:color w:val="auto"/>
          <w:spacing w:val="0"/>
          <w:kern w:val="2"/>
          <w:sz w:val="32"/>
          <w:szCs w:val="32"/>
          <w:highlight w:val="none"/>
          <w:lang w:val="en-US" w:eastAsia="zh-CN" w:bidi="ar-SA"/>
        </w:rPr>
      </w:pPr>
      <w:r>
        <w:rPr>
          <w:rFonts w:hint="eastAsia" w:ascii="黑体" w:hAnsi="黑体" w:eastAsia="黑体" w:cs="黑体"/>
          <w:b w:val="0"/>
          <w:bCs w:val="0"/>
          <w:color w:val="auto"/>
          <w:sz w:val="32"/>
          <w:szCs w:val="32"/>
          <w:lang w:val="en-US" w:eastAsia="zh-CN"/>
        </w:rPr>
        <w:t>六、</w:t>
      </w:r>
      <w:r>
        <w:rPr>
          <w:rStyle w:val="10"/>
          <w:rFonts w:hint="eastAsia" w:ascii="黑体" w:hAnsi="黑体" w:eastAsia="黑体" w:cs="黑体"/>
          <w:b w:val="0"/>
          <w:bCs/>
          <w:i w:val="0"/>
          <w:caps w:val="0"/>
          <w:color w:val="auto"/>
          <w:spacing w:val="0"/>
          <w:kern w:val="2"/>
          <w:sz w:val="32"/>
          <w:szCs w:val="32"/>
          <w:highlight w:val="none"/>
          <w:lang w:val="en-US" w:eastAsia="zh-CN" w:bidi="ar-SA"/>
        </w:rPr>
        <w:t>促进数据合规交易</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firstLine="664" w:firstLineChars="200"/>
        <w:jc w:val="both"/>
        <w:textAlignment w:val="auto"/>
        <w:rPr>
          <w:rFonts w:hint="eastAsia" w:ascii="楷体" w:hAnsi="楷体" w:eastAsia="楷体" w:cs="楷体"/>
          <w:b w:val="0"/>
          <w:bCs/>
          <w:color w:val="auto"/>
          <w:spacing w:val="0"/>
          <w:kern w:val="2"/>
          <w:sz w:val="32"/>
          <w:szCs w:val="32"/>
          <w:highlight w:val="none"/>
          <w:u w:val="none"/>
          <w:lang w:val="en-US" w:eastAsia="zh-CN" w:bidi="ar-SA"/>
        </w:rPr>
      </w:pPr>
      <w:r>
        <w:rPr>
          <w:rFonts w:hint="eastAsia" w:ascii="仿宋_GB2312" w:hAnsi="仿宋_GB2312" w:eastAsia="仿宋_GB2312" w:cs="仿宋_GB2312"/>
          <w:color w:val="auto"/>
          <w:spacing w:val="6"/>
          <w:sz w:val="32"/>
          <w:szCs w:val="32"/>
          <w:lang w:val="en-US" w:eastAsia="zh-CN"/>
        </w:rPr>
        <w:t>推进自治区</w:t>
      </w:r>
      <w:r>
        <w:rPr>
          <w:rFonts w:hint="eastAsia" w:ascii="仿宋_GB2312" w:hAnsi="仿宋_GB2312" w:eastAsia="仿宋_GB2312" w:cs="仿宋_GB2312"/>
          <w:b w:val="0"/>
          <w:bCs/>
          <w:color w:val="auto"/>
          <w:spacing w:val="6"/>
          <w:kern w:val="2"/>
          <w:sz w:val="32"/>
          <w:szCs w:val="32"/>
          <w:highlight w:val="none"/>
          <w:u w:val="none"/>
          <w:lang w:val="en-US" w:eastAsia="zh-CN" w:bidi="ar-SA"/>
        </w:rPr>
        <w:t>级</w:t>
      </w:r>
      <w:r>
        <w:rPr>
          <w:rFonts w:hint="eastAsia" w:ascii="仿宋_GB2312" w:hAnsi="仿宋_GB2312" w:eastAsia="仿宋_GB2312" w:cs="仿宋_GB2312"/>
          <w:color w:val="auto"/>
          <w:spacing w:val="6"/>
          <w:sz w:val="32"/>
          <w:szCs w:val="32"/>
          <w:lang w:val="en-US" w:eastAsia="zh-CN"/>
        </w:rPr>
        <w:t>数据交易场所和数据流通市场建设，</w:t>
      </w:r>
      <w:r>
        <w:rPr>
          <w:rFonts w:hint="eastAsia" w:ascii="仿宋_GB2312" w:hAnsi="仿宋_GB2312" w:eastAsia="仿宋_GB2312" w:cs="仿宋_GB2312"/>
          <w:bCs w:val="0"/>
          <w:color w:val="auto"/>
          <w:spacing w:val="6"/>
          <w:kern w:val="2"/>
          <w:sz w:val="32"/>
          <w:szCs w:val="32"/>
          <w:highlight w:val="none"/>
          <w:u w:val="none"/>
          <w:shd w:val="clear" w:color="auto" w:fill="auto"/>
          <w:lang w:val="en-US" w:eastAsia="zh-CN" w:bidi="ar"/>
        </w:rPr>
        <w:t>对购买公共数据、</w:t>
      </w:r>
      <w:r>
        <w:rPr>
          <w:rFonts w:hint="eastAsia" w:ascii="仿宋_GB2312" w:hAnsi="仿宋_GB2312" w:eastAsia="仿宋_GB2312" w:cs="仿宋_GB2312"/>
          <w:color w:val="auto"/>
          <w:spacing w:val="6"/>
          <w:kern w:val="2"/>
          <w:sz w:val="32"/>
          <w:szCs w:val="32"/>
          <w:highlight w:val="none"/>
          <w:u w:val="none"/>
          <w:shd w:val="clear" w:color="auto" w:fill="auto"/>
          <w:lang w:val="en-US" w:eastAsia="zh-CN" w:bidi="ar"/>
        </w:rPr>
        <w:t>数据集、</w:t>
      </w:r>
      <w:r>
        <w:rPr>
          <w:rFonts w:hint="eastAsia" w:ascii="仿宋_GB2312" w:hAnsi="仿宋_GB2312" w:eastAsia="仿宋_GB2312" w:cs="仿宋_GB2312"/>
          <w:bCs w:val="0"/>
          <w:color w:val="auto"/>
          <w:spacing w:val="6"/>
          <w:kern w:val="2"/>
          <w:sz w:val="32"/>
          <w:szCs w:val="32"/>
          <w:highlight w:val="none"/>
          <w:u w:val="none"/>
          <w:shd w:val="clear" w:color="auto" w:fill="auto"/>
          <w:lang w:val="en-US" w:eastAsia="zh-CN" w:bidi="ar"/>
        </w:rPr>
        <w:t>语料、模型等数据产品的企业，合同金额超过20万元的按合同金额的20%</w:t>
      </w:r>
      <w:r>
        <w:rPr>
          <w:rFonts w:hint="eastAsia" w:ascii="仿宋_GB2312" w:hAnsi="仿宋_GB2312" w:eastAsia="仿宋_GB2312" w:cs="仿宋_GB2312"/>
          <w:color w:val="auto"/>
          <w:spacing w:val="6"/>
          <w:sz w:val="32"/>
          <w:szCs w:val="32"/>
          <w:highlight w:val="none"/>
          <w:u w:val="none"/>
          <w:lang w:val="en-US" w:eastAsia="zh-CN"/>
        </w:rPr>
        <w:t>给予奖补，同一企业每年</w:t>
      </w:r>
      <w:r>
        <w:rPr>
          <w:rFonts w:hint="eastAsia" w:ascii="仿宋_GB2312" w:hAnsi="仿宋_GB2312" w:eastAsia="仿宋_GB2312" w:cs="仿宋_GB2312"/>
          <w:b w:val="0"/>
          <w:bCs/>
          <w:color w:val="auto"/>
          <w:spacing w:val="6"/>
          <w:sz w:val="32"/>
          <w:szCs w:val="32"/>
          <w:highlight w:val="none"/>
          <w:u w:val="none"/>
          <w:lang w:val="en-US" w:eastAsia="zh-CN"/>
        </w:rPr>
        <w:t>奖补</w:t>
      </w:r>
      <w:r>
        <w:rPr>
          <w:rFonts w:hint="eastAsia" w:ascii="仿宋_GB2312" w:hAnsi="仿宋_GB2312" w:eastAsia="仿宋_GB2312" w:cs="仿宋_GB2312"/>
          <w:color w:val="auto"/>
          <w:spacing w:val="6"/>
          <w:sz w:val="32"/>
          <w:szCs w:val="32"/>
          <w:highlight w:val="none"/>
          <w:u w:val="none"/>
          <w:lang w:val="en-US" w:eastAsia="zh-CN"/>
        </w:rPr>
        <w:t>资金总额不超过200万元。</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七、加快</w:t>
      </w:r>
      <w:r>
        <w:rPr>
          <w:rFonts w:hint="default" w:ascii="黑体" w:hAnsi="黑体" w:eastAsia="黑体" w:cs="黑体"/>
          <w:b w:val="0"/>
          <w:bCs w:val="0"/>
          <w:color w:val="auto"/>
          <w:sz w:val="32"/>
          <w:szCs w:val="32"/>
          <w:lang w:val="en-US" w:eastAsia="zh-CN"/>
        </w:rPr>
        <w:t>应用示范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color w:val="auto"/>
          <w:spacing w:val="0"/>
          <w:kern w:val="2"/>
          <w:sz w:val="32"/>
          <w:szCs w:val="32"/>
          <w:highlight w:val="none"/>
          <w:u w:val="none"/>
          <w:lang w:val="en-US" w:eastAsia="zh-CN" w:bidi="ar-SA"/>
        </w:rPr>
      </w:pPr>
      <w:r>
        <w:rPr>
          <w:rFonts w:hint="eastAsia" w:ascii="仿宋_GB2312" w:hAnsi="仿宋_GB2312" w:eastAsia="仿宋_GB2312" w:cs="仿宋_GB2312"/>
          <w:bCs/>
          <w:color w:val="auto"/>
          <w:kern w:val="2"/>
          <w:sz w:val="32"/>
          <w:szCs w:val="32"/>
          <w:lang w:val="en-US" w:eastAsia="zh-CN" w:bidi="ar-SA"/>
        </w:rPr>
        <w:t>开</w:t>
      </w:r>
      <w:r>
        <w:rPr>
          <w:rFonts w:hint="eastAsia" w:ascii="仿宋_GB2312" w:hAnsi="仿宋_GB2312" w:eastAsia="仿宋_GB2312" w:cs="仿宋_GB2312"/>
          <w:bCs w:val="0"/>
          <w:color w:val="auto"/>
          <w:spacing w:val="0"/>
          <w:kern w:val="2"/>
          <w:sz w:val="32"/>
          <w:szCs w:val="32"/>
          <w:highlight w:val="none"/>
          <w:u w:val="none"/>
          <w:shd w:val="clear" w:color="auto" w:fill="auto"/>
          <w:lang w:val="en-US" w:eastAsia="zh-CN" w:bidi="ar"/>
        </w:rPr>
        <w:t>展“数据要素×”、</w:t>
      </w:r>
      <w:r>
        <w:rPr>
          <w:rFonts w:hint="default" w:ascii="仿宋_GB2312" w:hAnsi="仿宋_GB2312" w:eastAsia="仿宋_GB2312" w:cs="仿宋_GB2312"/>
          <w:bCs w:val="0"/>
          <w:color w:val="auto"/>
          <w:spacing w:val="0"/>
          <w:kern w:val="2"/>
          <w:sz w:val="32"/>
          <w:szCs w:val="32"/>
          <w:highlight w:val="none"/>
          <w:u w:val="none"/>
          <w:shd w:val="clear" w:color="auto" w:fill="auto"/>
          <w:lang w:val="en-US" w:eastAsia="zh-CN" w:bidi="ar"/>
        </w:rPr>
        <w:t>“人工智能+”行动</w:t>
      </w:r>
      <w:r>
        <w:rPr>
          <w:rFonts w:hint="eastAsia" w:ascii="仿宋_GB2312" w:hAnsi="仿宋_GB2312" w:eastAsia="仿宋_GB2312" w:cs="仿宋_GB2312"/>
          <w:bCs w:val="0"/>
          <w:color w:val="auto"/>
          <w:spacing w:val="0"/>
          <w:kern w:val="2"/>
          <w:sz w:val="32"/>
          <w:szCs w:val="32"/>
          <w:highlight w:val="none"/>
          <w:u w:val="none"/>
          <w:shd w:val="clear" w:color="auto" w:fill="auto"/>
          <w:lang w:val="en-US" w:eastAsia="zh-CN" w:bidi="ar"/>
        </w:rPr>
        <w:t>，</w:t>
      </w:r>
      <w:r>
        <w:rPr>
          <w:rFonts w:hint="eastAsia" w:ascii="仿宋_GB2312" w:hAnsi="仿宋_GB2312" w:eastAsia="仿宋_GB2312" w:cs="仿宋_GB2312"/>
          <w:b w:val="0"/>
          <w:bCs/>
          <w:color w:val="auto"/>
          <w:spacing w:val="0"/>
          <w:kern w:val="2"/>
          <w:sz w:val="32"/>
          <w:szCs w:val="32"/>
          <w:highlight w:val="none"/>
          <w:u w:val="none"/>
          <w:lang w:val="en-US" w:eastAsia="zh-CN" w:bidi="ar-SA"/>
        </w:rPr>
        <w:t>在电力能源、工业制造、现代农牧、生物医药、生态环境等领域</w:t>
      </w:r>
      <w:r>
        <w:rPr>
          <w:rFonts w:hint="default" w:ascii="仿宋_GB2312" w:hAnsi="仿宋_GB2312" w:eastAsia="仿宋_GB2312" w:cs="仿宋_GB2312"/>
          <w:bCs w:val="0"/>
          <w:color w:val="auto"/>
          <w:spacing w:val="0"/>
          <w:kern w:val="2"/>
          <w:sz w:val="32"/>
          <w:szCs w:val="32"/>
          <w:highlight w:val="none"/>
          <w:u w:val="none"/>
          <w:shd w:val="clear" w:color="auto" w:fill="auto"/>
          <w:lang w:val="en-US" w:eastAsia="zh-CN" w:bidi="ar"/>
        </w:rPr>
        <w:t>分批次发布应用场景</w:t>
      </w:r>
      <w:r>
        <w:rPr>
          <w:rFonts w:hint="eastAsia" w:ascii="仿宋_GB2312" w:hAnsi="仿宋_GB2312" w:eastAsia="仿宋_GB2312" w:cs="仿宋_GB2312"/>
          <w:bCs w:val="0"/>
          <w:color w:val="auto"/>
          <w:spacing w:val="0"/>
          <w:kern w:val="2"/>
          <w:sz w:val="32"/>
          <w:szCs w:val="32"/>
          <w:highlight w:val="none"/>
          <w:u w:val="none"/>
          <w:shd w:val="clear" w:color="auto" w:fill="auto"/>
          <w:lang w:val="en-US" w:eastAsia="zh-CN" w:bidi="ar"/>
        </w:rPr>
        <w:t>需求</w:t>
      </w:r>
      <w:r>
        <w:rPr>
          <w:rFonts w:hint="default" w:ascii="仿宋_GB2312" w:hAnsi="仿宋_GB2312" w:eastAsia="仿宋_GB2312" w:cs="仿宋_GB2312"/>
          <w:bCs w:val="0"/>
          <w:color w:val="auto"/>
          <w:spacing w:val="0"/>
          <w:kern w:val="2"/>
          <w:sz w:val="32"/>
          <w:szCs w:val="32"/>
          <w:highlight w:val="none"/>
          <w:u w:val="none"/>
          <w:shd w:val="clear" w:color="auto" w:fill="auto"/>
          <w:lang w:val="en-US" w:eastAsia="zh-CN" w:bidi="ar"/>
        </w:rPr>
        <w:t>清单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2026年—2028年共择优评选10家以上产业数智化转型标杆企业，每家给予一次性200万元奖补。</w:t>
      </w:r>
      <w:r>
        <w:rPr>
          <w:rFonts w:hint="eastAsia" w:ascii="仿宋_GB2312" w:hAnsi="仿宋_GB2312" w:eastAsia="仿宋_GB2312" w:cs="仿宋_GB2312"/>
          <w:bCs w:val="0"/>
          <w:color w:val="auto"/>
          <w:spacing w:val="0"/>
          <w:kern w:val="2"/>
          <w:sz w:val="32"/>
          <w:szCs w:val="32"/>
          <w:highlight w:val="none"/>
          <w:u w:val="none"/>
          <w:shd w:val="clear" w:color="auto" w:fill="auto"/>
          <w:lang w:val="en-US" w:eastAsia="zh-CN" w:bidi="ar"/>
        </w:rPr>
        <w:t>持续实施数字服务和治理提升行动，有序推动人工智能技术在政务服务领域应用。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八、</w:t>
      </w:r>
      <w:r>
        <w:rPr>
          <w:rStyle w:val="10"/>
          <w:rFonts w:hint="eastAsia" w:ascii="黑体" w:hAnsi="黑体" w:eastAsia="黑体" w:cs="黑体"/>
          <w:b w:val="0"/>
          <w:bCs/>
          <w:i w:val="0"/>
          <w:caps w:val="0"/>
          <w:color w:val="auto"/>
          <w:spacing w:val="0"/>
          <w:kern w:val="2"/>
          <w:sz w:val="32"/>
          <w:szCs w:val="32"/>
          <w:highlight w:val="none"/>
          <w:lang w:val="en-US" w:eastAsia="zh-CN" w:bidi="ar-SA"/>
        </w:rPr>
        <w:t>加强数字人才</w:t>
      </w:r>
      <w:r>
        <w:rPr>
          <w:rFonts w:hint="eastAsia" w:ascii="黑体" w:hAnsi="黑体" w:eastAsia="黑体" w:cs="黑体"/>
          <w:b w:val="0"/>
          <w:bCs w:val="0"/>
          <w:color w:val="auto"/>
          <w:kern w:val="2"/>
          <w:sz w:val="32"/>
          <w:szCs w:val="32"/>
          <w:lang w:val="en-US" w:eastAsia="zh-CN" w:bidi="ar-SA"/>
        </w:rPr>
        <w:t>引育</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color w:val="auto"/>
          <w:spacing w:val="0"/>
          <w:kern w:val="2"/>
          <w:sz w:val="32"/>
          <w:szCs w:val="32"/>
          <w:highlight w:val="none"/>
          <w:u w:val="none"/>
          <w:lang w:val="en-US" w:eastAsia="zh-CN" w:bidi="ar-SA"/>
        </w:rPr>
      </w:pPr>
      <w:r>
        <w:rPr>
          <w:rFonts w:hint="eastAsia" w:ascii="仿宋_GB2312" w:hAnsi="仿宋_GB2312" w:eastAsia="仿宋_GB2312" w:cs="仿宋_GB2312"/>
          <w:bCs/>
          <w:color w:val="auto"/>
          <w:kern w:val="2"/>
          <w:sz w:val="32"/>
          <w:szCs w:val="32"/>
          <w:lang w:val="en-US" w:eastAsia="zh-CN" w:bidi="ar-SA"/>
        </w:rPr>
        <w:t>依</w:t>
      </w:r>
      <w:r>
        <w:rPr>
          <w:rFonts w:hint="eastAsia" w:ascii="仿宋_GB2312" w:hAnsi="仿宋_GB2312" w:eastAsia="仿宋_GB2312" w:cs="仿宋_GB2312"/>
          <w:b w:val="0"/>
          <w:bCs/>
          <w:color w:val="auto"/>
          <w:spacing w:val="0"/>
          <w:sz w:val="32"/>
          <w:szCs w:val="32"/>
          <w:highlight w:val="none"/>
          <w:u w:val="none"/>
          <w:lang w:val="en-US" w:eastAsia="zh-CN"/>
        </w:rPr>
        <w:t>托“英才兴蒙”工程和数字人才培养支撑数字经济发展行动，引进一批数据和人工智能产业高层次紧缺人才。鼓励高等院校、职业院校加强数据</w:t>
      </w:r>
      <w:r>
        <w:rPr>
          <w:rFonts w:hint="eastAsia" w:ascii="仿宋_GB2312" w:hAnsi="仿宋_GB2312" w:eastAsia="仿宋_GB2312" w:cs="仿宋_GB2312"/>
          <w:bCs/>
          <w:color w:val="auto"/>
          <w:kern w:val="2"/>
          <w:sz w:val="32"/>
          <w:szCs w:val="32"/>
          <w:lang w:val="en-US" w:eastAsia="zh-CN" w:bidi="ar-SA"/>
        </w:rPr>
        <w:t>、人工智能等相关学科专业和实训基地建设。支持数字产</w:t>
      </w:r>
      <w:r>
        <w:rPr>
          <w:rFonts w:hint="eastAsia" w:ascii="仿宋_GB2312" w:hAnsi="仿宋_GB2312" w:eastAsia="仿宋_GB2312" w:cs="仿宋_GB2312"/>
          <w:b w:val="0"/>
          <w:bCs/>
          <w:color w:val="auto"/>
          <w:spacing w:val="0"/>
          <w:sz w:val="32"/>
          <w:szCs w:val="32"/>
          <w:highlight w:val="none"/>
          <w:u w:val="none"/>
          <w:lang w:val="en-US" w:eastAsia="zh-CN"/>
        </w:rPr>
        <w:t>业园区内企业开展数字化技能培训，对符合条件的按规定给予培训补贴，加强培训监管，确保政府补贴性技能培训资金安全。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Style w:val="10"/>
          <w:rFonts w:hint="eastAsia" w:ascii="黑体" w:hAnsi="黑体" w:eastAsia="黑体" w:cs="黑体"/>
          <w:b w:val="0"/>
          <w:bCs/>
          <w:i w:val="0"/>
          <w:caps w:val="0"/>
          <w:color w:val="auto"/>
          <w:spacing w:val="0"/>
          <w:kern w:val="2"/>
          <w:sz w:val="32"/>
          <w:szCs w:val="32"/>
          <w:highlight w:val="none"/>
          <w:lang w:val="en-US" w:eastAsia="zh-CN" w:bidi="ar-SA"/>
        </w:rPr>
      </w:pPr>
      <w:r>
        <w:rPr>
          <w:rStyle w:val="10"/>
          <w:rFonts w:hint="eastAsia" w:ascii="黑体" w:hAnsi="黑体" w:eastAsia="黑体" w:cs="黑体"/>
          <w:b w:val="0"/>
          <w:bCs/>
          <w:i w:val="0"/>
          <w:caps w:val="0"/>
          <w:color w:val="auto"/>
          <w:spacing w:val="0"/>
          <w:kern w:val="2"/>
          <w:sz w:val="32"/>
          <w:szCs w:val="32"/>
          <w:highlight w:val="none"/>
          <w:lang w:val="en-US" w:eastAsia="zh-CN" w:bidi="ar-SA"/>
        </w:rPr>
        <w:t>九、优化产业发展环境</w:t>
      </w: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both"/>
        <w:textAlignment w:val="auto"/>
        <w:rPr>
          <w:rFonts w:hint="eastAsia" w:ascii="楷体" w:hAnsi="楷体" w:eastAsia="楷体" w:cs="楷体"/>
          <w:b w:val="0"/>
          <w:bCs/>
          <w:color w:val="auto"/>
          <w:spacing w:val="0"/>
          <w:kern w:val="2"/>
          <w:sz w:val="32"/>
          <w:szCs w:val="32"/>
          <w:highlight w:val="none"/>
          <w:u w:val="none"/>
          <w:lang w:val="en-US" w:eastAsia="zh-CN" w:bidi="ar-SA"/>
        </w:rPr>
      </w:pPr>
      <w:r>
        <w:rPr>
          <w:rFonts w:hint="eastAsia" w:ascii="仿宋_GB2312" w:hAnsi="仿宋_GB2312" w:eastAsia="仿宋_GB2312" w:cs="仿宋_GB2312"/>
          <w:b w:val="0"/>
          <w:bCs/>
          <w:strike w:val="0"/>
          <w:dstrike w:val="0"/>
          <w:color w:val="auto"/>
          <w:spacing w:val="6"/>
          <w:sz w:val="32"/>
          <w:szCs w:val="32"/>
          <w:highlight w:val="none"/>
          <w:u w:val="none"/>
          <w:lang w:val="en-US" w:eastAsia="zh-CN"/>
        </w:rPr>
        <w:t>在“蒙速办”开设数据和人工智能惠企政策统一申报入口，</w:t>
      </w:r>
      <w:r>
        <w:rPr>
          <w:rFonts w:hint="eastAsia" w:ascii="仿宋_GB2312" w:hAnsi="仿宋_GB2312" w:eastAsia="仿宋_GB2312" w:cs="仿宋_GB2312"/>
          <w:b w:val="0"/>
          <w:bCs/>
          <w:strike w:val="0"/>
          <w:dstrike w:val="0"/>
          <w:color w:val="auto"/>
          <w:spacing w:val="0"/>
          <w:sz w:val="32"/>
          <w:szCs w:val="32"/>
          <w:highlight w:val="none"/>
          <w:u w:val="none"/>
          <w:lang w:val="en-US" w:eastAsia="zh-CN"/>
        </w:rPr>
        <w:t>推出政策双找、免申即享、精准直达服务。</w:t>
      </w:r>
      <w:r>
        <w:rPr>
          <w:rFonts w:hint="eastAsia" w:ascii="仿宋_GB2312" w:hAnsi="仿宋_GB2312" w:eastAsia="仿宋_GB2312" w:cs="仿宋_GB2312"/>
          <w:color w:val="auto"/>
          <w:kern w:val="2"/>
          <w:sz w:val="32"/>
          <w:szCs w:val="32"/>
          <w:lang w:val="en-US" w:eastAsia="zh-CN" w:bidi="ar-SA"/>
        </w:rPr>
        <w:t>自治区重点产业发展基金支持数据和人工智能产业。</w:t>
      </w:r>
      <w:r>
        <w:rPr>
          <w:rFonts w:hint="eastAsia" w:ascii="仿宋_GB2312" w:hAnsi="仿宋_GB2312" w:eastAsia="仿宋_GB2312" w:cs="仿宋_GB2312"/>
          <w:b w:val="0"/>
          <w:bCs/>
          <w:strike w:val="0"/>
          <w:dstrike w:val="0"/>
          <w:color w:val="auto"/>
          <w:spacing w:val="0"/>
          <w:sz w:val="32"/>
          <w:szCs w:val="32"/>
          <w:highlight w:val="none"/>
          <w:u w:val="none"/>
          <w:lang w:val="en-US" w:eastAsia="zh-CN"/>
        </w:rPr>
        <w:t>推动符合条件的</w:t>
      </w:r>
      <w:r>
        <w:rPr>
          <w:rFonts w:hint="eastAsia" w:ascii="仿宋_GB2312" w:hAnsi="仿宋_GB2312" w:eastAsia="仿宋_GB2312" w:cs="仿宋_GB2312"/>
          <w:b w:val="0"/>
          <w:bCs/>
          <w:strike w:val="0"/>
          <w:dstrike w:val="0"/>
          <w:color w:val="auto"/>
          <w:spacing w:val="0"/>
          <w:sz w:val="32"/>
          <w:szCs w:val="32"/>
          <w:highlight w:val="none"/>
          <w:u w:val="none"/>
          <w:lang w:val="en" w:eastAsia="zh-CN"/>
        </w:rPr>
        <w:t>数字经济和人工智能</w:t>
      </w:r>
      <w:r>
        <w:rPr>
          <w:rFonts w:hint="eastAsia" w:ascii="仿宋_GB2312" w:hAnsi="仿宋_GB2312" w:eastAsia="仿宋_GB2312" w:cs="仿宋_GB2312"/>
          <w:b w:val="0"/>
          <w:bCs/>
          <w:strike w:val="0"/>
          <w:dstrike w:val="0"/>
          <w:color w:val="auto"/>
          <w:spacing w:val="0"/>
          <w:sz w:val="32"/>
          <w:szCs w:val="32"/>
          <w:highlight w:val="none"/>
          <w:u w:val="none"/>
          <w:lang w:val="en-US" w:eastAsia="zh-CN"/>
        </w:rPr>
        <w:t>产业集群“链主”企业纳入上市培育范畴，鼓励“链主”企业与中国人民银行中征应收账款融资服务平台实现系统对接、在线确权，帮助链上中小企业实现动产质押融资。支持数据和人工智能企业依托数据资产、知识产权等进行多渠道融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val="0"/>
          <w:color w:val="auto"/>
          <w:spacing w:val="0"/>
          <w:kern w:val="2"/>
          <w:sz w:val="32"/>
          <w:szCs w:val="32"/>
          <w:highlight w:val="none"/>
          <w:u w:val="none"/>
          <w:shd w:val="clear" w:color="auto" w:fill="auto"/>
          <w:lang w:val="en-US" w:eastAsia="zh-CN" w:bidi="ar"/>
        </w:rPr>
      </w:pPr>
      <w:r>
        <w:rPr>
          <w:rFonts w:hint="eastAsia" w:ascii="仿宋_GB2312" w:hAnsi="仿宋_GB2312" w:eastAsia="仿宋_GB2312" w:cs="仿宋_GB2312"/>
          <w:b w:val="0"/>
          <w:bCs/>
          <w:strike w:val="0"/>
          <w:dstrike w:val="0"/>
          <w:color w:val="auto"/>
          <w:spacing w:val="0"/>
          <w:sz w:val="32"/>
          <w:szCs w:val="32"/>
          <w:highlight w:val="none"/>
          <w:u w:val="none"/>
          <w:lang w:val="en-US" w:eastAsia="zh-CN"/>
        </w:rPr>
        <w:t>以上政策自2026年1月1日起执行，有效期3年，执行期如遇国家、自治区相关政策调整，可进行相应调</w:t>
      </w:r>
      <w:r>
        <w:rPr>
          <w:rFonts w:hint="eastAsia" w:ascii="仿宋_GB2312" w:hAnsi="仿宋_GB2312" w:eastAsia="仿宋_GB2312" w:cs="仿宋_GB2312"/>
          <w:bCs/>
          <w:color w:val="auto"/>
          <w:spacing w:val="0"/>
          <w:kern w:val="0"/>
          <w:sz w:val="32"/>
          <w:szCs w:val="32"/>
          <w:highlight w:val="none"/>
          <w:u w:val="none"/>
          <w:shd w:val="clear" w:color="auto" w:fill="auto"/>
          <w:lang w:val="en-US" w:eastAsia="zh-CN" w:bidi="ar"/>
        </w:rPr>
        <w:t>整</w:t>
      </w:r>
      <w:r>
        <w:rPr>
          <w:rFonts w:hint="eastAsia" w:ascii="仿宋_GB2312" w:hAnsi="仿宋_GB2312" w:eastAsia="仿宋_GB2312" w:cs="仿宋_GB2312"/>
          <w:bCs w:val="0"/>
          <w:color w:val="auto"/>
          <w:spacing w:val="0"/>
          <w:kern w:val="2"/>
          <w:sz w:val="32"/>
          <w:szCs w:val="32"/>
          <w:highlight w:val="none"/>
          <w:u w:val="none"/>
          <w:shd w:val="clear" w:color="auto" w:fill="auto"/>
          <w:lang w:val="en-US" w:eastAsia="zh-CN" w:bidi="ar"/>
        </w:rPr>
        <w:t>。</w:t>
      </w:r>
      <w:bookmarkEnd w:id="1"/>
    </w:p>
    <w:bookmarkEnd w:id="2"/>
    <w:p>
      <w:pPr>
        <w:ind w:firstLine="640"/>
        <w:rPr>
          <w:rFonts w:hint="eastAsia"/>
          <w:lang w:val="en-US" w:eastAsia="zh-CN"/>
        </w:rPr>
      </w:pPr>
    </w:p>
    <w:p>
      <w:pPr>
        <w:ind w:firstLine="640"/>
        <w:rPr>
          <w:rFonts w:hint="eastAsia"/>
          <w:lang w:val="en-US" w:eastAsia="zh-CN"/>
        </w:rPr>
      </w:pPr>
    </w:p>
    <w:p>
      <w:pPr>
        <w:ind w:firstLine="640"/>
        <w:rPr>
          <w:rFonts w:hint="eastAsia"/>
          <w:lang w:val="en-US" w:eastAsia="zh-CN"/>
        </w:rPr>
      </w:pPr>
    </w:p>
    <w:p>
      <w:pPr>
        <w:ind w:firstLine="640"/>
        <w:rPr>
          <w:rFonts w:hint="eastAsia"/>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80" w:firstLineChars="200"/>
        <w:jc w:val="both"/>
        <w:textAlignment w:val="auto"/>
        <w:rPr>
          <w:rFonts w:hint="eastAsia"/>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80" w:firstLineChars="200"/>
        <w:jc w:val="both"/>
        <w:textAlignment w:val="auto"/>
        <w:rPr>
          <w:rFonts w:hint="eastAsia"/>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80" w:firstLineChars="200"/>
        <w:jc w:val="both"/>
        <w:textAlignment w:val="auto"/>
        <w:rPr>
          <w:rFonts w:hint="eastAsia"/>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80" w:firstLineChars="200"/>
        <w:jc w:val="both"/>
        <w:textAlignment w:val="auto"/>
        <w:rPr>
          <w:rFonts w:hint="eastAsia"/>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280" w:firstLineChars="100"/>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600" w:lineRule="exact"/>
        <w:ind w:firstLine="280" w:firstLineChars="100"/>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600" w:lineRule="exact"/>
        <w:ind w:firstLine="280" w:firstLineChars="100"/>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600" w:lineRule="exact"/>
        <w:ind w:firstLine="280" w:firstLineChars="100"/>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600" w:lineRule="exact"/>
        <w:ind w:firstLine="280" w:firstLineChars="100"/>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600" w:lineRule="exact"/>
        <w:ind w:firstLine="280" w:firstLineChars="100"/>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600" w:lineRule="exact"/>
        <w:ind w:firstLine="280" w:firstLineChars="100"/>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snapToGrid/>
        <w:spacing w:line="600" w:lineRule="exact"/>
        <w:ind w:firstLine="280" w:firstLineChars="100"/>
        <w:textAlignment w:val="auto"/>
        <w:rPr>
          <w:rFonts w:hint="eastAsia" w:ascii="仿宋_GB2312" w:eastAsia="仿宋_GB2312"/>
          <w:sz w:val="28"/>
          <w:szCs w:val="28"/>
        </w:rPr>
      </w:pPr>
    </w:p>
    <w:p>
      <w:pPr>
        <w:keepNext w:val="0"/>
        <w:keepLines w:val="0"/>
        <w:pageBreakBefore w:val="0"/>
        <w:widowControl w:val="0"/>
        <w:kinsoku/>
        <w:wordWrap/>
        <w:overflowPunct/>
        <w:topLinePunct/>
        <w:autoSpaceDE/>
        <w:autoSpaceDN/>
        <w:bidi w:val="0"/>
        <w:adjustRightInd/>
        <w:snapToGrid/>
        <w:spacing w:line="400" w:lineRule="exact"/>
        <w:ind w:right="210" w:rightChars="1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205" w:leftChars="95" w:right="210" w:rightChars="100" w:hanging="6" w:firstLineChars="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自治区人大常委会办公厅</w:t>
      </w:r>
      <w:r>
        <w:rPr>
          <w:rFonts w:hint="eastAsia" w:ascii="仿宋" w:hAnsi="仿宋" w:eastAsia="仿宋" w:cs="仿宋"/>
          <w:sz w:val="28"/>
          <w:szCs w:val="28"/>
          <w:lang w:eastAsia="zh-CN"/>
        </w:rPr>
        <w:t>，自治区</w:t>
      </w:r>
      <w:r>
        <w:rPr>
          <w:rFonts w:hint="eastAsia" w:ascii="仿宋" w:hAnsi="仿宋" w:eastAsia="仿宋" w:cs="仿宋"/>
          <w:sz w:val="28"/>
          <w:szCs w:val="28"/>
        </w:rPr>
        <w:t>政协办公厅，</w:t>
      </w:r>
      <w:r>
        <w:rPr>
          <w:rFonts w:hint="eastAsia" w:ascii="仿宋" w:hAnsi="仿宋" w:eastAsia="仿宋" w:cs="仿宋"/>
          <w:sz w:val="28"/>
          <w:szCs w:val="28"/>
          <w:lang w:eastAsia="zh-CN"/>
        </w:rPr>
        <w:t>自治区监委，</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自治区高</w:t>
      </w:r>
      <w:r>
        <w:rPr>
          <w:rFonts w:hint="eastAsia" w:ascii="仿宋" w:hAnsi="仿宋" w:eastAsia="仿宋" w:cs="仿宋"/>
          <w:sz w:val="28"/>
          <w:szCs w:val="28"/>
        </w:rPr>
        <w:t>级人民法院，</w:t>
      </w:r>
      <w:r>
        <w:rPr>
          <w:rFonts w:hint="eastAsia" w:ascii="仿宋" w:hAnsi="仿宋" w:eastAsia="仿宋" w:cs="仿宋"/>
          <w:sz w:val="28"/>
          <w:szCs w:val="28"/>
          <w:lang w:eastAsia="zh-CN"/>
        </w:rPr>
        <w:t>自治区人民</w:t>
      </w:r>
      <w:r>
        <w:rPr>
          <w:rFonts w:hint="eastAsia" w:ascii="仿宋" w:hAnsi="仿宋" w:eastAsia="仿宋" w:cs="仿宋"/>
          <w:sz w:val="28"/>
          <w:szCs w:val="28"/>
        </w:rPr>
        <w:t>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lang w:eastAsia="zh-CN"/>
        </w:rPr>
        <w:drawing>
          <wp:anchor distT="0" distB="0" distL="114300" distR="114300" simplePos="0" relativeHeight="251659264" behindDoc="0" locked="0" layoutInCell="1" allowOverlap="1">
            <wp:simplePos x="0" y="0"/>
            <wp:positionH relativeFrom="column">
              <wp:posOffset>3840480</wp:posOffset>
            </wp:positionH>
            <wp:positionV relativeFrom="paragraph">
              <wp:posOffset>321945</wp:posOffset>
            </wp:positionV>
            <wp:extent cx="1833245" cy="490220"/>
            <wp:effectExtent l="0" t="0" r="14605" b="5080"/>
            <wp:wrapSquare wrapText="bothSides"/>
            <wp:docPr id="1" name="图片 4" descr="NZZ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NZZ119"/>
                    <pic:cNvPicPr>
                      <a:picLocks noChangeAspect="1"/>
                    </pic:cNvPicPr>
                  </pic:nvPicPr>
                  <pic:blipFill>
                    <a:blip r:embed="rId6"/>
                    <a:stretch>
                      <a:fillRect/>
                    </a:stretch>
                  </pic:blipFill>
                  <pic:spPr>
                    <a:xfrm>
                      <a:off x="0" y="0"/>
                      <a:ext cx="1833245" cy="490220"/>
                    </a:xfrm>
                    <a:prstGeom prst="rect">
                      <a:avLst/>
                    </a:prstGeom>
                    <a:noFill/>
                    <a:ln>
                      <a:noFill/>
                    </a:ln>
                  </pic:spPr>
                </pic:pic>
              </a:graphicData>
            </a:graphic>
          </wp:anchor>
        </w:drawing>
      </w:r>
      <w:r>
        <w:rPr>
          <w:rFonts w:hint="eastAsia" w:ascii="仿宋" w:hAnsi="仿宋" w:eastAsia="仿宋" w:cs="仿宋"/>
          <w:sz w:val="28"/>
          <w:szCs w:val="28"/>
          <w:lang w:eastAsia="zh-CN"/>
        </w:rPr>
        <w:t>各民主党派区委会，</w:t>
      </w:r>
      <w:r>
        <w:rPr>
          <w:rFonts w:hint="eastAsia" w:ascii="仿宋" w:hAnsi="仿宋" w:eastAsia="仿宋" w:cs="仿宋"/>
          <w:sz w:val="28"/>
          <w:szCs w:val="28"/>
        </w:rPr>
        <w:t>各人民团体，新闻单位。</w: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- 3 -</w:t>
    </w:r>
    <w:r>
      <w:rPr>
        <w:rFonts w:hint="eastAsia" w:ascii="宋体" w:hAnsi="宋体"/>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6746"/>
    <w:rsid w:val="00057363"/>
    <w:rsid w:val="000F12FB"/>
    <w:rsid w:val="001B7709"/>
    <w:rsid w:val="00200626"/>
    <w:rsid w:val="002677B9"/>
    <w:rsid w:val="00273094"/>
    <w:rsid w:val="00302982"/>
    <w:rsid w:val="00323128"/>
    <w:rsid w:val="00337358"/>
    <w:rsid w:val="00351DB4"/>
    <w:rsid w:val="003605E8"/>
    <w:rsid w:val="00444154"/>
    <w:rsid w:val="00483E09"/>
    <w:rsid w:val="004B2561"/>
    <w:rsid w:val="00507B16"/>
    <w:rsid w:val="0059090D"/>
    <w:rsid w:val="006048D6"/>
    <w:rsid w:val="006114C2"/>
    <w:rsid w:val="006840E0"/>
    <w:rsid w:val="00685B7E"/>
    <w:rsid w:val="00755D27"/>
    <w:rsid w:val="00825CE1"/>
    <w:rsid w:val="008408A0"/>
    <w:rsid w:val="00861E84"/>
    <w:rsid w:val="008A66F7"/>
    <w:rsid w:val="008B617C"/>
    <w:rsid w:val="008B7209"/>
    <w:rsid w:val="008C1DE3"/>
    <w:rsid w:val="008E482C"/>
    <w:rsid w:val="00976806"/>
    <w:rsid w:val="00A30018"/>
    <w:rsid w:val="00A560FA"/>
    <w:rsid w:val="00A56966"/>
    <w:rsid w:val="00A609E2"/>
    <w:rsid w:val="00A86E70"/>
    <w:rsid w:val="00A954A5"/>
    <w:rsid w:val="00AC3BB4"/>
    <w:rsid w:val="00B32830"/>
    <w:rsid w:val="00B33ED2"/>
    <w:rsid w:val="00B52F22"/>
    <w:rsid w:val="00B558E6"/>
    <w:rsid w:val="00B8542C"/>
    <w:rsid w:val="00BF467E"/>
    <w:rsid w:val="00C260D3"/>
    <w:rsid w:val="00C809B3"/>
    <w:rsid w:val="00CB0B2B"/>
    <w:rsid w:val="00CC1415"/>
    <w:rsid w:val="00CE4348"/>
    <w:rsid w:val="00D16690"/>
    <w:rsid w:val="00D22802"/>
    <w:rsid w:val="00D23E75"/>
    <w:rsid w:val="00D3579F"/>
    <w:rsid w:val="00DA154C"/>
    <w:rsid w:val="00DD4FCD"/>
    <w:rsid w:val="00DD700A"/>
    <w:rsid w:val="00DF62D9"/>
    <w:rsid w:val="00E34F43"/>
    <w:rsid w:val="00E62B6D"/>
    <w:rsid w:val="00E751C2"/>
    <w:rsid w:val="00E86481"/>
    <w:rsid w:val="00F02012"/>
    <w:rsid w:val="00F71128"/>
    <w:rsid w:val="00F71A07"/>
    <w:rsid w:val="00F94438"/>
    <w:rsid w:val="00FA0481"/>
    <w:rsid w:val="00FA19A7"/>
    <w:rsid w:val="031A556A"/>
    <w:rsid w:val="04553DE4"/>
    <w:rsid w:val="0773254F"/>
    <w:rsid w:val="0A1149A8"/>
    <w:rsid w:val="0A4B1D54"/>
    <w:rsid w:val="0A7D48DD"/>
    <w:rsid w:val="0B4B2DDC"/>
    <w:rsid w:val="0DE63A1F"/>
    <w:rsid w:val="106F0F9A"/>
    <w:rsid w:val="1138766A"/>
    <w:rsid w:val="128C6D1F"/>
    <w:rsid w:val="13E95431"/>
    <w:rsid w:val="15780D7A"/>
    <w:rsid w:val="1A962711"/>
    <w:rsid w:val="1C342A01"/>
    <w:rsid w:val="1D5C21F5"/>
    <w:rsid w:val="217D23BA"/>
    <w:rsid w:val="21FE64DA"/>
    <w:rsid w:val="25973B4C"/>
    <w:rsid w:val="25C12A43"/>
    <w:rsid w:val="26B73A27"/>
    <w:rsid w:val="27330407"/>
    <w:rsid w:val="27355263"/>
    <w:rsid w:val="27E04077"/>
    <w:rsid w:val="283B3678"/>
    <w:rsid w:val="286F5DA8"/>
    <w:rsid w:val="29255FCE"/>
    <w:rsid w:val="29340AB0"/>
    <w:rsid w:val="2EA5475C"/>
    <w:rsid w:val="2F3D30DB"/>
    <w:rsid w:val="3086629C"/>
    <w:rsid w:val="345D5F28"/>
    <w:rsid w:val="346E4AD6"/>
    <w:rsid w:val="36193767"/>
    <w:rsid w:val="363C012A"/>
    <w:rsid w:val="36A3562E"/>
    <w:rsid w:val="37F71FDB"/>
    <w:rsid w:val="39A00B2B"/>
    <w:rsid w:val="39D6687D"/>
    <w:rsid w:val="3B6719EA"/>
    <w:rsid w:val="3D1222E1"/>
    <w:rsid w:val="3E8003A9"/>
    <w:rsid w:val="3EAB0813"/>
    <w:rsid w:val="3FFF9781"/>
    <w:rsid w:val="41F81284"/>
    <w:rsid w:val="422209AC"/>
    <w:rsid w:val="426150AF"/>
    <w:rsid w:val="42704E75"/>
    <w:rsid w:val="42AF2AE6"/>
    <w:rsid w:val="44E06825"/>
    <w:rsid w:val="46464A85"/>
    <w:rsid w:val="46D90FF7"/>
    <w:rsid w:val="48FE56E8"/>
    <w:rsid w:val="49030CBA"/>
    <w:rsid w:val="49903F4C"/>
    <w:rsid w:val="4C992CC8"/>
    <w:rsid w:val="4EA87EDB"/>
    <w:rsid w:val="4FD33F1F"/>
    <w:rsid w:val="4FFFC66F"/>
    <w:rsid w:val="523F295D"/>
    <w:rsid w:val="54C66AE8"/>
    <w:rsid w:val="582108F1"/>
    <w:rsid w:val="58872E48"/>
    <w:rsid w:val="5AB630C0"/>
    <w:rsid w:val="5B275E4E"/>
    <w:rsid w:val="5DD01EB2"/>
    <w:rsid w:val="5FC47C57"/>
    <w:rsid w:val="5FFE3CEC"/>
    <w:rsid w:val="612A5090"/>
    <w:rsid w:val="62593EFD"/>
    <w:rsid w:val="65B649F8"/>
    <w:rsid w:val="6680644E"/>
    <w:rsid w:val="66BA3EC2"/>
    <w:rsid w:val="66FB5303"/>
    <w:rsid w:val="67C742AE"/>
    <w:rsid w:val="68C13D1E"/>
    <w:rsid w:val="69AA7AA3"/>
    <w:rsid w:val="6A2C36C2"/>
    <w:rsid w:val="6ADE316A"/>
    <w:rsid w:val="6F183A97"/>
    <w:rsid w:val="6F332B54"/>
    <w:rsid w:val="6FFE4879"/>
    <w:rsid w:val="75DEFDC1"/>
    <w:rsid w:val="76167F2F"/>
    <w:rsid w:val="76240541"/>
    <w:rsid w:val="76291A66"/>
    <w:rsid w:val="77BF06B2"/>
    <w:rsid w:val="77E76DC3"/>
    <w:rsid w:val="79831120"/>
    <w:rsid w:val="79DD167F"/>
    <w:rsid w:val="79FF25CF"/>
    <w:rsid w:val="7A315709"/>
    <w:rsid w:val="7A7B7CA3"/>
    <w:rsid w:val="7A894A9B"/>
    <w:rsid w:val="7AB030A7"/>
    <w:rsid w:val="7BA9B059"/>
    <w:rsid w:val="7BDFC0C8"/>
    <w:rsid w:val="7C7734A3"/>
    <w:rsid w:val="7D1850A2"/>
    <w:rsid w:val="7D6C0A97"/>
    <w:rsid w:val="7D705487"/>
    <w:rsid w:val="7DEF5075"/>
    <w:rsid w:val="7EEE46CD"/>
    <w:rsid w:val="7EFF1D33"/>
    <w:rsid w:val="7F5F2E08"/>
    <w:rsid w:val="7FEF3C98"/>
    <w:rsid w:val="7FF49224"/>
    <w:rsid w:val="7FFBE642"/>
    <w:rsid w:val="7FFFFECA"/>
    <w:rsid w:val="AF5D3A16"/>
    <w:rsid w:val="BFF59786"/>
    <w:rsid w:val="CDFA5DD7"/>
    <w:rsid w:val="DFB9022A"/>
    <w:rsid w:val="ED5F195D"/>
    <w:rsid w:val="EF76E4EE"/>
    <w:rsid w:val="EF7E6623"/>
    <w:rsid w:val="EFFFD2CC"/>
    <w:rsid w:val="FBFAE890"/>
    <w:rsid w:val="FDD94116"/>
    <w:rsid w:val="FE394CFD"/>
    <w:rsid w:val="FFBBCE80"/>
    <w:rsid w:val="FFF6F762"/>
    <w:rsid w:val="FFFE9B16"/>
    <w:rsid w:val="FFFEF1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rPr>
      <w:rFonts w:ascii="Calibri" w:hAnsi="Calibri" w:eastAsia="宋体" w:cs="Times New Roman"/>
      <w:szCs w:val="24"/>
      <w:lang w:bidi="ar-SA"/>
    </w:r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0"/>
    <w:rPr>
      <w:rFonts w:ascii="Times New Roman" w:hAnsi="Times New Roman" w:eastAsia="宋体" w:cs="Times New Roman"/>
      <w:b/>
    </w:rPr>
  </w:style>
  <w:style w:type="character" w:styleId="11">
    <w:name w:val="page number"/>
    <w:basedOn w:val="9"/>
    <w:uiPriority w:val="0"/>
  </w:style>
  <w:style w:type="character" w:customStyle="1" w:styleId="12">
    <w:name w:val="页脚 Char"/>
    <w:link w:val="3"/>
    <w:uiPriority w:val="99"/>
    <w:rPr>
      <w:rFonts w:ascii="Calibri" w:hAnsi="Calibri" w:eastAsia="宋体" w:cs="Times New Roman"/>
      <w:kern w:val="2"/>
      <w:sz w:val="18"/>
      <w:szCs w:val="18"/>
    </w:rPr>
  </w:style>
  <w:style w:type="character" w:customStyle="1" w:styleId="13">
    <w:name w:val="页眉 Char"/>
    <w:link w:val="4"/>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4</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2021-12-14T18:21:00Z</dcterms:created>
  <dc:creator>王蕾:打印</dc:creator>
  <cp:lastModifiedBy>哈斯高娃:通知发起人</cp:lastModifiedBy>
  <dcterms:modified xsi:type="dcterms:W3CDTF">2025-07-18T03:51:33Z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