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第四次全国农业普查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领导小组组成人员名单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组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代  钦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自治区人民政府副主席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武向良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副秘书长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统计局局长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马洪钧    国家统计局内蒙古调查总队总队长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699" w:firstLineChars="53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张  磊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发展改革委副主任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自治区农牧厅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457" w:firstLineChars="143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成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王颖中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自治区党委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二级巡视员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737" w:firstLineChars="543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杜培军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  <w:t>党委网信办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副主任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  <w:t>、一级巡视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699" w:firstLineChars="53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黄汀碑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自治区党委军民融合办副主任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赵剑南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厅副厅长、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一级巡视员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刘程民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厅副厅长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自治区司法厅副厅长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李文钢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人力资源社会保障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自然资源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彭雅丽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管局副局长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刘忠文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广电局副局长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699" w:firstLineChars="53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汪传敬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统计局副局长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718" w:firstLineChars="537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罗洪文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林草局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二级巡视员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1718" w:firstLineChars="537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李凤明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国家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统计局内蒙古调查总队副总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队长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王玉春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内蒙古军区保障局副局长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公  越    武警内蒙古总队保障部副部长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 xml:space="preserve"> 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内蒙古自治区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第四次全国农业普查领导小组办公室主任由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自治区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统计局副局长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汪传敬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兼任。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B034F"/>
    <w:rsid w:val="1BBB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40" w:lineRule="auto"/>
    </w:pPr>
    <w:rPr>
      <w:rFonts w:ascii="Calibri" w:hAnsi="Calibri" w:eastAsia="宋体" w:cs="Times New Roman"/>
      <w:sz w:val="21"/>
      <w:szCs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 w:line="600" w:lineRule="exact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character" w:styleId="6">
    <w:name w:val="Strong"/>
    <w:basedOn w:val="5"/>
    <w:uiPriority w:val="0"/>
    <w:rPr>
      <w:rFonts w:ascii="Calibri" w:hAnsi="Calibri" w:eastAsia="宋体" w:cs="Times New Roman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2025-07-08T09:10:00Z</dcterms:created>
  <dc:creator>哈斯高娃:通知发起人</dc:creator>
  <cp:lastModifiedBy>哈斯高娃:通知发起人</cp:lastModifiedBy>
  <dcterms:modified xsi:type="dcterms:W3CDTF">2025-07-08T09:10:58Z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