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做好金融“五篇大文章”的实施意见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</w:t>
      </w:r>
      <w:r>
        <w:rPr>
          <w:rFonts w:hint="eastAsia" w:ascii="仿宋_GB2312" w:hAnsi="华文仿宋" w:eastAsia="仿宋_GB2312"/>
          <w:sz w:val="32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lang w:eastAsia="zh-CN"/>
        </w:rPr>
        <w:t>〕</w:t>
      </w:r>
      <w:r>
        <w:rPr>
          <w:rFonts w:hint="eastAsia" w:ascii="仿宋_GB2312" w:hAnsi="华文仿宋" w:eastAsia="仿宋_GB2312"/>
          <w:sz w:val="32"/>
          <w:lang w:val="en-US" w:eastAsia="zh-CN"/>
        </w:rPr>
        <w:t>22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为贯彻落实《国务院办公厅关于做好金融“五篇大文章”的指导意见》（国办发〔2025〕8号）精神，做好科技金融、绿色金融、普惠金融、养老金融、数字金融大文章（以下简称金融“五篇大文章”），支持自治区完成好“五大任务”，接续实施好“六个工程”，组织开展好“六个行动”，经自治区人民政府同意，现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以加强党对金融工作的全面领导为统领，紧紧围绕铸牢中华民族共同体意识工作主线，推动金融“五篇大文章”各领域高质量发展。到2027年，科技、绿色转型、普惠、养老产业、数字经济产业贷款余额稳定增长。获贷科技型企业增量扩面；绿色直接融资取得突破，绿色保险覆盖更加全面；普惠金融服务可得性、便利性不断提高；养老金融体系逐步完善，专项产品与适老化服务更加丰富；金融机构数字化转型取得积极进展，数字经济服务能力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二、做好金融“五篇大文章”重点领域工作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（一）扎实做好科技金融。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统筹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运用“股、贷、债、保、担”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等举措，根据科技型企业不同成长阶段提供多元化、接力式金融服务，提升科技“突围”工程和“科技兴蒙”行动效能。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强化种子期企业培育金融支持，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利用科技企业孵化载体提供孵化服务、创业指导，促进科技成果转化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。做好初创期企业护航，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建立银担联动平台，鼓励金融机构开展知识产权质押融资业务，为科技成果转化提供金融支持；规范发展风险投资，活跃科技保险市场，提升融资获得率。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为成长期企业赋能，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进“天骏计划”，强化上市后备企业股权融资、转让等服务，推动符合条件的企业上市融资，支持新三板挂牌企业向高层次市场转板；加强信贷资金、社会资本合作，带动更多长期、耐心资本支持科技和产业创新，保障承担国家重大科技任务企业关键技术攻关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助力成熟期企业跃升，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支持金融机构强化风险管理、资金归集、债券承销等综合金融服务，提供综合性保险解决方案；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积极配合债券市场“科技板”落地，支持金融机构、科技型企业、股权投资机构等三类主体发行科技创新债券。加大优质中小企业融资支持力度，支持中小企业专精特新发展。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（责任部门：中国人民银行内蒙古自治区分行、自治区党委金融办、内蒙古金融监管局、内蒙古证监局，自治区科技厅、工业和信息化厅、财政厅、</w:t>
      </w:r>
      <w:r>
        <w:rPr>
          <w:rFonts w:hint="eastAsia" w:ascii="楷体" w:hAnsi="楷体" w:eastAsia="楷体" w:cs="楷体"/>
          <w:color w:val="000000"/>
          <w:sz w:val="32"/>
          <w:szCs w:val="32"/>
          <w:u w:val="none" w:color="auto"/>
          <w:lang w:val="en-US" w:eastAsia="zh-CN"/>
        </w:rPr>
        <w:t>市场监管局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（二）高质量发展绿色金融。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做好金融支持产业结构优化升级、污染防治和生态保护、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绿色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创新试点工作，协同推进降碳、减污、扩绿、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，助力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我国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北方重要生态安全屏障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建设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支持产业结构优化升级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，积极融入全国碳市场体系，扎实推进煤电行业转型金融标准试用，为传统行业绿色低碳转型提供信贷支持和保险保障；围绕“两率先、两超过”目标，加大对“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风、光、氢、储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新能源重点产业信贷投放，培育壮大一批战略性新兴产业集群。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支持污染防治和生态保护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，深入打好污染防治攻坚战，做好防沙治沙和风电光伏一体化工程、“三北”工程攻坚战和三大标志性战役金融服务工作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推动“节水贷”业务，助力“节水行动”见行见效。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积极支持国家碳达峰试点、气候投融资试点、减污降碳协同创新试点城市建设，为零碳园区、零碳工厂提供融资服务。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（责任部门：中国人民银行内蒙古自治区分行、自治区党委金融办、内蒙古金融监管局，自治区发展改革委、财政厅、生态环境厅、</w:t>
      </w:r>
      <w:r>
        <w:rPr>
          <w:rFonts w:hint="eastAsia" w:ascii="楷体" w:hAnsi="楷体" w:eastAsia="楷体" w:cs="楷体"/>
          <w:color w:val="000000"/>
          <w:sz w:val="32"/>
          <w:szCs w:val="32"/>
          <w:u w:val="none" w:color="auto"/>
          <w:lang w:val="en-US" w:eastAsia="zh-CN"/>
        </w:rPr>
        <w:t>水利厅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、林草局，各金融机构）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（三）深入发展普惠金融。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做好金融支持民营小微企业、创业就业、乡村振兴等工作，提高金融服务民生水平。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聚焦民营小微企业融资问题，认真落实《中华人民共和国民营经济促进法》，坚持各类所有制企业“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一视同仁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”支持理念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用好民营中小微企业信用融资风险分担资金、无还本续贷政策，推动小微企业融资协调工作机制落地见效，深入推进“一链一策一批”中小微企业融资促进行动，与助企行动同向发力。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立足创业就业新形势，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加大创业担保、助学贷款工作力度，探索建立稳岗扩岗专项贷款与创业担保贷款联动机制，支持重点群体就业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创业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就学，推动就业促进行动走深走实。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引导金融机构积极支持提振消费。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围绕全面推进乡村振兴，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持续做好金融支持种业振兴、春耕备耕、高标准农田建设、设施农业建设等重点工作，支持国家重要农畜产品生产基地建设。发挥脱贫人口小额信贷精准帮扶作用，支持国家乡村振兴重点帮扶旗县等重点地区健康发展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（责任部门：中国人民银行内蒙古自治区分行、自治区党委金融办、内蒙古金融监管局，自治区发展改革委、工业和信息化厅、财政厅、人力资源社会保障厅、农牧厅，各金融机构）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（四）大力发展养老金融。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强化养老产业金融供给，完善多支柱养老保险体系，保障老年群体金融权益，服务银发经济高质量发展。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加大养老产业融资支持力度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，积极契合居家和社区基本养老服务提升行动、旗县域养老服务体系创新试点、牧区和旅居养老新模式，支持养老产业与养老基础设施建设。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发展养老保险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u w:val="none" w:color="auto"/>
          <w:lang w:val="en-US" w:eastAsia="zh-CN"/>
        </w:rPr>
        <w:t>二、三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支柱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，做好城乡居保基金委托投资工作，加快推进企业年金数字化建设，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全面实施个人养老金制度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，大力发展商业保险年金，促进养老财富储备和保值增值。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加强老年群体权益保障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，健全支付适老化服务标准及配套制度，推进银行网点、非柜面业务适老化改造，建成一批适老标准化示范化金融服务网点。开展老年群体金融知识宣传教育，加大涉老非法金融活动防范和打击力度。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（责任部门：中国人民银行内蒙古自治区分行、内蒙古金融监管局，自治区民政厅、人力资源社会保障厅，各金融机构）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（五）积极发展数字金融。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系统推进数字化转型，支持数字产业发展，强化金融监管，提升数实融合水平。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推动金融机构数字化转型，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深化数据在业务经营和风险管理中的应用，提升数字化经营服务能力。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加大对数字经济及其核心产业的资金支持力度，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加快建设呼和浩特区域金融中心，深入打造和林格尔金融数据产业园，推进金融领域“数据要素×”工作，依法合规推动公共数据向金融机构赋能应用。积极争取数字人民币试点。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提升金融监管数字化水平，配合国家金融监督管理总局开展监管流程数字化再造，增强关键监管活动的规范性和透明度，加强智能分析工具研发，将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数字金融新产品、新业务、新模式依法依规全部纳入监管。督促金融机构结合数字金融业务模式和特点，健全金融消费者权益保护机制。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（责任部门：中国人民银行内蒙古自治区分行、内蒙古金融监管局、自治区政务服务与数据管理局，各金融机构）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u w:val="none" w:color="auto"/>
          <w:lang w:val="en-US" w:eastAsia="zh-CN"/>
        </w:rPr>
        <w:t>健全完善金融支持体系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（一）构建分类协同的金融支持框架。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全国性银行自治区分支机构要全面加大金融“五篇大文章”各领域工作力度。地方法人银行要聚焦与自身定位和能力相契合的领域，提供专业化、精细化服务。保险机构要加强对重点领域的保险保障和投融资支持。证券、期货、基金、私募股权投资、金融资产管理公司等机构要提升投资能力，拓宽直接融资渠道。各金融机构要积极支持做好贷款、结算、法人“三落地”工作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（责任部门：中国人民银行内蒙古自治区分行、自治区党委金融办、内蒙古金融监管局、内蒙古证监局，各金融机构）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（二）丰富金融产品和服务。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广应用“创新积分贷”、“科技人才贷”等产品，规范发展“贷款+外部直投”等业务模式，开发科技型企业创业责任保险等产品。探索“碳汇+金融”、“碳汇+保险”等绿色金融服务机制，发展资源环境权益抵质押融资业务，探索碳账户体系布局，推动绿色保险业务发展。推广主动授信、随借随还贷款模式，规范发展供应链金融业务。推广涉农资产抵质押贷款，探索拓宽抵质押资产范围，完善多层次农业保险保障体系。积极发展具有养老属性的金融产品。落实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房地产金融政策，支持构建房地产发展新模式。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（责任部门：中国人民银行内蒙古自治区分行、内蒙古金融监管局、内蒙古证监局，各金融机构）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充分发挥征信和融资服务平台作用。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推广应用全国中小微企业资金流信用信息共享平台、动产融资统一登记公示系统，推动地方金融机构接入金融信用信息基础数据库。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推动成立国有征信公司，运营内蒙古自治区融资信用服务平台，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加大社会信用信息归集、共享力度，提高企业融资便利度。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（责任部门：中国人民银行内蒙古自治区分行，自治区发展改革委、</w:t>
      </w:r>
      <w:r>
        <w:rPr>
          <w:rFonts w:hint="eastAsia" w:ascii="楷体" w:hAnsi="楷体" w:eastAsia="楷体" w:cs="楷体"/>
          <w:color w:val="000000"/>
          <w:sz w:val="32"/>
          <w:szCs w:val="32"/>
          <w:u w:val="none" w:color="auto"/>
          <w:lang w:val="en-US" w:eastAsia="zh-CN"/>
        </w:rPr>
        <w:t>财政厅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用好用足货币政策工具。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落实科技创新和技术改造再贷款及财政贴息政策，加大对科技型中小企业、重点领域技术改造和设备更新项目支持力度。发挥碳减排支持工具优势，为具有显著碳减排效应的项目提供优惠利率融资。用好股票回购增持再贷款，推动上市公司进行市值管理。用好用足支农支小再贷款，引导地方法人金融机构扩大涉农、小微和民营企业信贷投放。用好服务消费与养老再贷款，引导商业银行加大对服务消费与养老的信贷支持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（责任部门：中国人民银行内蒙古自治区分行、自治区财政厅、内蒙古证监局，各金融机构）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（五）完善金融市场服务体系。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动公司债扩容，形成覆盖金融“五篇大文章”的产品谱系。用好科技创新债券风险分担工具，为科技创新企业和股权投资机构发行低成本、长期限科创债券融资提供支持。推动金融机构符合金融债发行标准，探索开展信贷资产证券化业务。促进股权市场满足发展需求，支持私募股权基金、创投基金发展，引导社会资本投向金融“五篇大文章”领域。活跃并购市场，支持企业高效整合重组。常态化推进基础设施REITs发行。发挥票据市场服务实体经济功能作用。支持金融机构与专业中介机构合作，强化中介服务机构专业把关责任，助力金融市场健康发展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（责任部门：中国人民银行内蒙古自治区分行、自治区党委金融办、内蒙古金融监管局、内蒙古证监局，自治区发展改革委、</w:t>
      </w:r>
      <w:r>
        <w:rPr>
          <w:rFonts w:hint="eastAsia" w:ascii="楷体" w:hAnsi="楷体" w:eastAsia="楷体" w:cs="楷体"/>
          <w:color w:val="000000"/>
          <w:sz w:val="32"/>
          <w:szCs w:val="32"/>
          <w:u w:val="none" w:color="auto"/>
          <w:lang w:val="en-US" w:eastAsia="zh-CN"/>
        </w:rPr>
        <w:t>市场监管局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，各金融机构）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（六）优化外汇市场政策举措。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加大跨境人民币便利化服务供给，落实好优质企业贸易投资便利化政策，因地制宜调整优质企业名单；探索开展跨境人民币结算便利化优质企业名单互认，提升跨境人民币业务办理体验感。推动优质企业贸易外汇收支便利化政策扩围提质增效，推动符合条件的企业积极利用资本项目收入支付便利化政策。加强汇率风险中性理念宣传，支持重点涉外企业用好汇率避险政策及汇率风险管理产品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（责任部门：中国人民银行内蒙古自治区分行，各金融机构）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各有关部门要加强互联互通，强化协调配合，形成工作合力，推进政策落实落细。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u w:val="none" w:color="auto"/>
          <w:lang w:val="en-US" w:eastAsia="zh-CN"/>
        </w:rPr>
        <w:t>要发挥政府性融资担保体系作用，缓解企业融资难题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。金融管理部门要健全具有硬约束的金融风险早期纠正机制，严防发生区域性、系统性金融风险。中国人民银行内蒙古自治区分行要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结合实际建立完善金融“五篇大文章”考核评价制度，督促金融机构提升工作质效。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金融机构要明确“一把手”负责制，建立健全内部推进机制和风险管理制度，加强专营或特色分支机构建设，切实做好金融“五篇大文章”业务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各有关部门、金融机构要强化政策宣传，多渠道做好政策宣传解读与经验交流推广，积极营造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 w:color="auto"/>
          <w:lang w:val="en-US" w:eastAsia="zh-CN"/>
        </w:rPr>
        <w:t>做好金融“五篇大文章”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良好舆论氛围。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                         2025年6月8日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7"/>
        <w:tblW w:w="873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400" w:lineRule="exact"/>
              <w:ind w:firstLine="280" w:firstLineChars="1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自治区人大常委会办公厅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，自治区</w:t>
            </w:r>
            <w:r>
              <w:rPr>
                <w:rFonts w:hint="eastAsia" w:ascii="仿宋_GB2312" w:eastAsia="仿宋_GB2312"/>
                <w:sz w:val="28"/>
              </w:rPr>
              <w:t>政</w:t>
            </w:r>
            <w:r>
              <w:rPr>
                <w:rFonts w:hint="eastAsia" w:ascii="仿宋_GB2312" w:eastAsia="仿宋_GB2312"/>
                <w:spacing w:val="-6"/>
                <w:sz w:val="28"/>
              </w:rPr>
              <w:t>协办公厅，</w:t>
            </w:r>
            <w:r>
              <w:rPr>
                <w:rFonts w:hint="eastAsia" w:ascii="仿宋_GB2312" w:eastAsia="仿宋_GB2312"/>
                <w:spacing w:val="-6"/>
                <w:sz w:val="28"/>
                <w:lang w:eastAsia="zh-CN"/>
              </w:rPr>
              <w:t>自治区监委，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自治区高</w:t>
            </w:r>
            <w:r>
              <w:rPr>
                <w:rFonts w:hint="eastAsia" w:ascii="仿宋_GB2312" w:eastAsia="仿宋_GB2312"/>
                <w:sz w:val="28"/>
              </w:rPr>
              <w:t>级人民法院，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自治区人民</w:t>
            </w:r>
            <w:r>
              <w:rPr>
                <w:rFonts w:hint="eastAsia" w:ascii="仿宋_GB2312" w:eastAsia="仿宋_GB2312"/>
                <w:sz w:val="28"/>
              </w:rPr>
              <w:t>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spacing w:line="400" w:lineRule="exact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各民主党派区委会，</w:t>
            </w: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00"/>
              </w:tabs>
              <w:kinsoku/>
              <w:overflowPunct/>
              <w:autoSpaceDE/>
              <w:autoSpaceDN/>
              <w:bidi w:val="0"/>
              <w:ind w:firstLine="280" w:firstLine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="黑体" w:eastAsia="黑体"/>
          <w:sz w:val="32"/>
        </w:rPr>
      </w:pPr>
      <w:bookmarkStart w:id="1" w:name="成文日期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3175</wp:posOffset>
                </wp:positionV>
                <wp:extent cx="1917700" cy="581660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03070" cy="422275"/>
                                  <wp:effectExtent l="0" t="0" r="11430" b="15875"/>
                                  <wp:docPr id="2" name="图片 12" descr="NZBF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2" descr="NZBF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3070" cy="422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73.65pt;margin-top:0.25pt;height:45.8pt;width:151pt;z-index:251659264;mso-width-relative:page;mso-height-relative:page;" filled="f" stroked="f" coordsize="21600,21600" o:gfxdata="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Ob8uNUAAAAHAQAADwAAAAAAAAABACAAAAAiAAAAZHJzL2Rvd25yZXYueG1sUEsBAhQA&#10;FAAAAAgAh07iQH0RG+W8AQAATQ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703070" cy="422275"/>
                            <wp:effectExtent l="0" t="0" r="11430" b="15875"/>
                            <wp:docPr id="2" name="图片 12" descr="NZBF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2" descr="NZBF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3070" cy="422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2775B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2585B"/>
    <w:rsid w:val="0003004C"/>
    <w:rsid w:val="000305B6"/>
    <w:rsid w:val="00031020"/>
    <w:rsid w:val="00035F63"/>
    <w:rsid w:val="00036CC9"/>
    <w:rsid w:val="00037A1D"/>
    <w:rsid w:val="0004119F"/>
    <w:rsid w:val="00041495"/>
    <w:rsid w:val="00043109"/>
    <w:rsid w:val="00043BA4"/>
    <w:rsid w:val="00045126"/>
    <w:rsid w:val="00046BC3"/>
    <w:rsid w:val="00047325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08A9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07D5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3B4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6AFD"/>
    <w:rsid w:val="0016715A"/>
    <w:rsid w:val="001679C2"/>
    <w:rsid w:val="00167D00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A71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3F1F"/>
    <w:rsid w:val="00484559"/>
    <w:rsid w:val="004851D2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06F9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5CBA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3B05"/>
    <w:rsid w:val="005E5234"/>
    <w:rsid w:val="005E7F3F"/>
    <w:rsid w:val="005F29DA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77097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6C8C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57D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6764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DD3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34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0A79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8DD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0BF7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50FD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1E4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01E0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D7A59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05E6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0BCF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252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1B2"/>
    <w:rsid w:val="00D96622"/>
    <w:rsid w:val="00D9708A"/>
    <w:rsid w:val="00D97AB1"/>
    <w:rsid w:val="00DA1925"/>
    <w:rsid w:val="00DA35CA"/>
    <w:rsid w:val="00DA70FF"/>
    <w:rsid w:val="00DB0CCF"/>
    <w:rsid w:val="00DB1CF5"/>
    <w:rsid w:val="00DB3818"/>
    <w:rsid w:val="00DB4518"/>
    <w:rsid w:val="00DB6B7F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46555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40CF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6D18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08CB"/>
    <w:rsid w:val="00F03745"/>
    <w:rsid w:val="00F03899"/>
    <w:rsid w:val="00F10329"/>
    <w:rsid w:val="00F12718"/>
    <w:rsid w:val="00F12B22"/>
    <w:rsid w:val="00F13C9F"/>
    <w:rsid w:val="00F14EF6"/>
    <w:rsid w:val="00F15AE5"/>
    <w:rsid w:val="00F16E43"/>
    <w:rsid w:val="00F16FED"/>
    <w:rsid w:val="00F17570"/>
    <w:rsid w:val="00F20D57"/>
    <w:rsid w:val="00F22550"/>
    <w:rsid w:val="00F23334"/>
    <w:rsid w:val="00F2738E"/>
    <w:rsid w:val="00F3016E"/>
    <w:rsid w:val="00F35431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504C"/>
    <w:rsid w:val="00FD07BD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477743F"/>
    <w:rsid w:val="0499704F"/>
    <w:rsid w:val="05523CA3"/>
    <w:rsid w:val="05A7785D"/>
    <w:rsid w:val="074D26E8"/>
    <w:rsid w:val="0ACD69C7"/>
    <w:rsid w:val="0B27306A"/>
    <w:rsid w:val="0B76792E"/>
    <w:rsid w:val="0CAD191A"/>
    <w:rsid w:val="0DB25BDA"/>
    <w:rsid w:val="0E9318B9"/>
    <w:rsid w:val="10AA3895"/>
    <w:rsid w:val="10C2775B"/>
    <w:rsid w:val="110F26B1"/>
    <w:rsid w:val="119730FD"/>
    <w:rsid w:val="13404ED0"/>
    <w:rsid w:val="185243CD"/>
    <w:rsid w:val="18B23432"/>
    <w:rsid w:val="1A7D41CF"/>
    <w:rsid w:val="1BD1799E"/>
    <w:rsid w:val="1D9445CA"/>
    <w:rsid w:val="1FD3237E"/>
    <w:rsid w:val="21CE0EBF"/>
    <w:rsid w:val="227A4620"/>
    <w:rsid w:val="23B671D4"/>
    <w:rsid w:val="24485B15"/>
    <w:rsid w:val="267C219B"/>
    <w:rsid w:val="27724DDD"/>
    <w:rsid w:val="28686795"/>
    <w:rsid w:val="2A9D75EF"/>
    <w:rsid w:val="2DA04A70"/>
    <w:rsid w:val="302F191D"/>
    <w:rsid w:val="31F77DCA"/>
    <w:rsid w:val="370321C7"/>
    <w:rsid w:val="374A2DC5"/>
    <w:rsid w:val="374A6039"/>
    <w:rsid w:val="39A15E22"/>
    <w:rsid w:val="3C6E3C78"/>
    <w:rsid w:val="3C8F3761"/>
    <w:rsid w:val="3DEDF8C0"/>
    <w:rsid w:val="3E053F52"/>
    <w:rsid w:val="3E585674"/>
    <w:rsid w:val="404769F9"/>
    <w:rsid w:val="4224574B"/>
    <w:rsid w:val="43BA782C"/>
    <w:rsid w:val="456E4695"/>
    <w:rsid w:val="4A456A7E"/>
    <w:rsid w:val="4BB12688"/>
    <w:rsid w:val="4CCE0BD3"/>
    <w:rsid w:val="4F4A2C25"/>
    <w:rsid w:val="51650C56"/>
    <w:rsid w:val="533A3FB6"/>
    <w:rsid w:val="565B7A0E"/>
    <w:rsid w:val="578F34E4"/>
    <w:rsid w:val="5ABC3838"/>
    <w:rsid w:val="5BAE3879"/>
    <w:rsid w:val="61C27225"/>
    <w:rsid w:val="633043F0"/>
    <w:rsid w:val="6331556A"/>
    <w:rsid w:val="63CC12AA"/>
    <w:rsid w:val="64B86B45"/>
    <w:rsid w:val="66142540"/>
    <w:rsid w:val="662933E5"/>
    <w:rsid w:val="6F2C465B"/>
    <w:rsid w:val="6FDB4AF0"/>
    <w:rsid w:val="70A7195F"/>
    <w:rsid w:val="713B78BF"/>
    <w:rsid w:val="719F311C"/>
    <w:rsid w:val="75106B53"/>
    <w:rsid w:val="7A7FF6E5"/>
    <w:rsid w:val="7CCA0B94"/>
    <w:rsid w:val="7D164783"/>
    <w:rsid w:val="7E7A0D43"/>
    <w:rsid w:val="7E960D71"/>
    <w:rsid w:val="7FFFB9E9"/>
    <w:rsid w:val="B64DBD03"/>
    <w:rsid w:val="E9FB0480"/>
    <w:rsid w:val="F9DED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f" stroke="f">
      <v:fill on="f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 Char Char2"/>
    <w:basedOn w:val="9"/>
    <w:link w:val="3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2">
    <w:name w:val=" Char Char"/>
    <w:basedOn w:val="9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3">
    <w:name w:val=" Char Char1"/>
    <w:basedOn w:val="9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哈斯高娃:通知发起人</cp:lastModifiedBy>
  <dcterms:modified xsi:type="dcterms:W3CDTF">2025-06-20T02:42:27Z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