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附件3</w:t>
      </w:r>
    </w:p>
    <w:p>
      <w:pPr>
        <w:keepNext w:val="0"/>
        <w:keepLines w:val="0"/>
        <w:pageBreakBefore w:val="0"/>
        <w:widowControl w:val="0"/>
        <w:kinsoku/>
        <w:wordWrap/>
        <w:overflowPunct/>
        <w:topLinePunct/>
        <w:autoSpaceDE/>
        <w:autoSpaceDN/>
        <w:bidi w:val="0"/>
        <w:adjustRightInd/>
        <w:snapToGrid/>
        <w:spacing w:line="580" w:lineRule="exact"/>
        <w:ind w:firstLine="560" w:firstLineChars="200"/>
        <w:jc w:val="both"/>
        <w:textAlignment w:val="auto"/>
        <w:rPr>
          <w:rFonts w:hint="eastAsia" w:ascii="方正仿宋简体" w:hAnsi="方正仿宋简体" w:eastAsia="方正仿宋简体" w:cs="方正仿宋简体"/>
          <w:sz w:val="28"/>
          <w:szCs w:val="28"/>
          <w:u w:val="none"/>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 w:val="0"/>
          <w:bCs w:val="0"/>
          <w:sz w:val="44"/>
          <w:szCs w:val="44"/>
        </w:rPr>
        <w:t>各有关部门推进绿色矿山建设</w:t>
      </w:r>
      <w:r>
        <w:rPr>
          <w:rFonts w:hint="eastAsia" w:ascii="方正小标宋简体" w:hAnsi="方正小标宋简体" w:eastAsia="方正小标宋简体" w:cs="方正小标宋简体"/>
          <w:b w:val="0"/>
          <w:bCs w:val="0"/>
          <w:sz w:val="44"/>
          <w:szCs w:val="44"/>
          <w:lang w:eastAsia="zh-CN"/>
        </w:rPr>
        <w:t>职责</w:t>
      </w:r>
      <w:r>
        <w:rPr>
          <w:rFonts w:hint="eastAsia" w:ascii="方正小标宋简体" w:hAnsi="方正小标宋简体" w:eastAsia="方正小标宋简体" w:cs="方正小标宋简体"/>
          <w:b w:val="0"/>
          <w:bCs w:val="0"/>
          <w:sz w:val="44"/>
          <w:szCs w:val="44"/>
        </w:rPr>
        <w:t>分工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自然资源部门：负责矿产资源“三率”、开发利用方案和矿区生态修复方案等执行情况的监督。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发展改革部门：负责配合查询矿山企业信用信息，并及时向自然资源部门推送查询结果，按照职能职责开展矿山节能审查。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工业和信息化部门：负责矿山工业能源节约、资源综合利用、工业绿色发展，引导矿山企业新产品、新技术、新设备、新材料的推广应用。</w:t>
      </w:r>
    </w:p>
    <w:p>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 w:hAnsi="仿宋" w:eastAsia="仿宋" w:cs="仿宋"/>
          <w:sz w:val="32"/>
          <w:szCs w:val="32"/>
          <w:u w:val="none"/>
        </w:rPr>
      </w:pPr>
      <w:r>
        <w:rPr>
          <w:rFonts w:hint="eastAsia" w:ascii="仿宋" w:hAnsi="仿宋" w:eastAsia="仿宋" w:cs="仿宋"/>
          <w:spacing w:val="-6"/>
          <w:sz w:val="32"/>
          <w:szCs w:val="32"/>
          <w:u w:val="none"/>
        </w:rPr>
        <w:t>财政部门：做好绿色矿山监管和第三方评估等工作经费保障。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生态环境部门：负责矿山环境污染防治监督管理，加强对矿山排放废气、废水、废渣及扬尘等污染物的监督管理。</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sz w:val="32"/>
          <w:szCs w:val="32"/>
          <w:u w:val="none"/>
        </w:rPr>
      </w:pPr>
      <w:r>
        <w:rPr>
          <w:rFonts w:hint="eastAsia" w:ascii="仿宋" w:hAnsi="仿宋" w:eastAsia="仿宋" w:cs="仿宋"/>
          <w:spacing w:val="6"/>
          <w:sz w:val="32"/>
          <w:szCs w:val="32"/>
          <w:u w:val="none"/>
        </w:rPr>
        <w:t>水利部门：负责监督指导矿山企业依法编报水土保持方案、</w:t>
      </w:r>
      <w:r>
        <w:rPr>
          <w:rFonts w:hint="eastAsia" w:ascii="仿宋" w:hAnsi="仿宋" w:eastAsia="仿宋" w:cs="仿宋"/>
          <w:sz w:val="32"/>
          <w:szCs w:val="32"/>
          <w:u w:val="none"/>
        </w:rPr>
        <w:t>做好水土流失预防和治理措施、投产使用或者竣工验收前开展水土保持设施自主验收并报备，加强矿山水土保持监管，会同生态环境部门对矿山矿井水、疏干水综合利用进行监管。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应急管理部门（矿山安全监管部门）：负责矿山安全生产监</w:t>
      </w:r>
      <w:r>
        <w:rPr>
          <w:rFonts w:hint="eastAsia" w:ascii="仿宋" w:hAnsi="仿宋" w:eastAsia="仿宋" w:cs="仿宋"/>
          <w:spacing w:val="6"/>
          <w:sz w:val="32"/>
          <w:szCs w:val="32"/>
          <w:u w:val="none"/>
        </w:rPr>
        <w:t>督管理，对矿山企业安全生产条件、设备设施安全情况进行监管执法，指导矿山安全信息化建设；负责矿山企业安全生产许可、</w:t>
      </w:r>
      <w:r>
        <w:rPr>
          <w:rFonts w:hint="eastAsia" w:ascii="仿宋" w:hAnsi="仿宋" w:eastAsia="仿宋" w:cs="仿宋"/>
          <w:sz w:val="32"/>
          <w:szCs w:val="32"/>
          <w:u w:val="none"/>
        </w:rPr>
        <w:t>建设项目安全设施设计审查和竣工验收核查以及矿山企业建设项目安全核准。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市场监管部门（政务服务与数据管理部门）:负责指导绿色矿山建设地方标准的制修订工作，矿山企业营业执照核发，监督检查登记注册行为。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能源部门：负责煤矿初步设计审批等行业管理工作，负责能源领域新技术、新产品和新设备的研发、示范、推广和应用，配合发展改革部门指导全区能源行业节能减排和资源综合利用。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林草部门：负责统筹安排绿色矿山占用林地草地定额，办理矿山占用林地草地手续，矿山植被恢复审核验收。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金融监管部门：负责制定和监督落实绿色矿山金融支持政策，指导全区银行保险业机构积极开展相关金融服务。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税务部门：负责矿山企业各类税费征收工作，落实绿色矿山各项税收支持政策。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各部门职能职责有调整的，按照调整后的职责分工执行。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5EDF"/>
    <w:rsid w:val="7FED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2025-06-19T06:36:00Z</dcterms:created>
  <dc:creator>哈斯高娃:通知发起人</dc:creator>
  <cp:lastModifiedBy>哈斯高娃:通知发起人</cp:lastModifiedBy>
  <dcterms:modified xsi:type="dcterms:W3CDTF">2025-06-19T06:37:32Z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