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sz w:val="44"/>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rPr>
      </w:pPr>
    </w:p>
    <w:p>
      <w:pPr>
        <w:keepNext w:val="0"/>
        <w:keepLines w:val="0"/>
        <w:pageBreakBefore w:val="0"/>
        <w:widowControl w:val="0"/>
        <w:kinsoku/>
        <w:overflowPunct/>
        <w:autoSpaceDE/>
        <w:autoSpaceDN/>
        <w:bidi w:val="0"/>
        <w:adjustRightInd w:val="0"/>
        <w:snapToGrid w:val="0"/>
        <w:spacing w:line="360" w:lineRule="auto"/>
        <w:jc w:val="center"/>
        <w:textAlignment w:val="auto"/>
        <w:rPr>
          <w:rFonts w:hint="eastAsia" w:ascii="宋体" w:hAnsi="宋体"/>
          <w:b/>
          <w:color w:val="FF0000"/>
          <w:spacing w:val="-20"/>
          <w:w w:val="50"/>
          <w:szCs w:val="21"/>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宋体" w:hAnsi="宋体"/>
          <w:b/>
          <w:color w:val="FF0000"/>
          <w:spacing w:val="-20"/>
          <w:w w:val="50"/>
          <w:szCs w:val="21"/>
        </w:rPr>
      </w:pPr>
    </w:p>
    <w:p>
      <w:pPr>
        <w:keepNext w:val="0"/>
        <w:keepLines w:val="0"/>
        <w:pageBreakBefore w:val="0"/>
        <w:widowControl w:val="0"/>
        <w:kinsoku/>
        <w:wordWrap/>
        <w:overflowPunct/>
        <w:topLinePunct/>
        <w:autoSpaceDE/>
        <w:autoSpaceDN/>
        <w:bidi w:val="0"/>
        <w:adjustRightInd w:val="0"/>
        <w:snapToGrid w:val="0"/>
        <w:spacing w:line="460" w:lineRule="exact"/>
        <w:ind w:firstLine="160" w:firstLineChars="5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val="0"/>
        <w:snapToGrid w:val="0"/>
        <w:spacing w:line="300" w:lineRule="exact"/>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bookmarkStart w:id="0" w:name="OLE_LINK1"/>
      <w:r>
        <w:rPr>
          <w:rFonts w:hint="eastAsia" w:ascii="方正小标宋简体" w:eastAsia="方正小标宋简体"/>
          <w:sz w:val="44"/>
          <w:szCs w:val="44"/>
          <w:lang w:eastAsia="zh-CN"/>
        </w:rPr>
        <w:t>内蒙古自治区人民政府办公厅</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关于印发《内蒙古自治区生态环境损害</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lang w:eastAsia="zh-CN"/>
        </w:rPr>
        <w:t>赔偿工作规定》的通知</w:t>
      </w:r>
    </w:p>
    <w:bookmarkEnd w:id="0"/>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jc w:val="center"/>
        <w:textAlignment w:val="auto"/>
        <w:rPr>
          <w:rFonts w:hint="eastAsia" w:ascii="仿宋_GB2312" w:hAnsi="华文仿宋" w:eastAsia="仿宋_GB2312"/>
          <w:sz w:val="32"/>
        </w:rPr>
      </w:pPr>
      <w:bookmarkStart w:id="1" w:name="OLE_LINK2"/>
      <w:r>
        <w:rPr>
          <w:rFonts w:hint="eastAsia" w:ascii="仿宋_GB2312" w:hAnsi="华文仿宋" w:eastAsia="仿宋_GB2312"/>
          <w:sz w:val="32"/>
          <w:lang w:eastAsia="zh-CN"/>
        </w:rPr>
        <w:t>内政办发〔202</w:t>
      </w:r>
      <w:r>
        <w:rPr>
          <w:rFonts w:hint="eastAsia" w:ascii="仿宋_GB2312" w:hAnsi="华文仿宋" w:eastAsia="仿宋_GB2312"/>
          <w:sz w:val="32"/>
          <w:lang w:val="en-US" w:eastAsia="zh-CN"/>
        </w:rPr>
        <w:t>5</w:t>
      </w:r>
      <w:r>
        <w:rPr>
          <w:rFonts w:hint="eastAsia" w:ascii="仿宋_GB2312" w:hAnsi="华文仿宋" w:eastAsia="仿宋_GB2312"/>
          <w:sz w:val="32"/>
          <w:lang w:eastAsia="zh-CN"/>
        </w:rPr>
        <w:t>〕</w:t>
      </w:r>
      <w:r>
        <w:rPr>
          <w:rFonts w:hint="eastAsia" w:ascii="仿宋_GB2312" w:hAnsi="华文仿宋" w:eastAsia="仿宋_GB2312"/>
          <w:sz w:val="32"/>
          <w:lang w:val="en-US" w:eastAsia="zh-CN"/>
        </w:rPr>
        <w:t>16</w:t>
      </w:r>
      <w:r>
        <w:rPr>
          <w:rFonts w:hint="eastAsia" w:ascii="仿宋_GB2312" w:hAnsi="华文仿宋" w:eastAsia="仿宋_GB2312"/>
          <w:sz w:val="32"/>
          <w:lang w:eastAsia="zh-CN"/>
        </w:rPr>
        <w:t>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简体" w:eastAsia="方正小标宋简体"/>
          <w:sz w:val="44"/>
          <w:szCs w:val="44"/>
          <w:lang w:eastAsia="zh-CN"/>
        </w:rPr>
      </w:pPr>
    </w:p>
    <w:bookmarkEnd w:id="1"/>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方正仿宋_GBK" w:hAnsi="方正仿宋_GBK" w:eastAsia="方正仿宋_GBK" w:cs="方正仿宋_GBK"/>
          <w:sz w:val="32"/>
          <w:szCs w:val="32"/>
        </w:rPr>
      </w:pPr>
      <w:bookmarkStart w:id="4" w:name="_GoBack"/>
      <w:bookmarkStart w:id="2" w:name="OLE_LINK3"/>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320" w:lineRule="exact"/>
        <w:ind w:firstLine="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经自治区人民政府同意，现将《</w:t>
      </w:r>
      <w:r>
        <w:rPr>
          <w:rFonts w:hint="eastAsia" w:ascii="仿宋" w:hAnsi="仿宋" w:eastAsia="仿宋" w:cs="仿宋"/>
          <w:sz w:val="32"/>
          <w:szCs w:val="32"/>
        </w:rPr>
        <w:t>内蒙古自治区生态环境损害赔偿工作规定</w:t>
      </w:r>
      <w:r>
        <w:rPr>
          <w:rFonts w:hint="eastAsia" w:ascii="仿宋" w:hAnsi="仿宋" w:eastAsia="仿宋" w:cs="仿宋"/>
          <w:sz w:val="32"/>
          <w:szCs w:val="32"/>
          <w:lang w:val="en-US" w:eastAsia="zh-CN"/>
        </w:rPr>
        <w:t>》印发给你们，请结合实际，认真贯彻落实。</w:t>
      </w: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ind w:firstLine="601"/>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2025年5月9日</w:t>
      </w:r>
    </w:p>
    <w:p>
      <w:pPr>
        <w:keepNext w:val="0"/>
        <w:keepLines w:val="0"/>
        <w:pageBreakBefore w:val="0"/>
        <w:widowControl w:val="0"/>
        <w:kinsoku/>
        <w:wordWrap/>
        <w:overflowPunct/>
        <w:topLinePunct w:val="0"/>
        <w:autoSpaceDE/>
        <w:autoSpaceDN/>
        <w:bidi w:val="0"/>
        <w:adjustRightInd/>
        <w:snapToGrid/>
        <w:spacing w:line="400" w:lineRule="exact"/>
        <w:ind w:firstLine="601"/>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400" w:lineRule="exact"/>
        <w:ind w:firstLine="601"/>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01"/>
        <w:jc w:val="both"/>
        <w:textAlignment w:val="auto"/>
        <w:rPr>
          <w:rFonts w:hint="eastAsia" w:ascii="仿宋" w:hAnsi="仿宋" w:eastAsia="仿宋" w:cs="仿宋"/>
          <w:sz w:val="32"/>
          <w:szCs w:val="32"/>
          <w:lang w:val="en-US" w:eastAsia="zh-CN"/>
        </w:rPr>
      </w:pPr>
    </w:p>
    <w:p>
      <w:pPr>
        <w:pStyle w:val="8"/>
        <w:widowControl w:val="0"/>
        <w:adjustRightInd w:val="0"/>
        <w:snapToGrid w:val="0"/>
        <w:spacing w:before="0" w:beforeAutospacing="0" w:after="0" w:afterAutospacing="0" w:line="540" w:lineRule="exact"/>
        <w:jc w:val="center"/>
        <w:rPr>
          <w:rFonts w:hint="eastAsia" w:ascii="方正小标宋简体" w:eastAsia="方正小标宋简体"/>
          <w:sz w:val="44"/>
          <w:szCs w:val="44"/>
        </w:rPr>
      </w:pP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jc w:val="center"/>
        <w:textAlignment w:val="auto"/>
        <w:rPr>
          <w:rFonts w:ascii="方正小标宋简体" w:eastAsia="方正小标宋简体"/>
          <w:sz w:val="44"/>
          <w:szCs w:val="44"/>
        </w:rPr>
      </w:pPr>
      <w:r>
        <w:rPr>
          <w:rFonts w:hint="eastAsia" w:ascii="方正小标宋简体" w:eastAsia="方正小标宋简体"/>
          <w:sz w:val="44"/>
          <w:szCs w:val="44"/>
        </w:rPr>
        <w:t>内蒙古自治区生态环境损害赔偿工作规定</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0" w:firstLineChars="0"/>
        <w:textAlignment w:val="auto"/>
        <w:rPr>
          <w:rFonts w:hint="eastAsia" w:ascii="方正仿宋_GBK" w:hAnsi="方正仿宋_GBK" w:eastAsia="方正仿宋_GBK" w:cs="方正仿宋_GBK"/>
          <w:b w:val="0"/>
          <w:bCs/>
          <w:sz w:val="32"/>
          <w:szCs w:val="32"/>
        </w:rPr>
      </w:pPr>
    </w:p>
    <w:p>
      <w:pPr>
        <w:pStyle w:val="8"/>
        <w:keepNext w:val="0"/>
        <w:keepLines w:val="0"/>
        <w:pageBreakBefore w:val="0"/>
        <w:widowControl w:val="0"/>
        <w:kinsoku/>
        <w:wordWrap/>
        <w:overflowPunct/>
        <w:topLinePunct/>
        <w:autoSpaceDE/>
        <w:autoSpaceDN/>
        <w:bidi w:val="0"/>
        <w:adjustRightInd w:val="0"/>
        <w:snapToGrid w:val="0"/>
        <w:spacing w:before="313" w:beforeLines="100" w:beforeAutospacing="0" w:after="313" w:afterLines="100" w:afterAutospacing="0" w:line="580" w:lineRule="exact"/>
        <w:jc w:val="center"/>
        <w:textAlignment w:val="auto"/>
        <w:rPr>
          <w:rFonts w:hint="eastAsia" w:ascii="黑体" w:hAnsi="黑体" w:eastAsia="黑体" w:cs="黑体"/>
          <w:b w:val="0"/>
          <w:bCs/>
          <w:sz w:val="32"/>
          <w:szCs w:val="32"/>
        </w:rPr>
      </w:pPr>
      <w:r>
        <w:rPr>
          <w:rFonts w:hint="eastAsia" w:ascii="黑体" w:hAnsi="黑体" w:eastAsia="黑体" w:cs="黑体"/>
          <w:b w:val="0"/>
          <w:bCs/>
          <w:sz w:val="32"/>
          <w:szCs w:val="32"/>
        </w:rPr>
        <w:t>第一章</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总</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 xml:space="preserve">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则</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第一条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lang w:val="en"/>
        </w:rPr>
        <w:t xml:space="preserve"> </w:t>
      </w:r>
      <w:r>
        <w:rPr>
          <w:rFonts w:hint="eastAsia" w:ascii="仿宋" w:hAnsi="仿宋" w:eastAsia="仿宋" w:cs="仿宋"/>
          <w:b w:val="0"/>
          <w:bCs/>
          <w:spacing w:val="0"/>
          <w:sz w:val="32"/>
          <w:szCs w:val="32"/>
        </w:rPr>
        <w:t>为深入贯彻落实习近平生态文明思想</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筑牢我国北方重要生态安全屏障，建设美丽内蒙古，坚持以铸牢中华民族共同体意识为工作主线，推动自治区生态环境损害赔偿工作规范化</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根据相关法律法规及政策文件精神</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结合自治区实际</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制定本规定。</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第二条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自治区行政区域内生态环境损害赔偿案件初步核查与调查、生态环境损害鉴定评估、赔偿磋商、修复及监督管理等工作</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适用本规定。</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第三条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生态环境损害赔偿工作应当坚持依法推进、鼓励创新、环境有价、损害担责、主动磋商、司法保障、信息共享、公众监督的原则。</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第四条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本规定所称生态环境损害</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是指因污染环境、破坏生态造成大气、地表水、地下水、土壤、森林、草原、沙漠、湿地等环境要素和植物、动物、微生物等生物要素的不利改变</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以及上述要素构成的生态系统功能退化。</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生态环境损害赔偿范围包括：</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（一）生态环境受到损害至</w:t>
      </w:r>
      <w:r>
        <w:rPr>
          <w:rFonts w:hint="eastAsia" w:ascii="仿宋" w:hAnsi="仿宋" w:eastAsia="仿宋" w:cs="仿宋"/>
          <w:b w:val="0"/>
          <w:bCs/>
          <w:spacing w:val="-6"/>
          <w:sz w:val="32"/>
          <w:szCs w:val="32"/>
        </w:rPr>
        <w:t>修复完成期间服务功能丧失导致的</w:t>
      </w:r>
      <w:r>
        <w:rPr>
          <w:rFonts w:hint="eastAsia" w:ascii="仿宋" w:hAnsi="仿宋" w:eastAsia="仿宋" w:cs="仿宋"/>
          <w:b w:val="0"/>
          <w:bCs/>
          <w:spacing w:val="0"/>
          <w:sz w:val="32"/>
          <w:szCs w:val="32"/>
        </w:rPr>
        <w:t>损失；</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（二）生态环境功能永久性损害造成的损失；</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（三）生态环境损害调查、鉴定评估等费用；</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（四）清除污染、修复生态环境费用；</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（五）防止损害的发生和扩大所支出的合理费用。</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第五条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自治区人民政府，</w:t>
      </w:r>
      <w:r>
        <w:rPr>
          <w:rFonts w:hint="eastAsia" w:ascii="仿宋" w:hAnsi="仿宋" w:eastAsia="仿宋" w:cs="仿宋"/>
          <w:b w:val="0"/>
          <w:bCs/>
          <w:spacing w:val="0"/>
          <w:sz w:val="32"/>
          <w:szCs w:val="32"/>
          <w:lang w:eastAsia="zh-CN"/>
        </w:rPr>
        <w:t>各</w:t>
      </w:r>
      <w:r>
        <w:rPr>
          <w:rFonts w:hint="eastAsia" w:ascii="仿宋" w:hAnsi="仿宋" w:eastAsia="仿宋" w:cs="仿宋"/>
          <w:b w:val="0"/>
          <w:bCs/>
          <w:spacing w:val="0"/>
          <w:sz w:val="32"/>
          <w:szCs w:val="32"/>
        </w:rPr>
        <w:t>盟行政公署、市人民政府为本行政区域内生态环境损害赔偿权利人。</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62"/>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跨省</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区、市</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的生态环境损害，由自治区人民政府商相关省级人民政府开展生态环境损害赔偿工作；在全国有重大影响或者自治区内跨盟市的生态环境损害，由自治区人民政府管辖；其他生态环境损害，由损害后果发生地的盟行政公署、市人民政府管辖。</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赔偿权利人可以指定生态环境、</w:t>
      </w:r>
      <w:r>
        <w:rPr>
          <w:rFonts w:hint="eastAsia" w:ascii="仿宋" w:hAnsi="仿宋" w:eastAsia="仿宋" w:cs="仿宋"/>
          <w:b w:val="0"/>
          <w:bCs/>
          <w:spacing w:val="6"/>
          <w:sz w:val="32"/>
          <w:szCs w:val="32"/>
        </w:rPr>
        <w:t>自然资源、住房城乡建设、</w:t>
      </w:r>
      <w:r>
        <w:rPr>
          <w:rFonts w:hint="eastAsia" w:ascii="仿宋" w:hAnsi="仿宋" w:eastAsia="仿宋" w:cs="仿宋"/>
          <w:b w:val="0"/>
          <w:bCs/>
          <w:spacing w:val="0"/>
          <w:sz w:val="32"/>
          <w:szCs w:val="32"/>
        </w:rPr>
        <w:t>水利、农牧、林草等部门或机构负责其职能职责范围内的生态环境损害赔偿具体工作。赔偿权利人应当以文书形式书面指定开展生态环境损害赔偿具体工作的部门或机构，同时授权签署赔偿工作相关法律文书。</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生态环境损害赔偿案件涉及</w:t>
      </w:r>
      <w:r>
        <w:rPr>
          <w:rFonts w:hint="eastAsia" w:ascii="仿宋" w:hAnsi="仿宋" w:eastAsia="仿宋" w:cs="仿宋"/>
          <w:b w:val="0"/>
          <w:bCs/>
          <w:spacing w:val="0"/>
          <w:sz w:val="32"/>
          <w:szCs w:val="32"/>
          <w:lang w:val="en-US" w:eastAsia="zh-CN"/>
        </w:rPr>
        <w:t>2</w:t>
      </w:r>
      <w:r>
        <w:rPr>
          <w:rFonts w:hint="eastAsia" w:ascii="仿宋" w:hAnsi="仿宋" w:eastAsia="仿宋" w:cs="仿宋"/>
          <w:b w:val="0"/>
          <w:bCs/>
          <w:spacing w:val="0"/>
          <w:sz w:val="32"/>
          <w:szCs w:val="32"/>
        </w:rPr>
        <w:t>个或者</w:t>
      </w:r>
      <w:r>
        <w:rPr>
          <w:rFonts w:hint="eastAsia" w:ascii="仿宋" w:hAnsi="仿宋" w:eastAsia="仿宋" w:cs="仿宋"/>
          <w:b w:val="0"/>
          <w:bCs/>
          <w:spacing w:val="0"/>
          <w:sz w:val="32"/>
          <w:szCs w:val="32"/>
          <w:lang w:val="en-US" w:eastAsia="zh-CN"/>
        </w:rPr>
        <w:t>2</w:t>
      </w:r>
      <w:r>
        <w:rPr>
          <w:rFonts w:hint="eastAsia" w:ascii="仿宋" w:hAnsi="仿宋" w:eastAsia="仿宋" w:cs="仿宋"/>
          <w:b w:val="0"/>
          <w:bCs/>
          <w:spacing w:val="0"/>
          <w:sz w:val="32"/>
          <w:szCs w:val="32"/>
        </w:rPr>
        <w:t>个以上部门或机构的，由同级人民政府指定的牵头部门或机构负责生态环境损害赔偿工作，其他相关部门或机构应当予以配合，也可以指定由生态环境损害赔偿制度改革工作牵头部门负责具体工作。</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赔偿权利人及其指定的部门或机构开展以下工作：</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 xml:space="preserve">（一）定期组织筛查案件线索，及时启动案件办理程序； </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（二）委托鉴定评估，开展索赔磋商和作为原告提起诉讼；</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（三）引导赔偿义务人自行</w:t>
      </w:r>
      <w:r>
        <w:rPr>
          <w:rFonts w:hint="eastAsia" w:ascii="仿宋" w:hAnsi="仿宋" w:eastAsia="仿宋" w:cs="仿宋"/>
          <w:b w:val="0"/>
          <w:bCs/>
          <w:spacing w:val="-6"/>
          <w:sz w:val="32"/>
          <w:szCs w:val="32"/>
        </w:rPr>
        <w:t>或委托社会第三方机构修复受损生</w:t>
      </w:r>
      <w:r>
        <w:rPr>
          <w:rFonts w:hint="eastAsia" w:ascii="仿宋" w:hAnsi="仿宋" w:eastAsia="仿宋" w:cs="仿宋"/>
          <w:b w:val="0"/>
          <w:bCs/>
          <w:spacing w:val="0"/>
          <w:sz w:val="32"/>
          <w:szCs w:val="32"/>
        </w:rPr>
        <w:t>态环境，或者根据国家有关规定组织开展修复或替代修复；</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（四）组织对生态环境修复效果进行评估；</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（五）其他相关工作。</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第六条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生态环境部门负责辖区内本部门管辖的行政处罚案件、突发环境事件、因</w:t>
      </w:r>
      <w:r>
        <w:rPr>
          <w:rFonts w:hint="eastAsia" w:ascii="仿宋" w:hAnsi="仿宋" w:eastAsia="仿宋" w:cs="仿宋"/>
          <w:b w:val="0"/>
          <w:bCs/>
          <w:color w:val="auto"/>
          <w:spacing w:val="0"/>
          <w:sz w:val="32"/>
          <w:szCs w:val="32"/>
        </w:rPr>
        <w:t>违法</w:t>
      </w:r>
      <w:r>
        <w:rPr>
          <w:rFonts w:hint="eastAsia" w:ascii="仿宋" w:hAnsi="仿宋" w:eastAsia="仿宋" w:cs="仿宋"/>
          <w:b w:val="0"/>
          <w:bCs/>
          <w:color w:val="auto"/>
          <w:spacing w:val="0"/>
          <w:sz w:val="32"/>
          <w:szCs w:val="32"/>
          <w:lang w:eastAsia="zh-CN"/>
        </w:rPr>
        <w:t>违规</w:t>
      </w:r>
      <w:r>
        <w:rPr>
          <w:rFonts w:hint="eastAsia" w:ascii="仿宋" w:hAnsi="仿宋" w:eastAsia="仿宋" w:cs="仿宋"/>
          <w:b w:val="0"/>
          <w:bCs/>
          <w:color w:val="auto"/>
          <w:spacing w:val="0"/>
          <w:sz w:val="32"/>
          <w:szCs w:val="32"/>
        </w:rPr>
        <w:t>排污造成</w:t>
      </w:r>
      <w:r>
        <w:rPr>
          <w:rFonts w:hint="eastAsia" w:ascii="仿宋" w:hAnsi="仿宋" w:eastAsia="仿宋" w:cs="仿宋"/>
          <w:b w:val="0"/>
          <w:bCs/>
          <w:color w:val="auto"/>
          <w:spacing w:val="0"/>
          <w:sz w:val="32"/>
          <w:szCs w:val="32"/>
          <w:lang w:eastAsia="zh-CN"/>
        </w:rPr>
        <w:t>的</w:t>
      </w:r>
      <w:r>
        <w:rPr>
          <w:rFonts w:hint="eastAsia" w:ascii="仿宋" w:hAnsi="仿宋" w:eastAsia="仿宋" w:cs="仿宋"/>
          <w:b w:val="0"/>
          <w:bCs/>
          <w:color w:val="auto"/>
          <w:spacing w:val="0"/>
          <w:sz w:val="32"/>
          <w:szCs w:val="32"/>
        </w:rPr>
        <w:t>环境污染或生态破坏等生态环境损害赔偿；自然资源部门负责辖区内本部门管辖的违法</w:t>
      </w:r>
      <w:r>
        <w:rPr>
          <w:rFonts w:hint="eastAsia" w:ascii="仿宋" w:hAnsi="仿宋" w:eastAsia="仿宋" w:cs="仿宋"/>
          <w:b w:val="0"/>
          <w:bCs/>
          <w:color w:val="auto"/>
          <w:spacing w:val="0"/>
          <w:sz w:val="32"/>
          <w:szCs w:val="32"/>
          <w:lang w:eastAsia="zh-CN"/>
        </w:rPr>
        <w:t>违规</w:t>
      </w:r>
      <w:r>
        <w:rPr>
          <w:rFonts w:hint="eastAsia" w:ascii="仿宋" w:hAnsi="仿宋" w:eastAsia="仿宋" w:cs="仿宋"/>
          <w:b w:val="0"/>
          <w:bCs/>
          <w:color w:val="auto"/>
          <w:spacing w:val="0"/>
          <w:sz w:val="32"/>
          <w:szCs w:val="32"/>
        </w:rPr>
        <w:t>占用耕地、土地资源破坏等行政处罚案件以及违法开采矿产资源造成的生态破坏等生态环境损害赔偿；住房城乡建设部门负责辖区内本部门管辖的行政处罚案件</w:t>
      </w:r>
      <w:r>
        <w:rPr>
          <w:rFonts w:hint="eastAsia" w:ascii="仿宋" w:hAnsi="仿宋" w:eastAsia="仿宋" w:cs="仿宋"/>
          <w:b w:val="0"/>
          <w:bCs/>
          <w:color w:val="auto"/>
          <w:spacing w:val="0"/>
          <w:sz w:val="32"/>
          <w:szCs w:val="32"/>
          <w:lang w:eastAsia="zh-CN"/>
        </w:rPr>
        <w:t>，</w:t>
      </w:r>
      <w:r>
        <w:rPr>
          <w:rFonts w:hint="eastAsia" w:ascii="仿宋" w:hAnsi="仿宋" w:eastAsia="仿宋" w:cs="仿宋"/>
          <w:b w:val="0"/>
          <w:bCs/>
          <w:color w:val="auto"/>
          <w:spacing w:val="0"/>
          <w:sz w:val="32"/>
          <w:szCs w:val="32"/>
        </w:rPr>
        <w:t>违法</w:t>
      </w:r>
      <w:r>
        <w:rPr>
          <w:rFonts w:hint="eastAsia" w:ascii="仿宋" w:hAnsi="仿宋" w:eastAsia="仿宋" w:cs="仿宋"/>
          <w:b w:val="0"/>
          <w:bCs/>
          <w:color w:val="auto"/>
          <w:spacing w:val="0"/>
          <w:sz w:val="32"/>
          <w:szCs w:val="32"/>
          <w:lang w:eastAsia="zh-CN"/>
        </w:rPr>
        <w:t>违规</w:t>
      </w:r>
      <w:r>
        <w:rPr>
          <w:rFonts w:hint="eastAsia" w:ascii="仿宋" w:hAnsi="仿宋" w:eastAsia="仿宋" w:cs="仿宋"/>
          <w:b w:val="0"/>
          <w:bCs/>
          <w:color w:val="auto"/>
          <w:spacing w:val="0"/>
          <w:sz w:val="32"/>
          <w:szCs w:val="32"/>
        </w:rPr>
        <w:t>倾倒生活垃圾、建筑垃圾</w:t>
      </w:r>
      <w:r>
        <w:rPr>
          <w:rFonts w:hint="eastAsia" w:ascii="仿宋" w:hAnsi="仿宋" w:eastAsia="仿宋" w:cs="仿宋"/>
          <w:b w:val="0"/>
          <w:bCs/>
          <w:color w:val="auto"/>
          <w:spacing w:val="0"/>
          <w:sz w:val="32"/>
          <w:szCs w:val="32"/>
          <w:lang w:eastAsia="zh-CN"/>
        </w:rPr>
        <w:t>，</w:t>
      </w:r>
      <w:r>
        <w:rPr>
          <w:rFonts w:hint="eastAsia" w:ascii="仿宋" w:hAnsi="仿宋" w:eastAsia="仿宋" w:cs="仿宋"/>
          <w:b w:val="0"/>
          <w:bCs/>
          <w:spacing w:val="0"/>
          <w:sz w:val="32"/>
          <w:szCs w:val="32"/>
        </w:rPr>
        <w:t>城镇生活污水污染环境和破坏城镇园林绿地等生态环境损害赔偿；水利部门负责辖区内本部门管辖的行政处罚</w:t>
      </w:r>
      <w:r>
        <w:rPr>
          <w:rFonts w:hint="eastAsia" w:ascii="仿宋" w:hAnsi="仿宋" w:eastAsia="仿宋" w:cs="仿宋"/>
          <w:b w:val="0"/>
          <w:bCs/>
          <w:color w:val="auto"/>
          <w:spacing w:val="0"/>
          <w:sz w:val="32"/>
          <w:szCs w:val="32"/>
        </w:rPr>
        <w:t>案件</w:t>
      </w:r>
      <w:r>
        <w:rPr>
          <w:rFonts w:hint="eastAsia" w:ascii="仿宋" w:hAnsi="仿宋" w:eastAsia="仿宋" w:cs="仿宋"/>
          <w:b w:val="0"/>
          <w:bCs/>
          <w:color w:val="auto"/>
          <w:spacing w:val="0"/>
          <w:sz w:val="32"/>
          <w:szCs w:val="32"/>
          <w:lang w:eastAsia="zh-CN"/>
        </w:rPr>
        <w:t>，</w:t>
      </w:r>
      <w:r>
        <w:rPr>
          <w:rFonts w:hint="eastAsia" w:ascii="仿宋" w:hAnsi="仿宋" w:eastAsia="仿宋" w:cs="仿宋"/>
          <w:b w:val="0"/>
          <w:bCs/>
          <w:color w:val="auto"/>
          <w:spacing w:val="0"/>
          <w:sz w:val="32"/>
          <w:szCs w:val="32"/>
        </w:rPr>
        <w:t>在河道、湖库管理范围内非法采砂</w:t>
      </w:r>
      <w:r>
        <w:rPr>
          <w:rFonts w:hint="eastAsia" w:ascii="仿宋" w:hAnsi="仿宋" w:eastAsia="仿宋" w:cs="仿宋"/>
          <w:b w:val="0"/>
          <w:bCs/>
          <w:color w:val="auto"/>
          <w:spacing w:val="0"/>
          <w:sz w:val="32"/>
          <w:szCs w:val="32"/>
          <w:lang w:eastAsia="zh-CN"/>
        </w:rPr>
        <w:t>，</w:t>
      </w:r>
      <w:r>
        <w:rPr>
          <w:rFonts w:hint="eastAsia" w:ascii="仿宋" w:hAnsi="仿宋" w:eastAsia="仿宋" w:cs="仿宋"/>
          <w:b w:val="0"/>
          <w:bCs/>
          <w:color w:val="auto"/>
          <w:spacing w:val="0"/>
          <w:sz w:val="32"/>
          <w:szCs w:val="32"/>
        </w:rPr>
        <w:t>违规取用水资源</w:t>
      </w:r>
      <w:r>
        <w:rPr>
          <w:rFonts w:hint="eastAsia" w:ascii="仿宋" w:hAnsi="仿宋" w:eastAsia="仿宋" w:cs="仿宋"/>
          <w:b w:val="0"/>
          <w:bCs/>
          <w:color w:val="auto"/>
          <w:spacing w:val="0"/>
          <w:sz w:val="32"/>
          <w:szCs w:val="32"/>
          <w:lang w:eastAsia="zh-CN"/>
        </w:rPr>
        <w:t>，违法</w:t>
      </w:r>
      <w:r>
        <w:rPr>
          <w:rFonts w:hint="eastAsia" w:ascii="仿宋" w:hAnsi="仿宋" w:eastAsia="仿宋" w:cs="仿宋"/>
          <w:b w:val="0"/>
          <w:bCs/>
          <w:color w:val="auto"/>
          <w:spacing w:val="0"/>
          <w:sz w:val="32"/>
          <w:szCs w:val="32"/>
        </w:rPr>
        <w:t>违规造成人为水土流失危害等生态环境损害赔偿</w:t>
      </w:r>
      <w:r>
        <w:rPr>
          <w:rFonts w:hint="eastAsia" w:ascii="仿宋" w:hAnsi="仿宋" w:eastAsia="仿宋" w:cs="仿宋"/>
          <w:b w:val="0"/>
          <w:bCs/>
          <w:spacing w:val="0"/>
          <w:sz w:val="32"/>
          <w:szCs w:val="32"/>
        </w:rPr>
        <w:t>；农牧部门负责辖区内本部门管辖的</w:t>
      </w:r>
      <w:r>
        <w:rPr>
          <w:rFonts w:hint="eastAsia" w:ascii="仿宋" w:hAnsi="仿宋" w:eastAsia="仿宋" w:cs="仿宋"/>
          <w:b w:val="0"/>
          <w:bCs/>
          <w:color w:val="auto"/>
          <w:spacing w:val="0"/>
          <w:sz w:val="32"/>
          <w:szCs w:val="32"/>
        </w:rPr>
        <w:t>行政处罚案件、水生野生动物保护、破坏渔业资源、未按规定无害化处理养殖环节染疫畜禽和病害畜禽养殖废弃物、农村村民非法在耕地上建住宅、未按照规定及时回收肥料农药等农业投入品的包装废弃物和农用薄膜等案件</w:t>
      </w:r>
      <w:r>
        <w:rPr>
          <w:rFonts w:hint="eastAsia" w:ascii="仿宋" w:hAnsi="仿宋" w:eastAsia="仿宋" w:cs="仿宋"/>
          <w:b w:val="0"/>
          <w:bCs/>
          <w:spacing w:val="0"/>
          <w:sz w:val="32"/>
          <w:szCs w:val="32"/>
        </w:rPr>
        <w:t>引发的生态环境损害赔偿；林草部门负责辖区内本部门管辖的</w:t>
      </w:r>
      <w:r>
        <w:rPr>
          <w:rFonts w:hint="eastAsia" w:ascii="仿宋" w:hAnsi="仿宋" w:eastAsia="仿宋" w:cs="仿宋"/>
          <w:b w:val="0"/>
          <w:bCs/>
          <w:color w:val="auto"/>
          <w:spacing w:val="0"/>
          <w:sz w:val="32"/>
          <w:szCs w:val="32"/>
        </w:rPr>
        <w:t>行政处罚案件</w:t>
      </w:r>
      <w:r>
        <w:rPr>
          <w:rFonts w:hint="eastAsia" w:ascii="仿宋" w:hAnsi="仿宋" w:eastAsia="仿宋" w:cs="仿宋"/>
          <w:b w:val="0"/>
          <w:bCs/>
          <w:color w:val="auto"/>
          <w:spacing w:val="0"/>
          <w:sz w:val="32"/>
          <w:szCs w:val="32"/>
          <w:lang w:eastAsia="zh-CN"/>
        </w:rPr>
        <w:t>，</w:t>
      </w:r>
      <w:r>
        <w:rPr>
          <w:rFonts w:hint="eastAsia" w:ascii="仿宋" w:hAnsi="仿宋" w:eastAsia="仿宋" w:cs="仿宋"/>
          <w:b w:val="0"/>
          <w:bCs/>
          <w:color w:val="auto"/>
          <w:spacing w:val="0"/>
          <w:sz w:val="32"/>
          <w:szCs w:val="32"/>
        </w:rPr>
        <w:t>自然保护地内发生的环境污染、生态破坏行为，违法</w:t>
      </w:r>
      <w:r>
        <w:rPr>
          <w:rFonts w:hint="eastAsia" w:ascii="仿宋" w:hAnsi="仿宋" w:eastAsia="仿宋" w:cs="仿宋"/>
          <w:b w:val="0"/>
          <w:bCs/>
          <w:color w:val="auto"/>
          <w:spacing w:val="0"/>
          <w:sz w:val="32"/>
          <w:szCs w:val="32"/>
          <w:lang w:eastAsia="zh-CN"/>
        </w:rPr>
        <w:t>违规</w:t>
      </w:r>
      <w:r>
        <w:rPr>
          <w:rFonts w:hint="eastAsia" w:ascii="仿宋" w:hAnsi="仿宋" w:eastAsia="仿宋" w:cs="仿宋"/>
          <w:b w:val="0"/>
          <w:bCs/>
          <w:color w:val="auto"/>
          <w:spacing w:val="0"/>
          <w:sz w:val="32"/>
          <w:szCs w:val="32"/>
        </w:rPr>
        <w:t>破坏林地、草地、湿地及盗伐、滥伐林木等生态破坏行为，以及盗猎（采）濒危陆生野生动植物等生态环</w:t>
      </w:r>
      <w:r>
        <w:rPr>
          <w:rFonts w:hint="eastAsia" w:ascii="仿宋" w:hAnsi="仿宋" w:eastAsia="仿宋" w:cs="仿宋"/>
          <w:b w:val="0"/>
          <w:bCs/>
          <w:spacing w:val="0"/>
          <w:sz w:val="32"/>
          <w:szCs w:val="32"/>
        </w:rPr>
        <w:t>境损害赔偿；科技部门负责指导有关生态环境损害与修复技术研究工作；公安</w:t>
      </w:r>
      <w:r>
        <w:rPr>
          <w:rFonts w:hint="eastAsia" w:ascii="仿宋" w:hAnsi="仿宋" w:eastAsia="仿宋" w:cs="仿宋"/>
          <w:b w:val="0"/>
          <w:bCs/>
          <w:color w:val="auto"/>
          <w:spacing w:val="0"/>
          <w:sz w:val="32"/>
          <w:szCs w:val="32"/>
          <w:lang w:eastAsia="zh-CN"/>
        </w:rPr>
        <w:t>机关</w:t>
      </w:r>
      <w:r>
        <w:rPr>
          <w:rFonts w:hint="eastAsia" w:ascii="仿宋" w:hAnsi="仿宋" w:eastAsia="仿宋" w:cs="仿宋"/>
          <w:b w:val="0"/>
          <w:bCs/>
          <w:spacing w:val="0"/>
          <w:sz w:val="32"/>
          <w:szCs w:val="32"/>
        </w:rPr>
        <w:t>负责指导办理涉及生态环境损害的刑事案件，开展案件线索梳理，将办理刑事案件中发现的涉嫌破坏生态环境的案件线索移交</w:t>
      </w:r>
      <w:r>
        <w:rPr>
          <w:rFonts w:hint="eastAsia" w:ascii="仿宋" w:hAnsi="仿宋" w:eastAsia="仿宋" w:cs="仿宋"/>
          <w:b w:val="0"/>
          <w:bCs/>
          <w:color w:val="auto"/>
          <w:spacing w:val="0"/>
          <w:sz w:val="32"/>
          <w:szCs w:val="32"/>
          <w:lang w:eastAsia="zh-CN"/>
        </w:rPr>
        <w:t>有</w:t>
      </w:r>
      <w:r>
        <w:rPr>
          <w:rFonts w:hint="eastAsia" w:ascii="仿宋" w:hAnsi="仿宋" w:eastAsia="仿宋" w:cs="仿宋"/>
          <w:b w:val="0"/>
          <w:bCs/>
          <w:color w:val="auto"/>
          <w:spacing w:val="0"/>
          <w:sz w:val="32"/>
          <w:szCs w:val="32"/>
        </w:rPr>
        <w:t>关部门</w:t>
      </w:r>
      <w:r>
        <w:rPr>
          <w:rFonts w:hint="eastAsia" w:ascii="仿宋" w:hAnsi="仿宋" w:eastAsia="仿宋" w:cs="仿宋"/>
          <w:b w:val="0"/>
          <w:bCs/>
          <w:color w:val="auto"/>
          <w:spacing w:val="0"/>
          <w:sz w:val="32"/>
          <w:szCs w:val="32"/>
          <w:lang w:eastAsia="zh-CN"/>
        </w:rPr>
        <w:t>或机构</w:t>
      </w:r>
      <w:r>
        <w:rPr>
          <w:rFonts w:hint="eastAsia" w:ascii="仿宋" w:hAnsi="仿宋" w:eastAsia="仿宋" w:cs="仿宋"/>
          <w:b w:val="0"/>
          <w:bCs/>
          <w:color w:val="auto"/>
          <w:spacing w:val="0"/>
          <w:sz w:val="32"/>
          <w:szCs w:val="32"/>
        </w:rPr>
        <w:t>开展损害赔偿，支持有关部门</w:t>
      </w:r>
      <w:r>
        <w:rPr>
          <w:rFonts w:hint="eastAsia" w:ascii="仿宋" w:hAnsi="仿宋" w:eastAsia="仿宋" w:cs="仿宋"/>
          <w:b w:val="0"/>
          <w:bCs/>
          <w:color w:val="auto"/>
          <w:spacing w:val="0"/>
          <w:sz w:val="32"/>
          <w:szCs w:val="32"/>
          <w:lang w:eastAsia="zh-CN"/>
        </w:rPr>
        <w:t>或机构</w:t>
      </w:r>
      <w:r>
        <w:rPr>
          <w:rFonts w:hint="eastAsia" w:ascii="仿宋" w:hAnsi="仿宋" w:eastAsia="仿宋" w:cs="仿宋"/>
          <w:b w:val="0"/>
          <w:bCs/>
          <w:color w:val="auto"/>
          <w:spacing w:val="0"/>
          <w:sz w:val="32"/>
          <w:szCs w:val="32"/>
        </w:rPr>
        <w:t>办理涉嫌破坏环</w:t>
      </w:r>
      <w:r>
        <w:rPr>
          <w:rFonts w:hint="eastAsia" w:ascii="仿宋" w:hAnsi="仿宋" w:eastAsia="仿宋" w:cs="仿宋"/>
          <w:b w:val="0"/>
          <w:bCs/>
          <w:spacing w:val="0"/>
          <w:sz w:val="32"/>
          <w:szCs w:val="32"/>
        </w:rPr>
        <w:t>境资源保护犯罪案件的生态环境损害赔偿的调查等工作；</w:t>
      </w:r>
      <w:r>
        <w:rPr>
          <w:rFonts w:hint="eastAsia" w:ascii="仿宋" w:hAnsi="仿宋" w:eastAsia="仿宋" w:cs="仿宋"/>
          <w:b w:val="0"/>
          <w:bCs/>
          <w:color w:val="auto"/>
          <w:spacing w:val="0"/>
          <w:sz w:val="32"/>
          <w:szCs w:val="32"/>
          <w:u w:val="none"/>
        </w:rPr>
        <w:t>司法行政部门</w:t>
      </w:r>
      <w:r>
        <w:rPr>
          <w:rFonts w:hint="eastAsia" w:ascii="仿宋" w:hAnsi="仿宋" w:eastAsia="仿宋" w:cs="仿宋"/>
          <w:b w:val="0"/>
          <w:bCs/>
          <w:color w:val="auto"/>
          <w:spacing w:val="0"/>
          <w:sz w:val="32"/>
          <w:szCs w:val="32"/>
        </w:rPr>
        <w:t>负责有关环境损害司法鉴定管理工作；财政部门负责指导</w:t>
      </w:r>
      <w:r>
        <w:rPr>
          <w:rFonts w:hint="eastAsia" w:ascii="仿宋" w:hAnsi="仿宋" w:eastAsia="仿宋" w:cs="仿宋"/>
          <w:b w:val="0"/>
          <w:bCs/>
          <w:spacing w:val="0"/>
          <w:sz w:val="32"/>
          <w:szCs w:val="32"/>
        </w:rPr>
        <w:t>有关生态环境损害赔偿资金管理工作；卫生健康部门会同生态环境部门开展环境健康问题调查研究、环境与健康综合监测与风险评估；市场监管部门配合有关部</w:t>
      </w:r>
      <w:r>
        <w:rPr>
          <w:rFonts w:hint="eastAsia" w:ascii="仿宋" w:hAnsi="仿宋" w:eastAsia="仿宋" w:cs="仿宋"/>
          <w:b w:val="0"/>
          <w:bCs/>
          <w:color w:val="auto"/>
          <w:spacing w:val="0"/>
          <w:sz w:val="32"/>
          <w:szCs w:val="32"/>
        </w:rPr>
        <w:t>门</w:t>
      </w:r>
      <w:r>
        <w:rPr>
          <w:rFonts w:hint="eastAsia" w:ascii="仿宋" w:hAnsi="仿宋" w:eastAsia="仿宋" w:cs="仿宋"/>
          <w:b w:val="0"/>
          <w:bCs/>
          <w:color w:val="auto"/>
          <w:spacing w:val="0"/>
          <w:sz w:val="32"/>
          <w:szCs w:val="32"/>
          <w:lang w:eastAsia="zh-CN"/>
        </w:rPr>
        <w:t>或机构</w:t>
      </w:r>
      <w:r>
        <w:rPr>
          <w:rFonts w:hint="eastAsia" w:ascii="仿宋" w:hAnsi="仿宋" w:eastAsia="仿宋" w:cs="仿宋"/>
          <w:b w:val="0"/>
          <w:bCs/>
          <w:color w:val="auto"/>
          <w:spacing w:val="0"/>
          <w:sz w:val="32"/>
          <w:szCs w:val="32"/>
        </w:rPr>
        <w:t>开展生</w:t>
      </w:r>
      <w:r>
        <w:rPr>
          <w:rFonts w:hint="eastAsia" w:ascii="仿宋" w:hAnsi="仿宋" w:eastAsia="仿宋" w:cs="仿宋"/>
          <w:b w:val="0"/>
          <w:bCs/>
          <w:spacing w:val="0"/>
          <w:sz w:val="32"/>
          <w:szCs w:val="32"/>
        </w:rPr>
        <w:t>态环境损害鉴定评估相关的计量工作。</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自治区高级人民法院负责指导和审理生态环境损害赔偿诉讼案件；指导生态环境损害赔偿协议的司法确认工作。自治区人民检察院负责指导生态环境损害赔偿案件的检察工作，做好检察机关提起环境民事公益诉讼和行政机关办理的生态环境损害赔偿案件之间的衔接；支持行政机关办理生态环境损害赔偿的磋商或诉讼；对不履行生态环境损害赔偿工作职责的行政机关开展行政公益诉讼。</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各盟行政公署、市人民政府可根据地方工作实际，对职责分工进行调整。</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第七条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违反</w:t>
      </w:r>
      <w:r>
        <w:rPr>
          <w:rFonts w:hint="eastAsia" w:ascii="仿宋" w:hAnsi="仿宋" w:eastAsia="仿宋" w:cs="仿宋"/>
          <w:b w:val="0"/>
          <w:bCs/>
          <w:spacing w:val="0"/>
          <w:sz w:val="32"/>
          <w:szCs w:val="32"/>
          <w:u w:val="none"/>
        </w:rPr>
        <w:t>法律法规造</w:t>
      </w:r>
      <w:r>
        <w:rPr>
          <w:rFonts w:hint="eastAsia" w:ascii="仿宋" w:hAnsi="仿宋" w:eastAsia="仿宋" w:cs="仿宋"/>
          <w:b w:val="0"/>
          <w:bCs/>
          <w:spacing w:val="0"/>
          <w:sz w:val="32"/>
          <w:szCs w:val="32"/>
        </w:rPr>
        <w:t>成生态环境损害的单位或个人为生态环境损害赔偿义务人，应当按照法律法规的要求和范围，承担</w:t>
      </w:r>
      <w:r>
        <w:rPr>
          <w:rFonts w:hint="eastAsia" w:ascii="仿宋" w:hAnsi="仿宋" w:eastAsia="仿宋" w:cs="仿宋"/>
          <w:b w:val="0"/>
          <w:bCs/>
          <w:spacing w:val="6"/>
          <w:sz w:val="32"/>
          <w:szCs w:val="32"/>
        </w:rPr>
        <w:t>生态环境损害赔偿责任。民事法律和资源环境保护</w:t>
      </w:r>
      <w:r>
        <w:rPr>
          <w:rFonts w:hint="eastAsia" w:ascii="仿宋" w:hAnsi="仿宋" w:eastAsia="仿宋" w:cs="仿宋"/>
          <w:b w:val="0"/>
          <w:bCs/>
          <w:color w:val="auto"/>
          <w:spacing w:val="6"/>
          <w:sz w:val="32"/>
          <w:szCs w:val="32"/>
        </w:rPr>
        <w:t>等法律</w:t>
      </w:r>
      <w:r>
        <w:rPr>
          <w:rFonts w:hint="eastAsia" w:ascii="仿宋" w:hAnsi="仿宋" w:eastAsia="仿宋" w:cs="仿宋"/>
          <w:b w:val="0"/>
          <w:bCs/>
          <w:color w:val="auto"/>
          <w:spacing w:val="6"/>
          <w:sz w:val="32"/>
          <w:szCs w:val="32"/>
          <w:lang w:eastAsia="zh-CN"/>
        </w:rPr>
        <w:t>法规</w:t>
      </w:r>
      <w:r>
        <w:rPr>
          <w:rFonts w:hint="eastAsia" w:ascii="仿宋" w:hAnsi="仿宋" w:eastAsia="仿宋" w:cs="仿宋"/>
          <w:b w:val="0"/>
          <w:bCs/>
          <w:color w:val="auto"/>
          <w:spacing w:val="6"/>
          <w:sz w:val="32"/>
          <w:szCs w:val="32"/>
        </w:rPr>
        <w:t>有</w:t>
      </w:r>
      <w:r>
        <w:rPr>
          <w:rFonts w:hint="eastAsia" w:ascii="仿宋" w:hAnsi="仿宋" w:eastAsia="仿宋" w:cs="仿宋"/>
          <w:b w:val="0"/>
          <w:bCs/>
          <w:spacing w:val="6"/>
          <w:sz w:val="32"/>
          <w:szCs w:val="32"/>
        </w:rPr>
        <w:t>相关免除或者减轻生态环境损害赔偿责任规定的，按相应规定执</w:t>
      </w:r>
      <w:r>
        <w:rPr>
          <w:rFonts w:hint="eastAsia" w:ascii="仿宋" w:hAnsi="仿宋" w:eastAsia="仿宋" w:cs="仿宋"/>
          <w:b w:val="0"/>
          <w:bCs/>
          <w:spacing w:val="0"/>
          <w:sz w:val="32"/>
          <w:szCs w:val="32"/>
        </w:rPr>
        <w:t>行。</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第八条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生态环境损害赔偿磋商，是指生态环境损害发生后，赔偿权利人及其指定的部门或机构与赔偿义务人根据生态环境损害鉴定意见、评估报告、专家意见或者行政机关综合认定，就修复方式、启动时间与期限、赔偿的责任承担方式与期限等具体问题进行的平等协商。统筹考虑修复方案技术可行性、成本效益最优化、赔偿义务人赔偿能力、第三方治理可行性等情况，达成赔偿协议。</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第九条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生态环境损害赔偿案件赔偿资金的使用、管理按照财政部门相关规定执行。</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第十条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赔偿权利人及其指定的部门或机构应当建立生态环境损害赔偿案件档案</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包括调查材料、鉴定意见或评估报告、赔偿协议、修复工作等有关案件办理情况。档案材料应当一案一卷，长期保存。</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第十一条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赔偿权利人及其指定的部门或机构应当加强相互之间以及与司法机关的沟通联系，建立信息共享和线索筛查、移送机制。</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赔偿权利人及其指定的部门或机构应当及时将生态环境损害赔偿案件进展情况录入生态环境损害赔偿改革进展报送系统。</w:t>
      </w:r>
    </w:p>
    <w:p>
      <w:pPr>
        <w:pStyle w:val="8"/>
        <w:keepNext w:val="0"/>
        <w:keepLines w:val="0"/>
        <w:pageBreakBefore w:val="0"/>
        <w:widowControl w:val="0"/>
        <w:kinsoku/>
        <w:wordWrap/>
        <w:overflowPunct/>
        <w:topLinePunct/>
        <w:autoSpaceDE/>
        <w:autoSpaceDN/>
        <w:bidi w:val="0"/>
        <w:adjustRightInd w:val="0"/>
        <w:snapToGrid w:val="0"/>
        <w:spacing w:before="313" w:beforeLines="100" w:beforeAutospacing="0" w:after="313" w:afterLines="100" w:afterAutospacing="0" w:line="580" w:lineRule="exact"/>
        <w:jc w:val="center"/>
        <w:textAlignment w:val="auto"/>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第二章</w:t>
      </w:r>
      <w:r>
        <w:rPr>
          <w:rFonts w:hint="eastAsia" w:ascii="黑体" w:hAnsi="黑体" w:eastAsia="黑体" w:cs="黑体"/>
          <w:b w:val="0"/>
          <w:bCs/>
          <w:spacing w:val="0"/>
          <w:sz w:val="32"/>
          <w:szCs w:val="32"/>
          <w:lang w:val="en-US" w:eastAsia="zh-CN"/>
        </w:rPr>
        <w:t xml:space="preserve">  </w:t>
      </w:r>
      <w:r>
        <w:rPr>
          <w:rFonts w:hint="eastAsia" w:ascii="黑体" w:hAnsi="黑体" w:eastAsia="黑体" w:cs="黑体"/>
          <w:b w:val="0"/>
          <w:bCs/>
          <w:spacing w:val="0"/>
          <w:sz w:val="32"/>
          <w:szCs w:val="32"/>
        </w:rPr>
        <w:t>生态环境损害初步核查与调查</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color w:val="auto"/>
          <w:spacing w:val="0"/>
          <w:sz w:val="32"/>
          <w:szCs w:val="32"/>
        </w:rPr>
      </w:pPr>
      <w:r>
        <w:rPr>
          <w:rFonts w:hint="eastAsia" w:ascii="黑体" w:hAnsi="黑体" w:eastAsia="黑体" w:cs="黑体"/>
          <w:b w:val="0"/>
          <w:bCs/>
          <w:spacing w:val="0"/>
          <w:sz w:val="32"/>
          <w:szCs w:val="32"/>
        </w:rPr>
        <w:t>第十二条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赔偿权利人及其指定的部门或机构在处置或者办理以下案件、事项时，应当在完成生态环境损害初步核查工作后，确定是否启动生态环境损害索赔工作，并按照生态环境损害赔偿线索筛查要求，将案件作为生态环境损害赔偿线索</w:t>
      </w:r>
      <w:r>
        <w:rPr>
          <w:rFonts w:hint="eastAsia" w:ascii="仿宋" w:hAnsi="仿宋" w:eastAsia="仿宋" w:cs="仿宋"/>
          <w:b w:val="0"/>
          <w:bCs/>
          <w:color w:val="auto"/>
          <w:spacing w:val="0"/>
          <w:sz w:val="32"/>
          <w:szCs w:val="32"/>
        </w:rPr>
        <w:t>送</w:t>
      </w:r>
      <w:r>
        <w:rPr>
          <w:rFonts w:hint="eastAsia" w:ascii="仿宋" w:hAnsi="仿宋" w:eastAsia="仿宋" w:cs="仿宋"/>
          <w:b w:val="0"/>
          <w:bCs/>
          <w:color w:val="auto"/>
          <w:spacing w:val="0"/>
          <w:sz w:val="32"/>
          <w:szCs w:val="32"/>
          <w:lang w:eastAsia="zh-CN"/>
        </w:rPr>
        <w:t>本</w:t>
      </w:r>
      <w:r>
        <w:rPr>
          <w:rFonts w:hint="eastAsia" w:ascii="仿宋" w:hAnsi="仿宋" w:eastAsia="仿宋" w:cs="仿宋"/>
          <w:b w:val="0"/>
          <w:bCs/>
          <w:color w:val="auto"/>
          <w:spacing w:val="0"/>
          <w:sz w:val="32"/>
          <w:szCs w:val="32"/>
        </w:rPr>
        <w:t>级生态环境部门</w:t>
      </w:r>
      <w:r>
        <w:rPr>
          <w:rFonts w:hint="eastAsia" w:ascii="仿宋" w:hAnsi="仿宋" w:eastAsia="仿宋" w:cs="仿宋"/>
          <w:b w:val="0"/>
          <w:bCs/>
          <w:color w:val="auto"/>
          <w:spacing w:val="0"/>
          <w:sz w:val="32"/>
          <w:szCs w:val="32"/>
          <w:lang w:eastAsia="zh-CN"/>
        </w:rPr>
        <w:t>汇总</w:t>
      </w:r>
      <w:r>
        <w:rPr>
          <w:rFonts w:hint="eastAsia" w:ascii="仿宋" w:hAnsi="仿宋" w:eastAsia="仿宋" w:cs="仿宋"/>
          <w:b w:val="0"/>
          <w:bCs/>
          <w:color w:val="auto"/>
          <w:spacing w:val="0"/>
          <w:sz w:val="32"/>
          <w:szCs w:val="32"/>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（一）中央和自治区生态环境保护督察发现的案件线索</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（二）突发生态环境事件</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（三）发生生态环境损害的资源与环境行政处罚案件</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（四）涉嫌构成破坏环境资源保护犯罪的案件</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（五）在生态保护红线等禁</w:t>
      </w:r>
      <w:r>
        <w:rPr>
          <w:rFonts w:hint="eastAsia" w:ascii="仿宋" w:hAnsi="仿宋" w:eastAsia="仿宋" w:cs="仿宋"/>
          <w:b w:val="0"/>
          <w:bCs/>
          <w:spacing w:val="-6"/>
          <w:sz w:val="32"/>
          <w:szCs w:val="32"/>
        </w:rPr>
        <w:t>止开发区域、国家和自治区级国土</w:t>
      </w:r>
      <w:r>
        <w:rPr>
          <w:rFonts w:hint="eastAsia" w:ascii="仿宋" w:hAnsi="仿宋" w:eastAsia="仿宋" w:cs="仿宋"/>
          <w:b w:val="0"/>
          <w:bCs/>
          <w:spacing w:val="6"/>
          <w:sz w:val="32"/>
          <w:szCs w:val="32"/>
        </w:rPr>
        <w:t>空间规划中确定的重点生态功能区发生的环境污染、生态破坏事件；</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（六）日常监管、</w:t>
      </w:r>
      <w:r>
        <w:rPr>
          <w:rFonts w:hint="eastAsia" w:ascii="仿宋" w:hAnsi="仿宋" w:eastAsia="仿宋" w:cs="仿宋"/>
          <w:b w:val="0"/>
          <w:bCs/>
          <w:spacing w:val="-6"/>
          <w:sz w:val="32"/>
          <w:szCs w:val="32"/>
        </w:rPr>
        <w:t>执法巡查、各项资源与环境专项行动发现的</w:t>
      </w:r>
      <w:r>
        <w:rPr>
          <w:rFonts w:hint="eastAsia" w:ascii="仿宋" w:hAnsi="仿宋" w:eastAsia="仿宋" w:cs="仿宋"/>
          <w:b w:val="0"/>
          <w:bCs/>
          <w:spacing w:val="0"/>
          <w:sz w:val="32"/>
          <w:szCs w:val="32"/>
        </w:rPr>
        <w:t>案件线索</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（七）信访投诉、举报和媒体曝光涉及的案件线索；</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567"/>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（八）上级机关交办的案件线索；</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567"/>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（九）检察机关移送的案件线索；</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567"/>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（十）赔偿权利人确定的其他线索渠道。</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通过行政执法、诉讼等其他途径，已经实现生态环境损害修复的案件，不纳入线索筛查范围。</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6"/>
          <w:sz w:val="32"/>
          <w:szCs w:val="32"/>
        </w:rPr>
      </w:pPr>
      <w:r>
        <w:rPr>
          <w:rFonts w:hint="eastAsia" w:ascii="黑体" w:hAnsi="黑体" w:eastAsia="黑体" w:cs="黑体"/>
          <w:b w:val="0"/>
          <w:bCs/>
          <w:spacing w:val="0"/>
          <w:sz w:val="32"/>
          <w:szCs w:val="32"/>
        </w:rPr>
        <w:t>第十三条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6"/>
          <w:sz w:val="32"/>
          <w:szCs w:val="32"/>
        </w:rPr>
        <w:t>赔偿权利人及其指定的部门或机构应当组织筛查生态环境损害赔偿案件线索，并建立案件办</w:t>
      </w:r>
      <w:r>
        <w:rPr>
          <w:rFonts w:hint="eastAsia" w:ascii="仿宋" w:hAnsi="仿宋" w:eastAsia="仿宋" w:cs="仿宋"/>
          <w:b w:val="0"/>
          <w:bCs/>
          <w:color w:val="auto"/>
          <w:spacing w:val="6"/>
          <w:sz w:val="32"/>
          <w:szCs w:val="32"/>
        </w:rPr>
        <w:t>理</w:t>
      </w:r>
      <w:r>
        <w:rPr>
          <w:rFonts w:hint="eastAsia" w:ascii="仿宋" w:hAnsi="仿宋" w:eastAsia="仿宋" w:cs="仿宋"/>
          <w:b w:val="0"/>
          <w:bCs/>
          <w:color w:val="auto"/>
          <w:spacing w:val="6"/>
          <w:sz w:val="32"/>
          <w:szCs w:val="32"/>
          <w:lang w:eastAsia="zh-CN"/>
        </w:rPr>
        <w:t>清单</w:t>
      </w:r>
      <w:r>
        <w:rPr>
          <w:rFonts w:hint="eastAsia" w:ascii="仿宋" w:hAnsi="仿宋" w:eastAsia="仿宋" w:cs="仿宋"/>
          <w:b w:val="0"/>
          <w:bCs/>
          <w:color w:val="auto"/>
          <w:spacing w:val="6"/>
          <w:sz w:val="32"/>
          <w:szCs w:val="32"/>
        </w:rPr>
        <w:t>，</w:t>
      </w:r>
      <w:r>
        <w:rPr>
          <w:rFonts w:hint="eastAsia" w:ascii="仿宋" w:hAnsi="仿宋" w:eastAsia="仿宋" w:cs="仿宋"/>
          <w:b w:val="0"/>
          <w:bCs/>
          <w:spacing w:val="6"/>
          <w:sz w:val="32"/>
          <w:szCs w:val="32"/>
        </w:rPr>
        <w:t>实行跟踪管理。</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自治区、盟市级生态环境部门发挥牵头指导作用，统筹推进本</w:t>
      </w:r>
      <w:r>
        <w:rPr>
          <w:rFonts w:hint="eastAsia" w:ascii="仿宋" w:hAnsi="仿宋" w:eastAsia="仿宋" w:cs="仿宋"/>
          <w:b w:val="0"/>
          <w:bCs/>
          <w:color w:val="auto"/>
          <w:spacing w:val="0"/>
          <w:sz w:val="32"/>
          <w:szCs w:val="32"/>
          <w:lang w:eastAsia="zh-CN"/>
        </w:rPr>
        <w:t>行政</w:t>
      </w:r>
      <w:r>
        <w:rPr>
          <w:rFonts w:hint="eastAsia" w:ascii="仿宋" w:hAnsi="仿宋" w:eastAsia="仿宋" w:cs="仿宋"/>
          <w:b w:val="0"/>
          <w:bCs/>
          <w:color w:val="auto"/>
          <w:spacing w:val="0"/>
          <w:sz w:val="32"/>
          <w:szCs w:val="32"/>
        </w:rPr>
        <w:t>区</w:t>
      </w:r>
      <w:r>
        <w:rPr>
          <w:rFonts w:hint="eastAsia" w:ascii="仿宋" w:hAnsi="仿宋" w:eastAsia="仿宋" w:cs="仿宋"/>
          <w:b w:val="0"/>
          <w:bCs/>
          <w:spacing w:val="0"/>
          <w:sz w:val="32"/>
          <w:szCs w:val="32"/>
        </w:rPr>
        <w:t>域</w:t>
      </w:r>
      <w:r>
        <w:rPr>
          <w:rFonts w:hint="eastAsia" w:ascii="仿宋" w:hAnsi="仿宋" w:eastAsia="仿宋" w:cs="仿宋"/>
          <w:b w:val="0"/>
          <w:bCs/>
          <w:spacing w:val="0"/>
          <w:sz w:val="32"/>
          <w:szCs w:val="32"/>
          <w:lang w:eastAsia="zh-CN"/>
        </w:rPr>
        <w:t>内</w:t>
      </w:r>
      <w:r>
        <w:rPr>
          <w:rFonts w:hint="eastAsia" w:ascii="仿宋" w:hAnsi="仿宋" w:eastAsia="仿宋" w:cs="仿宋"/>
          <w:b w:val="0"/>
          <w:bCs/>
          <w:spacing w:val="0"/>
          <w:sz w:val="32"/>
          <w:szCs w:val="32"/>
        </w:rPr>
        <w:t>线索筛查整体工作，定期汇总分析线索筛查情况和有关工作进展，并做好信息共享。</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color w:val="FF0000"/>
          <w:spacing w:val="0"/>
          <w:sz w:val="32"/>
          <w:szCs w:val="32"/>
        </w:rPr>
      </w:pPr>
      <w:r>
        <w:rPr>
          <w:rFonts w:hint="eastAsia" w:ascii="黑体" w:hAnsi="黑体" w:eastAsia="黑体" w:cs="黑体"/>
          <w:b w:val="0"/>
          <w:bCs/>
          <w:spacing w:val="0"/>
          <w:sz w:val="32"/>
          <w:szCs w:val="32"/>
        </w:rPr>
        <w:t>第十四条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赔偿权利人及其指定的部门或机构在发现或者接到生态环境损害赔偿案件线索后，应当在</w:t>
      </w:r>
      <w:r>
        <w:rPr>
          <w:rFonts w:hint="eastAsia" w:ascii="仿宋" w:hAnsi="仿宋" w:eastAsia="仿宋" w:cs="仿宋"/>
          <w:b w:val="0"/>
          <w:bCs/>
          <w:spacing w:val="0"/>
          <w:sz w:val="32"/>
          <w:szCs w:val="32"/>
          <w:lang w:val="en-US" w:eastAsia="zh-CN"/>
        </w:rPr>
        <w:t>30</w:t>
      </w:r>
      <w:r>
        <w:rPr>
          <w:rFonts w:hint="eastAsia" w:ascii="仿宋" w:hAnsi="仿宋" w:eastAsia="仿宋" w:cs="仿宋"/>
          <w:b w:val="0"/>
          <w:bCs/>
          <w:spacing w:val="0"/>
          <w:sz w:val="32"/>
          <w:szCs w:val="32"/>
        </w:rPr>
        <w:t>日内就是否造成生态环境损害开展初步核查，可以同时告知相关人民法院和检察机关。对已造成生态环境损害的，应当及时立案启动索赔程序。</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第十五条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6"/>
          <w:sz w:val="32"/>
          <w:szCs w:val="32"/>
        </w:rPr>
        <w:t>经过初步核查发现需要启动生态环境损害赔偿的</w:t>
      </w:r>
      <w:r>
        <w:rPr>
          <w:rFonts w:hint="eastAsia" w:ascii="仿宋" w:hAnsi="仿宋" w:eastAsia="仿宋" w:cs="仿宋"/>
          <w:b w:val="0"/>
          <w:bCs/>
          <w:spacing w:val="6"/>
          <w:sz w:val="32"/>
          <w:szCs w:val="32"/>
          <w:lang w:eastAsia="zh-CN"/>
        </w:rPr>
        <w:t>，</w:t>
      </w:r>
      <w:r>
        <w:rPr>
          <w:rFonts w:hint="eastAsia" w:ascii="仿宋" w:hAnsi="仿宋" w:eastAsia="仿宋" w:cs="仿宋"/>
          <w:b w:val="0"/>
          <w:bCs/>
          <w:spacing w:val="6"/>
          <w:sz w:val="32"/>
          <w:szCs w:val="32"/>
        </w:rPr>
        <w:t>赔偿权利人及其</w:t>
      </w:r>
      <w:r>
        <w:rPr>
          <w:rFonts w:hint="eastAsia" w:ascii="仿宋" w:hAnsi="仿宋" w:eastAsia="仿宋" w:cs="仿宋"/>
          <w:b w:val="0"/>
          <w:bCs/>
          <w:color w:val="auto"/>
          <w:spacing w:val="6"/>
          <w:sz w:val="32"/>
          <w:szCs w:val="32"/>
        </w:rPr>
        <w:t>指定的部门或机构报请负责人同意后予以</w:t>
      </w:r>
      <w:r>
        <w:rPr>
          <w:rFonts w:hint="eastAsia" w:ascii="仿宋" w:hAnsi="仿宋" w:eastAsia="仿宋" w:cs="仿宋"/>
          <w:b w:val="0"/>
          <w:bCs/>
          <w:spacing w:val="6"/>
          <w:sz w:val="32"/>
          <w:szCs w:val="32"/>
        </w:rPr>
        <w:t>立案。</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color w:val="FF0000"/>
          <w:spacing w:val="0"/>
          <w:sz w:val="32"/>
          <w:szCs w:val="32"/>
          <w:u w:val="single"/>
          <w:lang w:eastAsia="zh-CN"/>
        </w:rPr>
      </w:pPr>
      <w:r>
        <w:rPr>
          <w:rFonts w:hint="eastAsia" w:ascii="仿宋" w:hAnsi="仿宋" w:eastAsia="仿宋" w:cs="仿宋"/>
          <w:b w:val="0"/>
          <w:bCs/>
          <w:spacing w:val="0"/>
          <w:sz w:val="32"/>
          <w:szCs w:val="32"/>
        </w:rPr>
        <w:t>经过初步核查，存在以下情形之一的，赔偿权利人及其指定的部门或机构可以不启动索赔程序</w:t>
      </w:r>
      <w:r>
        <w:rPr>
          <w:rFonts w:hint="eastAsia" w:ascii="仿宋" w:hAnsi="仿宋" w:eastAsia="仿宋" w:cs="仿宋"/>
          <w:b w:val="0"/>
          <w:bCs/>
          <w:color w:val="auto"/>
          <w:spacing w:val="0"/>
          <w:sz w:val="32"/>
          <w:szCs w:val="32"/>
          <w:u w:val="none"/>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（一）赔偿义务人已经履行赔偿义务的；</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（二）人民法院已就</w:t>
      </w:r>
      <w:r>
        <w:rPr>
          <w:rFonts w:hint="eastAsia" w:ascii="仿宋" w:hAnsi="仿宋" w:eastAsia="仿宋" w:cs="仿宋"/>
          <w:b w:val="0"/>
          <w:bCs/>
          <w:spacing w:val="-6"/>
          <w:sz w:val="32"/>
          <w:szCs w:val="32"/>
        </w:rPr>
        <w:t>同一生态环境损害形成生效裁判文书，赔</w:t>
      </w:r>
      <w:r>
        <w:rPr>
          <w:rFonts w:hint="eastAsia" w:ascii="仿宋" w:hAnsi="仿宋" w:eastAsia="仿宋" w:cs="仿宋"/>
          <w:b w:val="0"/>
          <w:bCs/>
          <w:spacing w:val="0"/>
          <w:sz w:val="32"/>
          <w:szCs w:val="32"/>
        </w:rPr>
        <w:t>偿权利人的索赔请求已被得到支持的诉讼请求所全部涵盖的；</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（三）环境污染或者</w:t>
      </w:r>
      <w:r>
        <w:rPr>
          <w:rFonts w:hint="eastAsia" w:ascii="仿宋" w:hAnsi="仿宋" w:eastAsia="仿宋" w:cs="仿宋"/>
          <w:b w:val="0"/>
          <w:bCs/>
          <w:spacing w:val="-6"/>
          <w:sz w:val="32"/>
          <w:szCs w:val="32"/>
        </w:rPr>
        <w:t>生态破坏行为造成的生态环境损害显著轻</w:t>
      </w:r>
      <w:r>
        <w:rPr>
          <w:rFonts w:hint="eastAsia" w:ascii="仿宋" w:hAnsi="仿宋" w:eastAsia="仿宋" w:cs="仿宋"/>
          <w:b w:val="0"/>
          <w:bCs/>
          <w:spacing w:val="0"/>
          <w:sz w:val="32"/>
          <w:szCs w:val="32"/>
        </w:rPr>
        <w:t>微，且不需要赔偿的；</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（四）承担赔偿义务的</w:t>
      </w:r>
      <w:r>
        <w:rPr>
          <w:rFonts w:hint="eastAsia" w:ascii="仿宋" w:hAnsi="仿宋" w:eastAsia="仿宋" w:cs="仿宋"/>
          <w:b w:val="0"/>
          <w:bCs/>
          <w:spacing w:val="-6"/>
          <w:sz w:val="32"/>
          <w:szCs w:val="32"/>
        </w:rPr>
        <w:t>法人终止、非法人组织解散或者自然人</w:t>
      </w:r>
      <w:r>
        <w:rPr>
          <w:rFonts w:hint="eastAsia" w:ascii="仿宋" w:hAnsi="仿宋" w:eastAsia="仿宋" w:cs="仿宋"/>
          <w:b w:val="0"/>
          <w:bCs/>
          <w:spacing w:val="0"/>
          <w:sz w:val="32"/>
          <w:szCs w:val="32"/>
        </w:rPr>
        <w:t>死亡，且无财产可供执行的；</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（五）赔偿义务人依法持证排污，符合国家规定的；</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（六）其他可以不启动索赔程序的情形。</w:t>
      </w:r>
    </w:p>
    <w:p>
      <w:pPr>
        <w:pStyle w:val="8"/>
        <w:keepNext w:val="0"/>
        <w:keepLines w:val="0"/>
        <w:pageBreakBefore w:val="0"/>
        <w:widowControl w:val="0"/>
        <w:shd w:val="clear" w:color="auto" w:fill="auto"/>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color w:val="auto"/>
          <w:spacing w:val="6"/>
          <w:sz w:val="32"/>
          <w:szCs w:val="32"/>
        </w:rPr>
      </w:pPr>
      <w:r>
        <w:rPr>
          <w:rFonts w:hint="eastAsia" w:ascii="仿宋" w:hAnsi="仿宋" w:eastAsia="仿宋" w:cs="仿宋"/>
          <w:b w:val="0"/>
          <w:bCs/>
          <w:color w:val="auto"/>
          <w:spacing w:val="6"/>
          <w:sz w:val="32"/>
          <w:szCs w:val="32"/>
          <w:u w:val="none"/>
        </w:rPr>
        <w:t>对于不需要启动生态环境损害赔偿的</w:t>
      </w:r>
      <w:r>
        <w:rPr>
          <w:rFonts w:hint="eastAsia" w:ascii="仿宋" w:hAnsi="仿宋" w:eastAsia="仿宋" w:cs="仿宋"/>
          <w:b w:val="0"/>
          <w:bCs/>
          <w:color w:val="auto"/>
          <w:spacing w:val="6"/>
          <w:sz w:val="32"/>
          <w:szCs w:val="32"/>
          <w:u w:val="none"/>
          <w:lang w:eastAsia="zh-CN"/>
        </w:rPr>
        <w:t>，</w:t>
      </w:r>
      <w:r>
        <w:rPr>
          <w:rFonts w:hint="eastAsia" w:ascii="仿宋" w:hAnsi="仿宋" w:eastAsia="仿宋" w:cs="仿宋"/>
          <w:b w:val="0"/>
          <w:bCs/>
          <w:color w:val="auto"/>
          <w:spacing w:val="6"/>
          <w:sz w:val="32"/>
          <w:szCs w:val="32"/>
          <w:u w:val="none"/>
        </w:rPr>
        <w:t>赔偿权利人及其指定的部门或机构应当明确不予立案的理由和意见</w:t>
      </w:r>
      <w:r>
        <w:rPr>
          <w:rFonts w:hint="eastAsia" w:ascii="仿宋" w:hAnsi="仿宋" w:eastAsia="仿宋" w:cs="仿宋"/>
          <w:b w:val="0"/>
          <w:bCs/>
          <w:color w:val="auto"/>
          <w:spacing w:val="6"/>
          <w:sz w:val="32"/>
          <w:szCs w:val="32"/>
          <w:u w:val="none"/>
          <w:lang w:eastAsia="zh-CN"/>
        </w:rPr>
        <w:t>，</w:t>
      </w:r>
      <w:r>
        <w:rPr>
          <w:rFonts w:hint="eastAsia" w:ascii="仿宋" w:hAnsi="仿宋" w:eastAsia="仿宋" w:cs="仿宋"/>
          <w:b w:val="0"/>
          <w:bCs/>
          <w:color w:val="auto"/>
          <w:spacing w:val="6"/>
          <w:sz w:val="32"/>
          <w:szCs w:val="32"/>
          <w:u w:val="none"/>
        </w:rPr>
        <w:t>报请负责人同意。</w:t>
      </w:r>
    </w:p>
    <w:p>
      <w:pPr>
        <w:pStyle w:val="8"/>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firstLine="640"/>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赔偿权利人及其指定的部门或机构在启动索赔程序后，发现存在以上情形之一的，可以终止索赔程序。</w:t>
      </w:r>
    </w:p>
    <w:p>
      <w:pPr>
        <w:pStyle w:val="8"/>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以上情形中第三项规定的显著轻微案件，在具备以下情形时，应当启动索赔程序：</w:t>
      </w:r>
    </w:p>
    <w:p>
      <w:pPr>
        <w:pStyle w:val="8"/>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6"/>
          <w:sz w:val="32"/>
          <w:szCs w:val="32"/>
        </w:rPr>
      </w:pPr>
      <w:r>
        <w:rPr>
          <w:rFonts w:hint="eastAsia" w:ascii="仿宋" w:hAnsi="仿宋" w:eastAsia="仿宋" w:cs="仿宋"/>
          <w:b w:val="0"/>
          <w:bCs/>
          <w:spacing w:val="0"/>
          <w:sz w:val="32"/>
          <w:szCs w:val="32"/>
          <w:lang w:eastAsia="zh-CN"/>
        </w:rPr>
        <w:t>（一）</w:t>
      </w:r>
      <w:r>
        <w:rPr>
          <w:rFonts w:hint="eastAsia" w:ascii="仿宋" w:hAnsi="仿宋" w:eastAsia="仿宋" w:cs="仿宋"/>
          <w:b w:val="0"/>
          <w:bCs/>
          <w:spacing w:val="0"/>
          <w:sz w:val="32"/>
          <w:szCs w:val="32"/>
        </w:rPr>
        <w:t>损害区域为生态保</w:t>
      </w:r>
      <w:r>
        <w:rPr>
          <w:rFonts w:hint="eastAsia" w:ascii="仿宋" w:hAnsi="仿宋" w:eastAsia="仿宋" w:cs="仿宋"/>
          <w:b w:val="0"/>
          <w:bCs/>
          <w:spacing w:val="-6"/>
          <w:sz w:val="32"/>
          <w:szCs w:val="32"/>
        </w:rPr>
        <w:t>护红线、自然保护地内的案件；</w:t>
      </w:r>
    </w:p>
    <w:p>
      <w:pPr>
        <w:pStyle w:val="8"/>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lang w:eastAsia="zh-CN"/>
        </w:rPr>
        <w:t>（二）</w:t>
      </w:r>
      <w:r>
        <w:rPr>
          <w:rFonts w:hint="eastAsia" w:ascii="仿宋" w:hAnsi="仿宋" w:eastAsia="仿宋" w:cs="仿宋"/>
          <w:b w:val="0"/>
          <w:bCs/>
          <w:spacing w:val="0"/>
          <w:sz w:val="32"/>
          <w:szCs w:val="32"/>
        </w:rPr>
        <w:t>赔偿义务人曾因违法行为造</w:t>
      </w:r>
      <w:r>
        <w:rPr>
          <w:rFonts w:hint="eastAsia" w:ascii="仿宋" w:hAnsi="仿宋" w:eastAsia="仿宋" w:cs="仿宋"/>
          <w:b w:val="0"/>
          <w:bCs/>
          <w:spacing w:val="-6"/>
          <w:sz w:val="32"/>
          <w:szCs w:val="32"/>
        </w:rPr>
        <w:t>成生态环境损害，2年内再</w:t>
      </w:r>
      <w:r>
        <w:rPr>
          <w:rFonts w:hint="eastAsia" w:ascii="仿宋" w:hAnsi="仿宋" w:eastAsia="仿宋" w:cs="仿宋"/>
          <w:b w:val="0"/>
          <w:bCs/>
          <w:spacing w:val="0"/>
          <w:sz w:val="32"/>
          <w:szCs w:val="32"/>
        </w:rPr>
        <w:t>次发生的；</w:t>
      </w:r>
    </w:p>
    <w:p>
      <w:pPr>
        <w:pStyle w:val="8"/>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0"/>
          <w:sz w:val="32"/>
          <w:szCs w:val="32"/>
        </w:rPr>
      </w:pPr>
      <w:r>
        <w:rPr>
          <w:rFonts w:hint="eastAsia" w:ascii="仿宋" w:hAnsi="仿宋" w:eastAsia="仿宋" w:cs="仿宋"/>
          <w:b w:val="0"/>
          <w:bCs/>
          <w:color w:val="auto"/>
          <w:spacing w:val="0"/>
          <w:sz w:val="32"/>
          <w:szCs w:val="32"/>
          <w:lang w:eastAsia="zh-CN"/>
        </w:rPr>
        <w:t>（三）</w:t>
      </w:r>
      <w:r>
        <w:rPr>
          <w:rFonts w:hint="eastAsia" w:ascii="仿宋" w:hAnsi="仿宋" w:eastAsia="仿宋" w:cs="仿宋"/>
          <w:b w:val="0"/>
          <w:bCs/>
          <w:color w:val="auto"/>
          <w:spacing w:val="0"/>
          <w:sz w:val="32"/>
          <w:szCs w:val="32"/>
        </w:rPr>
        <w:t>自治区</w:t>
      </w:r>
      <w:r>
        <w:rPr>
          <w:rFonts w:hint="eastAsia" w:ascii="仿宋" w:hAnsi="仿宋" w:eastAsia="仿宋" w:cs="仿宋"/>
          <w:b w:val="0"/>
          <w:bCs/>
          <w:color w:val="auto"/>
          <w:spacing w:val="0"/>
          <w:sz w:val="32"/>
          <w:szCs w:val="32"/>
          <w:lang w:eastAsia="zh-CN"/>
        </w:rPr>
        <w:t>人民</w:t>
      </w:r>
      <w:r>
        <w:rPr>
          <w:rFonts w:hint="eastAsia" w:ascii="仿宋" w:hAnsi="仿宋" w:eastAsia="仿宋" w:cs="仿宋"/>
          <w:b w:val="0"/>
          <w:bCs/>
          <w:color w:val="auto"/>
          <w:spacing w:val="0"/>
          <w:sz w:val="32"/>
          <w:szCs w:val="32"/>
        </w:rPr>
        <w:t>政府</w:t>
      </w:r>
      <w:r>
        <w:rPr>
          <w:rFonts w:hint="eastAsia" w:ascii="仿宋" w:hAnsi="仿宋" w:eastAsia="仿宋" w:cs="仿宋"/>
          <w:b w:val="0"/>
          <w:bCs/>
          <w:spacing w:val="0"/>
          <w:sz w:val="32"/>
          <w:szCs w:val="32"/>
        </w:rPr>
        <w:t>及其指定的部门或机构认为应当启动索赔的其他情形。</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第十六条</w:t>
      </w:r>
      <w:r>
        <w:rPr>
          <w:rFonts w:hint="eastAsia" w:ascii="黑体" w:hAnsi="黑体" w:eastAsia="黑体" w:cs="黑体"/>
          <w:b w:val="0"/>
          <w:bCs/>
          <w:spacing w:val="0"/>
          <w:sz w:val="32"/>
          <w:szCs w:val="32"/>
          <w:lang w:val="en-US" w:eastAsia="zh-CN"/>
        </w:rPr>
        <w:t xml:space="preserve"> </w:t>
      </w:r>
      <w:r>
        <w:rPr>
          <w:rFonts w:hint="eastAsia" w:ascii="黑体" w:hAnsi="黑体" w:eastAsia="黑体" w:cs="黑体"/>
          <w:b w:val="0"/>
          <w:bCs/>
          <w:spacing w:val="0"/>
          <w:sz w:val="32"/>
          <w:szCs w:val="32"/>
        </w:rPr>
        <w:t xml:space="preserve"> </w:t>
      </w:r>
      <w:r>
        <w:rPr>
          <w:rFonts w:hint="eastAsia" w:ascii="仿宋" w:hAnsi="仿宋" w:eastAsia="仿宋" w:cs="仿宋"/>
          <w:b w:val="0"/>
          <w:bCs/>
          <w:spacing w:val="0"/>
          <w:sz w:val="32"/>
          <w:szCs w:val="32"/>
        </w:rPr>
        <w:t>生态环境损害索赔启动后，赔偿权利人及其指定的部门或机构，应当及时进行损害调查。案件涉及多个部门或机构的，可以由牵头部门组建联合调查组，开展生态环境损害调查。调查可以通过收集现有资料、现场踏勘、座谈走访等方式进行，必要时采取录音、录像、生态环境损害鉴定评估等手段</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围绕生态环境损害是否存在、受损范围、受损程度、是否有相对明确的赔偿义务人、是否可以采用简易评估认定程序等问题开展。调查结束应当形成调查结论，并提出启动索赔磋商或者终止索赔程序的意见。</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负有相关环境资源保护监督管理职责的部门或者其委托的机构在行政执法过程中形成的勘验笔录或询问笔录、调查报告、行政处理决定、检测或监测报告、鉴定意见或鉴定评估报告、生效法律文书等资料可以作为索赔的证明材料。</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6"/>
          <w:sz w:val="32"/>
          <w:szCs w:val="32"/>
        </w:rPr>
      </w:pPr>
      <w:r>
        <w:rPr>
          <w:rFonts w:hint="eastAsia" w:ascii="仿宋" w:hAnsi="仿宋" w:eastAsia="仿宋" w:cs="仿宋"/>
          <w:b w:val="0"/>
          <w:bCs/>
          <w:spacing w:val="6"/>
          <w:sz w:val="32"/>
          <w:szCs w:val="32"/>
        </w:rPr>
        <w:t>公安机关在办理涉嫌破坏环境资源保护犯罪案件时，为查明生态环境损害程度和损害事实，委托相关机构或者专家出具的鉴定意见、鉴定评估报告、专家意见等，可以用于生态环境损害调查。</w:t>
      </w:r>
    </w:p>
    <w:p>
      <w:pPr>
        <w:pStyle w:val="8"/>
        <w:keepNext w:val="0"/>
        <w:keepLines w:val="0"/>
        <w:pageBreakBefore w:val="0"/>
        <w:widowControl w:val="0"/>
        <w:kinsoku/>
        <w:wordWrap/>
        <w:overflowPunct/>
        <w:topLinePunct/>
        <w:autoSpaceDE/>
        <w:autoSpaceDN/>
        <w:bidi w:val="0"/>
        <w:adjustRightInd w:val="0"/>
        <w:snapToGrid w:val="0"/>
        <w:spacing w:before="313" w:beforeLines="100" w:beforeAutospacing="0" w:after="313" w:afterLines="100" w:afterAutospacing="0" w:line="600" w:lineRule="exact"/>
        <w:jc w:val="center"/>
        <w:textAlignment w:val="auto"/>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第三章 生态环境损害鉴定评估</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6"/>
          <w:sz w:val="32"/>
          <w:szCs w:val="32"/>
        </w:rPr>
      </w:pPr>
      <w:r>
        <w:rPr>
          <w:rFonts w:hint="eastAsia" w:ascii="黑体" w:hAnsi="黑体" w:eastAsia="黑体" w:cs="黑体"/>
          <w:b w:val="0"/>
          <w:bCs/>
          <w:spacing w:val="0"/>
          <w:sz w:val="32"/>
          <w:szCs w:val="32"/>
        </w:rPr>
        <w:t>第十七条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6"/>
          <w:sz w:val="32"/>
          <w:szCs w:val="32"/>
        </w:rPr>
        <w:t>赔偿权利人及其指定的部门或机构办理生态环境损害赔偿案件，应当视情形组织开展生态环境损害鉴定评估或简易评估认定。开展生态环境损害鉴定评估的时间不计入办案期限。</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赔偿权利人及其指定的部门或机构可以根据相关规定委托符合条件的环境损害司法鉴定机构或者</w:t>
      </w:r>
      <w:r>
        <w:rPr>
          <w:rFonts w:hint="eastAsia" w:ascii="仿宋" w:hAnsi="仿宋" w:eastAsia="仿宋" w:cs="仿宋"/>
          <w:b w:val="0"/>
          <w:bCs/>
          <w:color w:val="auto"/>
          <w:spacing w:val="0"/>
          <w:sz w:val="32"/>
          <w:szCs w:val="32"/>
        </w:rPr>
        <w:t>国务院生态环境、自然资源、住房城乡建设、水利、农业农村、林草等相关主管部门推荐</w:t>
      </w:r>
      <w:r>
        <w:rPr>
          <w:rFonts w:hint="eastAsia" w:ascii="仿宋" w:hAnsi="仿宋" w:eastAsia="仿宋" w:cs="仿宋"/>
          <w:b w:val="0"/>
          <w:bCs/>
          <w:spacing w:val="0"/>
          <w:sz w:val="32"/>
          <w:szCs w:val="32"/>
        </w:rPr>
        <w:t xml:space="preserve">的机构出具鉴定意见或者鉴定评估报告，也可以与赔偿义务人协商共同委托上述机构出具鉴定意见或者鉴定评估报告。 </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第十八条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鉴定评估委托人应当出具委托书。鉴定评估机构接受委托后，双方签定委托协议，明确鉴定评估的事项、要求、材料提供、办理时限、费用支付等事项。</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第十九条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鉴定评估机构和专家应当根据委托协议约定，按照生态环境损害鉴定评估相关技术标准要求出具鉴定意见、鉴定评估报告或者专家意见，并对出具的鉴定意见、鉴定评估报告或者专家意见负责。</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鉴定评估报告应当明确生态环境损害是否可以修复；对于部分可以修复的，应当明确可以修复的区域范围和要求。</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第二十条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经生态环境损害调查，损害事实简单、责任认定无争议、造成的生态环境不利影响较小、生态环境损害数额不超过30万元（不包括生态环境损害调查、鉴定评估等费用）的案件，可以采用委托专家评估的简易评估方式，由专家按照国家生态环境损害鉴定评估技术标准体系要求出具评估意见，由相关行政机关通过与案件相关的法律文书、监测报告等资料综合作出认定。可以通过类案参考、典型案例评析等方式统一综合认定尺度。简易评估意见应</w:t>
      </w:r>
      <w:r>
        <w:rPr>
          <w:rFonts w:hint="eastAsia" w:ascii="仿宋" w:hAnsi="仿宋" w:eastAsia="仿宋" w:cs="仿宋"/>
          <w:b w:val="0"/>
          <w:bCs/>
          <w:color w:val="auto"/>
          <w:spacing w:val="0"/>
          <w:sz w:val="32"/>
          <w:szCs w:val="32"/>
          <w:lang w:eastAsia="zh-CN"/>
        </w:rPr>
        <w:t>当</w:t>
      </w:r>
      <w:r>
        <w:rPr>
          <w:rFonts w:hint="eastAsia" w:ascii="仿宋" w:hAnsi="仿宋" w:eastAsia="仿宋" w:cs="仿宋"/>
          <w:b w:val="0"/>
          <w:bCs/>
          <w:spacing w:val="0"/>
          <w:sz w:val="32"/>
          <w:szCs w:val="32"/>
        </w:rPr>
        <w:t>不少于3名专家共同出具，专家应当对其意见负责。专家可以从国家和地方成立的相关领域专家库或专家委员会中选取。专家应当具有相关专业知识和生态环境损害鉴定评估相关工作能力，应当依据国家和本地区相关鉴定评估标准开展工作，出具专家意见。</w:t>
      </w:r>
    </w:p>
    <w:p>
      <w:pPr>
        <w:pStyle w:val="8"/>
        <w:keepNext w:val="0"/>
        <w:keepLines w:val="0"/>
        <w:pageBreakBefore w:val="0"/>
        <w:widowControl w:val="0"/>
        <w:kinsoku/>
        <w:wordWrap/>
        <w:overflowPunct/>
        <w:topLinePunct/>
        <w:autoSpaceDE/>
        <w:autoSpaceDN/>
        <w:bidi w:val="0"/>
        <w:adjustRightInd w:val="0"/>
        <w:snapToGrid w:val="0"/>
        <w:spacing w:before="313" w:beforeLines="100" w:beforeAutospacing="0" w:after="313" w:afterLines="100" w:afterAutospacing="0" w:line="580" w:lineRule="exact"/>
        <w:ind w:firstLine="0" w:firstLineChars="0"/>
        <w:jc w:val="center"/>
        <w:textAlignment w:val="auto"/>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第四章 生态环境损害赔偿磋商</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第二十一条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需要启动生态环境修复或损害赔偿的</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赔偿权利人及其指定的部门或机构根据生态环境损害鉴定评估报告或者参考专家意见，按照“谁损害、谁承担修复责任”的原则，就修复方案、修复启动时间和期限、赔偿的责任承担方式和期限等具体问题与赔偿义务人召开磋商会议。案情比较复杂的，在首次磋商前可以组织沟通交流。磋商过程应当依法公开透明。</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6"/>
          <w:sz w:val="32"/>
          <w:szCs w:val="32"/>
          <w:lang w:eastAsia="zh-CN"/>
        </w:rPr>
      </w:pPr>
      <w:r>
        <w:rPr>
          <w:rFonts w:hint="eastAsia" w:ascii="黑体" w:hAnsi="黑体" w:eastAsia="黑体" w:cs="黑体"/>
          <w:b w:val="0"/>
          <w:bCs/>
          <w:spacing w:val="0"/>
          <w:sz w:val="32"/>
          <w:szCs w:val="32"/>
        </w:rPr>
        <w:t>第二十二条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11"/>
          <w:sz w:val="32"/>
          <w:szCs w:val="32"/>
        </w:rPr>
        <w:t>启动生态环境损害赔偿磋商应当具备下列条件</w:t>
      </w:r>
      <w:r>
        <w:rPr>
          <w:rFonts w:hint="eastAsia" w:ascii="仿宋" w:hAnsi="仿宋" w:eastAsia="仿宋" w:cs="仿宋"/>
          <w:b w:val="0"/>
          <w:bCs/>
          <w:spacing w:val="11"/>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（一）发生生态环境损害</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（二）赔偿权利人</w:t>
      </w:r>
      <w:r>
        <w:rPr>
          <w:rFonts w:hint="eastAsia" w:ascii="仿宋" w:hAnsi="仿宋" w:eastAsia="仿宋" w:cs="仿宋"/>
          <w:b w:val="0"/>
          <w:bCs/>
          <w:spacing w:val="-6"/>
          <w:sz w:val="32"/>
          <w:szCs w:val="32"/>
        </w:rPr>
        <w:t>及其指定的部门或机构在合理期限内制作生</w:t>
      </w:r>
      <w:r>
        <w:rPr>
          <w:rFonts w:hint="eastAsia" w:ascii="仿宋" w:hAnsi="仿宋" w:eastAsia="仿宋" w:cs="仿宋"/>
          <w:b w:val="0"/>
          <w:bCs/>
          <w:spacing w:val="0"/>
          <w:sz w:val="32"/>
          <w:szCs w:val="32"/>
        </w:rPr>
        <w:t>态环境损害索赔磋商告知书</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并送达赔偿义务人，赔偿义务人同意磋商</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6"/>
          <w:sz w:val="32"/>
          <w:szCs w:val="32"/>
          <w:lang w:eastAsia="zh-CN"/>
        </w:rPr>
      </w:pPr>
      <w:r>
        <w:rPr>
          <w:rFonts w:hint="eastAsia" w:ascii="仿宋" w:hAnsi="仿宋" w:eastAsia="仿宋" w:cs="仿宋"/>
          <w:b w:val="0"/>
          <w:bCs/>
          <w:spacing w:val="0"/>
          <w:sz w:val="32"/>
          <w:szCs w:val="32"/>
        </w:rPr>
        <w:t>（三）</w:t>
      </w:r>
      <w:r>
        <w:rPr>
          <w:rFonts w:hint="eastAsia" w:ascii="仿宋" w:hAnsi="仿宋" w:eastAsia="仿宋" w:cs="仿宋"/>
          <w:b w:val="0"/>
          <w:bCs/>
          <w:spacing w:val="6"/>
          <w:sz w:val="32"/>
          <w:szCs w:val="32"/>
        </w:rPr>
        <w:t>完成生态</w:t>
      </w:r>
      <w:r>
        <w:rPr>
          <w:rFonts w:hint="eastAsia" w:ascii="仿宋" w:hAnsi="仿宋" w:eastAsia="仿宋" w:cs="仿宋"/>
          <w:b w:val="0"/>
          <w:bCs/>
          <w:spacing w:val="0"/>
          <w:sz w:val="32"/>
          <w:szCs w:val="32"/>
        </w:rPr>
        <w:t>环境损害赔偿案件调查</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生态环境损害事实</w:t>
      </w:r>
      <w:r>
        <w:rPr>
          <w:rFonts w:hint="eastAsia" w:ascii="仿宋" w:hAnsi="仿宋" w:eastAsia="仿宋" w:cs="仿宋"/>
          <w:b w:val="0"/>
          <w:bCs/>
          <w:spacing w:val="6"/>
          <w:sz w:val="32"/>
          <w:szCs w:val="32"/>
        </w:rPr>
        <w:t>明确</w:t>
      </w:r>
      <w:r>
        <w:rPr>
          <w:rFonts w:hint="eastAsia" w:ascii="仿宋" w:hAnsi="仿宋" w:eastAsia="仿宋" w:cs="仿宋"/>
          <w:b w:val="0"/>
          <w:bCs/>
          <w:spacing w:val="6"/>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color w:val="FF0000"/>
          <w:spacing w:val="0"/>
          <w:sz w:val="32"/>
          <w:szCs w:val="32"/>
          <w:lang w:eastAsia="zh-CN"/>
        </w:rPr>
      </w:pPr>
      <w:r>
        <w:rPr>
          <w:rFonts w:hint="eastAsia" w:ascii="仿宋" w:hAnsi="仿宋" w:eastAsia="仿宋" w:cs="仿宋"/>
          <w:b w:val="0"/>
          <w:bCs/>
          <w:spacing w:val="0"/>
          <w:sz w:val="32"/>
          <w:szCs w:val="32"/>
        </w:rPr>
        <w:t>（四）</w:t>
      </w:r>
      <w:r>
        <w:rPr>
          <w:rFonts w:hint="eastAsia" w:ascii="仿宋" w:hAnsi="仿宋" w:eastAsia="仿宋" w:cs="仿宋"/>
          <w:b w:val="0"/>
          <w:bCs/>
          <w:color w:val="auto"/>
          <w:spacing w:val="0"/>
          <w:sz w:val="32"/>
          <w:szCs w:val="32"/>
        </w:rPr>
        <w:t>鉴定评估机构出具生态环境损害鉴定意见、评估报</w:t>
      </w:r>
      <w:r>
        <w:rPr>
          <w:rFonts w:hint="eastAsia" w:ascii="仿宋" w:hAnsi="仿宋" w:eastAsia="仿宋" w:cs="仿宋"/>
          <w:b w:val="0"/>
          <w:bCs/>
          <w:color w:val="auto"/>
          <w:spacing w:val="0"/>
          <w:sz w:val="32"/>
          <w:szCs w:val="32"/>
          <w:u w:val="none"/>
        </w:rPr>
        <w:t>告</w:t>
      </w:r>
      <w:r>
        <w:rPr>
          <w:rFonts w:hint="eastAsia" w:ascii="仿宋" w:hAnsi="仿宋" w:eastAsia="仿宋" w:cs="仿宋"/>
          <w:b w:val="0"/>
          <w:bCs/>
          <w:color w:val="auto"/>
          <w:spacing w:val="0"/>
          <w:sz w:val="32"/>
          <w:szCs w:val="32"/>
          <w:u w:val="none"/>
          <w:lang w:eastAsia="zh-CN"/>
        </w:rPr>
        <w:t>，</w:t>
      </w:r>
      <w:r>
        <w:rPr>
          <w:rFonts w:hint="eastAsia" w:ascii="仿宋" w:hAnsi="仿宋" w:eastAsia="仿宋" w:cs="仿宋"/>
          <w:b w:val="0"/>
          <w:bCs/>
          <w:color w:val="auto"/>
          <w:spacing w:val="0"/>
          <w:sz w:val="32"/>
          <w:szCs w:val="32"/>
        </w:rPr>
        <w:t>或者鉴定评估专家组出具意见</w:t>
      </w:r>
      <w:r>
        <w:rPr>
          <w:rFonts w:hint="eastAsia" w:ascii="仿宋" w:hAnsi="仿宋" w:eastAsia="仿宋" w:cs="仿宋"/>
          <w:b w:val="0"/>
          <w:bCs/>
          <w:color w:val="auto"/>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（五）法律、法规等规定的其他条件。</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第二十三条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赔偿义务人应当在收到磋商告知书之日起5个工作日内提出是否承认赔偿义务人身份、是否同意磋商的答复意见，有合理合法理由的除外。</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第二十四条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赔偿义务人可以委托律师处理磋商相关事宜。</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赔偿义务人委托律师代理的，应当向赔偿权利人及其指定的部门或机构提交委托代理证明。</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第二十五条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磋商会议由赔偿权利人及其指定的部门或机构组织召开。</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赔偿权利人及其指定的部门或机构可以通知生态环境损害鉴定评估机构或者评估专家组派员参加磋商会议。</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48"/>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赔偿权利人及其指定的部门或机构可以邀请同级检察机关参加磋商会议，为磋商提供法律支持。</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color w:val="auto"/>
          <w:spacing w:val="0"/>
          <w:sz w:val="32"/>
          <w:szCs w:val="32"/>
        </w:rPr>
      </w:pPr>
      <w:r>
        <w:rPr>
          <w:rFonts w:hint="eastAsia" w:ascii="仿宋" w:hAnsi="仿宋" w:eastAsia="仿宋" w:cs="仿宋"/>
          <w:b w:val="0"/>
          <w:bCs/>
          <w:spacing w:val="0"/>
          <w:sz w:val="32"/>
          <w:szCs w:val="32"/>
        </w:rPr>
        <w:t>磋商会议可以邀请负有生态环境保护职责的部门或机构</w:t>
      </w:r>
      <w:r>
        <w:rPr>
          <w:rFonts w:hint="eastAsia" w:ascii="仿宋" w:hAnsi="仿宋" w:eastAsia="仿宋" w:cs="仿宋"/>
          <w:b w:val="0"/>
          <w:bCs/>
          <w:color w:val="auto"/>
          <w:spacing w:val="0"/>
          <w:sz w:val="32"/>
          <w:szCs w:val="32"/>
        </w:rPr>
        <w:t>、司法</w:t>
      </w:r>
      <w:r>
        <w:rPr>
          <w:rFonts w:hint="eastAsia" w:ascii="仿宋" w:hAnsi="仿宋" w:eastAsia="仿宋" w:cs="仿宋"/>
          <w:b w:val="0"/>
          <w:bCs/>
          <w:color w:val="auto"/>
          <w:spacing w:val="0"/>
          <w:sz w:val="32"/>
          <w:szCs w:val="32"/>
          <w:lang w:eastAsia="zh-CN"/>
        </w:rPr>
        <w:t>行政部门</w:t>
      </w:r>
      <w:r>
        <w:rPr>
          <w:rFonts w:hint="eastAsia" w:ascii="仿宋" w:hAnsi="仿宋" w:eastAsia="仿宋" w:cs="仿宋"/>
          <w:b w:val="0"/>
          <w:bCs/>
          <w:color w:val="auto"/>
          <w:spacing w:val="0"/>
          <w:sz w:val="32"/>
          <w:szCs w:val="32"/>
        </w:rPr>
        <w:t>、相关领域专家、法律专家、律师等参加。</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黑体" w:hAnsi="黑体" w:eastAsia="黑体" w:cs="黑体"/>
          <w:b w:val="0"/>
          <w:bCs/>
          <w:spacing w:val="0"/>
          <w:sz w:val="32"/>
          <w:szCs w:val="32"/>
        </w:rPr>
        <w:t>第二十六条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磋商会议按下列程序进行</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（一）核对参会人员的身份和到会情况</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（二）会议主持人宣布会</w:t>
      </w:r>
      <w:r>
        <w:rPr>
          <w:rFonts w:hint="eastAsia" w:ascii="仿宋" w:hAnsi="仿宋" w:eastAsia="仿宋" w:cs="仿宋"/>
          <w:b w:val="0"/>
          <w:bCs/>
          <w:spacing w:val="-6"/>
          <w:sz w:val="32"/>
          <w:szCs w:val="32"/>
        </w:rPr>
        <w:t>议纪律和注意事项</w:t>
      </w:r>
      <w:r>
        <w:rPr>
          <w:rFonts w:hint="eastAsia" w:ascii="仿宋" w:hAnsi="仿宋" w:eastAsia="仿宋" w:cs="仿宋"/>
          <w:b w:val="0"/>
          <w:bCs/>
          <w:spacing w:val="-6"/>
          <w:sz w:val="32"/>
          <w:szCs w:val="32"/>
          <w:lang w:eastAsia="zh-CN"/>
        </w:rPr>
        <w:t>，</w:t>
      </w:r>
      <w:r>
        <w:rPr>
          <w:rFonts w:hint="eastAsia" w:ascii="仿宋" w:hAnsi="仿宋" w:eastAsia="仿宋" w:cs="仿宋"/>
          <w:b w:val="0"/>
          <w:bCs/>
          <w:spacing w:val="-6"/>
          <w:sz w:val="32"/>
          <w:szCs w:val="32"/>
        </w:rPr>
        <w:t>告知会议参加人</w:t>
      </w:r>
      <w:r>
        <w:rPr>
          <w:rFonts w:hint="eastAsia" w:ascii="仿宋" w:hAnsi="仿宋" w:eastAsia="仿宋" w:cs="仿宋"/>
          <w:b w:val="0"/>
          <w:bCs/>
          <w:spacing w:val="0"/>
          <w:sz w:val="32"/>
          <w:szCs w:val="32"/>
        </w:rPr>
        <w:t>员的权利和义务</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（三）赔偿权利人及其指定的部</w:t>
      </w:r>
      <w:r>
        <w:rPr>
          <w:rFonts w:hint="eastAsia" w:ascii="仿宋" w:hAnsi="仿宋" w:eastAsia="仿宋" w:cs="仿宋"/>
          <w:b w:val="0"/>
          <w:bCs/>
          <w:spacing w:val="-6"/>
          <w:sz w:val="32"/>
          <w:szCs w:val="32"/>
        </w:rPr>
        <w:t>门或机构就生态环境损害赔偿</w:t>
      </w:r>
      <w:r>
        <w:rPr>
          <w:rFonts w:hint="eastAsia" w:ascii="仿宋" w:hAnsi="仿宋" w:eastAsia="仿宋" w:cs="仿宋"/>
          <w:b w:val="0"/>
          <w:bCs/>
          <w:spacing w:val="0"/>
          <w:sz w:val="32"/>
          <w:szCs w:val="32"/>
        </w:rPr>
        <w:t>案件调查情况进行陈述、发表赔偿意见并出示相关证据</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（四）鉴定评估机构对鉴定评</w:t>
      </w:r>
      <w:r>
        <w:rPr>
          <w:rFonts w:hint="eastAsia" w:ascii="仿宋" w:hAnsi="仿宋" w:eastAsia="仿宋" w:cs="仿宋"/>
          <w:b w:val="0"/>
          <w:bCs/>
          <w:spacing w:val="-6"/>
          <w:sz w:val="32"/>
          <w:szCs w:val="32"/>
        </w:rPr>
        <w:t>估情况进行说明</w:t>
      </w:r>
      <w:r>
        <w:rPr>
          <w:rFonts w:hint="eastAsia" w:ascii="仿宋" w:hAnsi="仿宋" w:eastAsia="仿宋" w:cs="仿宋"/>
          <w:b w:val="0"/>
          <w:bCs/>
          <w:spacing w:val="-6"/>
          <w:sz w:val="32"/>
          <w:szCs w:val="32"/>
          <w:lang w:eastAsia="zh-CN"/>
        </w:rPr>
        <w:t>，</w:t>
      </w:r>
      <w:r>
        <w:rPr>
          <w:rFonts w:hint="eastAsia" w:ascii="仿宋" w:hAnsi="仿宋" w:eastAsia="仿宋" w:cs="仿宋"/>
          <w:b w:val="0"/>
          <w:bCs/>
          <w:spacing w:val="-6"/>
          <w:sz w:val="32"/>
          <w:szCs w:val="32"/>
        </w:rPr>
        <w:t>或者鉴定评估</w:t>
      </w:r>
      <w:r>
        <w:rPr>
          <w:rFonts w:hint="eastAsia" w:ascii="仿宋" w:hAnsi="仿宋" w:eastAsia="仿宋" w:cs="仿宋"/>
          <w:b w:val="0"/>
          <w:bCs/>
          <w:spacing w:val="0"/>
          <w:sz w:val="32"/>
          <w:szCs w:val="32"/>
        </w:rPr>
        <w:t>专家组对专家意见进行说明</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（五）赔偿义务人进行陈述并发表意见</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（六）赔偿义务人</w:t>
      </w:r>
      <w:r>
        <w:rPr>
          <w:rFonts w:hint="eastAsia" w:ascii="仿宋" w:hAnsi="仿宋" w:eastAsia="仿宋" w:cs="仿宋"/>
          <w:b w:val="0"/>
          <w:bCs/>
          <w:spacing w:val="-6"/>
          <w:sz w:val="32"/>
          <w:szCs w:val="32"/>
        </w:rPr>
        <w:t>对鉴定评估报告或者专家意见有疑问或异议</w:t>
      </w:r>
      <w:r>
        <w:rPr>
          <w:rFonts w:hint="eastAsia" w:ascii="仿宋" w:hAnsi="仿宋" w:eastAsia="仿宋" w:cs="仿宋"/>
          <w:b w:val="0"/>
          <w:bCs/>
          <w:spacing w:val="0"/>
          <w:sz w:val="32"/>
          <w:szCs w:val="32"/>
        </w:rPr>
        <w:t>的</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参加会议的评估机构或评估专家给予解答说明</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（七）参加会议的人员发表意见</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rPr>
        <w:t>（八）赔偿权利人及</w:t>
      </w:r>
      <w:r>
        <w:rPr>
          <w:rFonts w:hint="eastAsia" w:ascii="仿宋" w:hAnsi="仿宋" w:eastAsia="仿宋" w:cs="仿宋"/>
          <w:b w:val="0"/>
          <w:bCs/>
          <w:spacing w:val="-6"/>
          <w:sz w:val="32"/>
          <w:szCs w:val="32"/>
        </w:rPr>
        <w:t>其指定的部门或机构、赔偿义务人根据生</w:t>
      </w:r>
      <w:r>
        <w:rPr>
          <w:rFonts w:hint="eastAsia" w:ascii="仿宋" w:hAnsi="仿宋" w:eastAsia="仿宋" w:cs="仿宋"/>
          <w:b w:val="0"/>
          <w:bCs/>
          <w:spacing w:val="0"/>
          <w:sz w:val="32"/>
          <w:szCs w:val="32"/>
        </w:rPr>
        <w:t>态环境损害鉴定评估报告和各方意见等</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就修复启动时间和期限、赔偿的责任承担方式和期限等具体问题进行平等磋商</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（九）磋商会议记录经参加会议各方核</w:t>
      </w:r>
      <w:r>
        <w:rPr>
          <w:rFonts w:hint="eastAsia" w:ascii="仿宋" w:hAnsi="仿宋" w:eastAsia="仿宋" w:cs="仿宋"/>
          <w:b w:val="0"/>
          <w:bCs/>
          <w:color w:val="auto"/>
          <w:spacing w:val="0"/>
          <w:sz w:val="32"/>
          <w:szCs w:val="32"/>
        </w:rPr>
        <w:t>对</w:t>
      </w:r>
      <w:r>
        <w:rPr>
          <w:rFonts w:hint="eastAsia" w:ascii="仿宋" w:hAnsi="仿宋" w:eastAsia="仿宋" w:cs="仿宋"/>
          <w:b w:val="0"/>
          <w:bCs/>
          <w:color w:val="auto"/>
          <w:spacing w:val="0"/>
          <w:sz w:val="32"/>
          <w:szCs w:val="32"/>
          <w:lang w:eastAsia="zh-CN"/>
        </w:rPr>
        <w:t>无误并</w:t>
      </w:r>
      <w:r>
        <w:rPr>
          <w:rFonts w:hint="eastAsia" w:ascii="仿宋" w:hAnsi="仿宋" w:eastAsia="仿宋" w:cs="仿宋"/>
          <w:b w:val="0"/>
          <w:bCs/>
          <w:color w:val="auto"/>
          <w:spacing w:val="0"/>
          <w:sz w:val="32"/>
          <w:szCs w:val="32"/>
        </w:rPr>
        <w:t>签字</w:t>
      </w:r>
      <w:r>
        <w:rPr>
          <w:rFonts w:hint="eastAsia" w:ascii="仿宋" w:hAnsi="仿宋" w:eastAsia="仿宋" w:cs="仿宋"/>
          <w:b w:val="0"/>
          <w:bCs/>
          <w:spacing w:val="0"/>
          <w:sz w:val="32"/>
          <w:szCs w:val="32"/>
        </w:rPr>
        <w:t>后存档。参会人员拒绝签字的</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由主持人写明情况后存档。</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第二十七条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磋商会议存在分歧的，赔偿权利人及其指定的部门或机构与赔偿义务人可以商定时间再次进行磋商。磋商期限原则上不超过90日，自赔偿权利人及其指定的部门或机构向赔偿义务人送达磋商告知书之日起计算。磋商次数原则上不超过3次。案情重大复杂的，经赔偿权利人指定的部门或机构负责人同意，可以适当增加会议次数。</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第二十八条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经磋商达成一致意见的</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 xml:space="preserve"> 赔偿权利人及其指定的部门或机构与赔偿义务人签署生态环境损害赔偿协议，赔偿协议应当包含协议双方基本信息，生态环境损害事实、相关证据和法律依据，协议双方对鉴定评估结论、修复目标、修复方案等的意见，履行赔偿责任的承担方式及期限，修复效果评估的方式及期限，违约责任的承担和其他有必要明确的内容等。赔偿权利人及其指定的部门或机构可以向具有管辖权的人民法院申请司法确认。</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经人民法院审查未予司法确认的，应当根据裁判文书核实有关情况后重新磋商一次。重新磋商不成的，应当及时提起诉讼。</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lang w:eastAsia="zh-CN"/>
        </w:rPr>
      </w:pPr>
      <w:r>
        <w:rPr>
          <w:rFonts w:hint="eastAsia" w:ascii="黑体" w:hAnsi="黑体" w:eastAsia="黑体" w:cs="黑体"/>
          <w:b w:val="0"/>
          <w:bCs/>
          <w:spacing w:val="0"/>
          <w:sz w:val="32"/>
          <w:szCs w:val="32"/>
        </w:rPr>
        <w:t xml:space="preserve">第二十九条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有下列情形之一的</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视为生态环境损害赔偿磋商不成</w:t>
      </w:r>
      <w:r>
        <w:rPr>
          <w:rFonts w:hint="eastAsia" w:ascii="仿宋" w:hAnsi="仿宋" w:eastAsia="仿宋" w:cs="仿宋"/>
          <w:b w:val="0"/>
          <w:bCs/>
          <w:spacing w:val="0"/>
          <w:sz w:val="32"/>
          <w:szCs w:val="32"/>
          <w:lang w:eastAsia="zh-CN"/>
        </w:rPr>
        <w:t>：</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（一）赔偿义务人</w:t>
      </w:r>
      <w:r>
        <w:rPr>
          <w:rFonts w:hint="eastAsia" w:ascii="仿宋" w:hAnsi="仿宋" w:eastAsia="仿宋" w:cs="仿宋"/>
          <w:b w:val="0"/>
          <w:bCs/>
          <w:spacing w:val="-6"/>
          <w:sz w:val="32"/>
          <w:szCs w:val="32"/>
        </w:rPr>
        <w:t>明确表示拒绝磋商或者未在磋商书面通知规</w:t>
      </w:r>
      <w:r>
        <w:rPr>
          <w:rFonts w:hint="eastAsia" w:ascii="仿宋" w:hAnsi="仿宋" w:eastAsia="仿宋" w:cs="仿宋"/>
          <w:b w:val="0"/>
          <w:bCs/>
          <w:spacing w:val="0"/>
          <w:sz w:val="32"/>
          <w:szCs w:val="32"/>
        </w:rPr>
        <w:t>定时间内提交答复意见的；</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（二）赔偿义务人无故不参与磋商会议或者退出磋商会议的；</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（三）已召开磋商会议3次</w:t>
      </w:r>
      <w:r>
        <w:rPr>
          <w:rFonts w:hint="eastAsia" w:ascii="仿宋" w:hAnsi="仿宋" w:eastAsia="仿宋" w:cs="仿宋"/>
          <w:b w:val="0"/>
          <w:bCs/>
          <w:spacing w:val="-6"/>
          <w:sz w:val="32"/>
          <w:szCs w:val="32"/>
        </w:rPr>
        <w:t>，赔偿权利人及其指定的部门或机</w:t>
      </w:r>
      <w:r>
        <w:rPr>
          <w:rFonts w:hint="eastAsia" w:ascii="仿宋" w:hAnsi="仿宋" w:eastAsia="仿宋" w:cs="仿宋"/>
          <w:b w:val="0"/>
          <w:bCs/>
          <w:spacing w:val="0"/>
          <w:sz w:val="32"/>
          <w:szCs w:val="32"/>
        </w:rPr>
        <w:t>构认为磋商难以达成一致的；</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（四）采用民事诉讼法规定</w:t>
      </w:r>
      <w:r>
        <w:rPr>
          <w:rFonts w:hint="eastAsia" w:ascii="仿宋" w:hAnsi="仿宋" w:eastAsia="仿宋" w:cs="仿宋"/>
          <w:b w:val="0"/>
          <w:bCs/>
          <w:spacing w:val="-6"/>
          <w:sz w:val="32"/>
          <w:szCs w:val="32"/>
        </w:rPr>
        <w:t>的除公告送达以外的方式，均无法</w:t>
      </w:r>
      <w:r>
        <w:rPr>
          <w:rFonts w:hint="eastAsia" w:ascii="仿宋" w:hAnsi="仿宋" w:eastAsia="仿宋" w:cs="仿宋"/>
          <w:b w:val="0"/>
          <w:bCs/>
          <w:spacing w:val="0"/>
          <w:sz w:val="32"/>
          <w:szCs w:val="32"/>
        </w:rPr>
        <w:t>向赔偿义务人送达磋商告知书的；</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（五）赔偿义务人因处于被羁押等状态，无法开展磋商的；</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（六）超过磋商期限，仍未达成赔偿协议的；</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（七）赔偿权利人及其指定的</w:t>
      </w:r>
      <w:r>
        <w:rPr>
          <w:rFonts w:hint="eastAsia" w:ascii="仿宋" w:hAnsi="仿宋" w:eastAsia="仿宋" w:cs="仿宋"/>
          <w:b w:val="0"/>
          <w:bCs/>
          <w:spacing w:val="-6"/>
          <w:sz w:val="32"/>
          <w:szCs w:val="32"/>
        </w:rPr>
        <w:t>部门或机构认为磋商不成的其他</w:t>
      </w:r>
      <w:r>
        <w:rPr>
          <w:rFonts w:hint="eastAsia" w:ascii="仿宋" w:hAnsi="仿宋" w:eastAsia="仿宋" w:cs="仿宋"/>
          <w:b w:val="0"/>
          <w:bCs/>
          <w:spacing w:val="0"/>
          <w:sz w:val="32"/>
          <w:szCs w:val="32"/>
        </w:rPr>
        <w:t>情形。</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color w:val="auto"/>
          <w:spacing w:val="0"/>
          <w:sz w:val="32"/>
          <w:szCs w:val="32"/>
        </w:rPr>
        <w:t>第三十条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生态环境损害赔偿磋商不成的，赔偿权利人及其指定的部门或机构应当及时向有管辖权的人民法院提起生态环境损害赔偿诉讼，同时书面告知同级检察机关，可以提请检察机关依法支持起诉。</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人民法院受理环境民事公益诉讼案件后，应当在10日内告知对被告行为负有环境资源监督管理职责的部门，有关部门接到告知后，应当及时与人民法院沟通对接相关工作。</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48"/>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检察机关可以对生态环境损害赔偿磋商和诉讼提供法律支持。生态环境、自然资源、住房城乡建设、水利、农牧、林草等部门可以对检察机关提起的环境民事公益诉讼案件提供证据材料和技术方面的支持。</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第三十一条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赔偿义务人积极参与生态环境损害赔偿磋商，并及时履行赔偿协议、开展生态环境损害修复的，赔偿权利人及其指定的部门或机构可以将其履行赔偿责任的情况提供给相关行政机关，供其在作出行政处罚裁量时予以考虑</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或者提交</w:t>
      </w:r>
      <w:r>
        <w:rPr>
          <w:rFonts w:hint="eastAsia" w:ascii="仿宋" w:hAnsi="仿宋" w:eastAsia="仿宋" w:cs="仿宋"/>
          <w:b w:val="0"/>
          <w:bCs/>
          <w:color w:val="auto"/>
          <w:spacing w:val="0"/>
          <w:sz w:val="32"/>
          <w:szCs w:val="32"/>
        </w:rPr>
        <w:t>司法机关</w:t>
      </w:r>
      <w:r>
        <w:rPr>
          <w:rFonts w:hint="eastAsia" w:ascii="仿宋" w:hAnsi="仿宋" w:eastAsia="仿宋" w:cs="仿宋"/>
          <w:b w:val="0"/>
          <w:bCs/>
          <w:spacing w:val="0"/>
          <w:sz w:val="32"/>
          <w:szCs w:val="32"/>
        </w:rPr>
        <w:t>，供其在办理案件时参考。</w:t>
      </w:r>
    </w:p>
    <w:p>
      <w:pPr>
        <w:pStyle w:val="8"/>
        <w:keepNext w:val="0"/>
        <w:keepLines w:val="0"/>
        <w:pageBreakBefore w:val="0"/>
        <w:widowControl w:val="0"/>
        <w:kinsoku/>
        <w:wordWrap/>
        <w:overflowPunct/>
        <w:topLinePunct/>
        <w:autoSpaceDE/>
        <w:autoSpaceDN/>
        <w:bidi w:val="0"/>
        <w:adjustRightInd w:val="0"/>
        <w:snapToGrid w:val="0"/>
        <w:spacing w:before="313" w:beforeLines="100" w:beforeAutospacing="0" w:after="313" w:afterLines="100" w:afterAutospacing="0" w:line="580" w:lineRule="exact"/>
        <w:ind w:firstLine="0" w:firstLineChars="0"/>
        <w:jc w:val="center"/>
        <w:textAlignment w:val="auto"/>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第五章 生态环境损害修复及监督管理</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第三十二条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赔偿权利人及其指定的部门或机构应当加强对生态环境损害修复的监督管理。</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color w:val="FF0000"/>
          <w:spacing w:val="0"/>
          <w:sz w:val="32"/>
          <w:szCs w:val="32"/>
        </w:rPr>
      </w:pPr>
      <w:r>
        <w:rPr>
          <w:rFonts w:hint="eastAsia" w:ascii="仿宋" w:hAnsi="仿宋" w:eastAsia="仿宋" w:cs="仿宋"/>
          <w:b w:val="0"/>
          <w:bCs/>
          <w:spacing w:val="0"/>
          <w:sz w:val="32"/>
          <w:szCs w:val="32"/>
        </w:rPr>
        <w:t>生态环境损害可以修复的，应当体现环境资源生态功能价值，赔偿义务人应当修复至生态环境</w:t>
      </w:r>
      <w:r>
        <w:rPr>
          <w:rFonts w:hint="eastAsia" w:ascii="仿宋" w:hAnsi="仿宋" w:eastAsia="仿宋" w:cs="仿宋"/>
          <w:b w:val="0"/>
          <w:bCs/>
          <w:spacing w:val="0"/>
          <w:sz w:val="32"/>
          <w:szCs w:val="32"/>
          <w:u w:val="none"/>
        </w:rPr>
        <w:t>受损前的基线水平或者生态环境风险可接受水平</w:t>
      </w:r>
      <w:r>
        <w:rPr>
          <w:rFonts w:hint="eastAsia" w:ascii="仿宋" w:hAnsi="仿宋" w:eastAsia="仿宋" w:cs="仿宋"/>
          <w:b w:val="0"/>
          <w:bCs/>
          <w:spacing w:val="0"/>
          <w:sz w:val="32"/>
          <w:szCs w:val="32"/>
        </w:rPr>
        <w:t>。赔偿义务人根据赔偿协议或者生效判决要求，自行或者委托具备修复能力的社会第三方机构开展修复的，应当依法赔偿生态环境受到损害至修复完成期间服务功能丧失导致的损失和生态环境损害赔偿范围内的相关费用。在修复时，可以邀请人民检察院参与监督。</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生态环境损害无法修复的，赔偿义务人应当依法赔偿相关损失和生态环境损害赔偿范围内的相关费用，或者在符合有关生态环境修复法规政策和规划的前提下，开展替代修复，实现生态环境及其服务功能等量恢复。当生态环境损害因经济、技术和操作可行性限制无法恢复至</w:t>
      </w:r>
      <w:r>
        <w:rPr>
          <w:rFonts w:hint="eastAsia" w:ascii="仿宋" w:hAnsi="仿宋" w:eastAsia="仿宋" w:cs="仿宋"/>
          <w:b w:val="0"/>
          <w:bCs/>
          <w:spacing w:val="0"/>
          <w:sz w:val="32"/>
          <w:szCs w:val="32"/>
          <w:u w:val="none"/>
        </w:rPr>
        <w:t>基线功能的可接受风险水平时</w:t>
      </w:r>
      <w:r>
        <w:rPr>
          <w:rFonts w:hint="eastAsia" w:ascii="仿宋" w:hAnsi="仿宋" w:eastAsia="仿宋" w:cs="仿宋"/>
          <w:b w:val="0"/>
          <w:bCs/>
          <w:spacing w:val="0"/>
          <w:sz w:val="32"/>
          <w:szCs w:val="32"/>
        </w:rPr>
        <w:t>，对风险可接受水平与基线水平间经科学评估后确认不可恢复的部分，实施替代修复。根据本地区生态环境和资源保护实际情况，在涉渔业等方面不宜由赔偿义务人开展替代修复的，由赔偿权利人及其指定的部门或机构按要求组织开展替代修复。鼓励构建替代修复项目库，将本地区适宜开展替代修复的项目纳入其中。在选择替代修复项目时，优先考虑让人民群众对生态环境改善有切实获得感的项目。对赔偿义务人缴纳赔偿金的，可以由赔偿权利人及其指定的部门或机构根据国家和本地区国土空间规划、生态修复规划等相关规定，统筹组织在损害结果发生地开展替代修复。鼓励因地制宜建设生态环境损害赔偿修复基地，探索政策协同机制，提高生态环境损害修复综合效应。赔偿权利人及其指定的部门或机构不得将赔偿义务人应当承担的生态环境义务作为赔偿内容。</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赔偿协议签订前，赔偿义务人主动要求开展生态环境损害修复的，在双方当事人书面确认损害事实后，赔偿权利人及其指定的部门或机构可以同意，并做好过程监管。签订协议时，应当将修复要求作为必备内容纳入协议。</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62"/>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修复项目主体应当按照修复方案进行施工，如实记录修复过程、修复资金使用情况、修复过程中的生态环境保护措施等信息，并及时报送赔偿权利人及其指定的部门或机构。</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第三十三条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赔偿权利人及其指定的部门或机构收到修复项目主体提交的关于生态环境损害修复（包括替代性修复）完成的通报后，组织对受损生态环境修复效果进行评估，确保生态环境得到及时有效修复。</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符合以下情形之一的，可以不组织开展修复效果评估：</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（一）相关监测报告、验收报告、调查报告等已形成的报告，包括了修复情况的内容，且可以满足修复效果评估需要的；</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（二）以劳务代偿方式承担生态环境损害责任的；</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（三）其他可以不组织开展修复效果评估的情形。</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修复效果未达到修复方案确定的修复目标的，赔偿义务人应当根据赔偿协议或</w:t>
      </w:r>
      <w:r>
        <w:rPr>
          <w:rFonts w:hint="eastAsia" w:ascii="仿宋" w:hAnsi="仿宋" w:eastAsia="仿宋" w:cs="仿宋"/>
          <w:b w:val="0"/>
          <w:bCs/>
          <w:color w:val="auto"/>
          <w:spacing w:val="0"/>
          <w:sz w:val="32"/>
          <w:szCs w:val="32"/>
        </w:rPr>
        <w:t>者</w:t>
      </w:r>
      <w:r>
        <w:rPr>
          <w:rFonts w:hint="eastAsia" w:ascii="仿宋" w:hAnsi="仿宋" w:eastAsia="仿宋" w:cs="仿宋"/>
          <w:b w:val="0"/>
          <w:bCs/>
          <w:color w:val="auto"/>
          <w:spacing w:val="0"/>
          <w:sz w:val="32"/>
          <w:szCs w:val="32"/>
          <w:lang w:eastAsia="zh-CN"/>
        </w:rPr>
        <w:t>人民</w:t>
      </w:r>
      <w:r>
        <w:rPr>
          <w:rFonts w:hint="eastAsia" w:ascii="仿宋" w:hAnsi="仿宋" w:eastAsia="仿宋" w:cs="仿宋"/>
          <w:b w:val="0"/>
          <w:bCs/>
          <w:color w:val="auto"/>
          <w:spacing w:val="0"/>
          <w:sz w:val="32"/>
          <w:szCs w:val="32"/>
        </w:rPr>
        <w:t>法院判决</w:t>
      </w:r>
      <w:r>
        <w:rPr>
          <w:rFonts w:hint="eastAsia" w:ascii="仿宋" w:hAnsi="仿宋" w:eastAsia="仿宋" w:cs="仿宋"/>
          <w:b w:val="0"/>
          <w:bCs/>
          <w:spacing w:val="0"/>
          <w:sz w:val="32"/>
          <w:szCs w:val="32"/>
        </w:rPr>
        <w:t>要求继续开展修复。</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生态环境损害修复效果评估相关内容应</w:t>
      </w:r>
      <w:r>
        <w:rPr>
          <w:rFonts w:hint="eastAsia" w:ascii="仿宋" w:hAnsi="仿宋" w:eastAsia="仿宋" w:cs="仿宋"/>
          <w:b w:val="0"/>
          <w:bCs/>
          <w:spacing w:val="0"/>
          <w:sz w:val="32"/>
          <w:szCs w:val="32"/>
          <w:lang w:eastAsia="zh-CN"/>
        </w:rPr>
        <w:t>当</w:t>
      </w:r>
      <w:r>
        <w:rPr>
          <w:rFonts w:hint="eastAsia" w:ascii="仿宋" w:hAnsi="仿宋" w:eastAsia="仿宋" w:cs="仿宋"/>
          <w:b w:val="0"/>
          <w:bCs/>
          <w:spacing w:val="0"/>
          <w:sz w:val="32"/>
          <w:szCs w:val="32"/>
        </w:rPr>
        <w:t>在生态环境损害赔偿协议中予以规定。</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第三十四条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赔偿义务人不履行或者不完全履行生效判决和经司法确认的赔偿协议，赔偿权利人及其指定的部门或机构可以向有管辖权的人民法院申请强制执行，并可以将有关情况通报人民检察院。</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11"/>
          <w:sz w:val="32"/>
          <w:szCs w:val="32"/>
        </w:rPr>
      </w:pPr>
      <w:r>
        <w:rPr>
          <w:rFonts w:hint="eastAsia" w:ascii="仿宋" w:hAnsi="仿宋" w:eastAsia="仿宋" w:cs="仿宋"/>
          <w:b w:val="0"/>
          <w:bCs/>
          <w:spacing w:val="11"/>
          <w:sz w:val="32"/>
          <w:szCs w:val="32"/>
        </w:rPr>
        <w:t>赔偿义务人不履行或者不完全履行未经司法确认的赔偿协议，赔偿权利人及其指定的部门或机构可以向人民法院提起诉讼。</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修复效果未达到赔偿协议或者生效判决规定修复目标的，赔偿权利人及其指定的部门或机构，应当要求赔偿义务人继续开展修复，直至达到赔偿协议或者生效判决的要求。</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赔偿义务人积极履行生态环境损害赔偿责任的，相关行政机关和司法机关依法将其作为从轻、减轻或者免予处理的情节。　　</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对生效判决和经司法确认的赔偿协议，赔偿义务人不履行或者不完全履行义务的，由人民法院依法列入失信被执行人名单。</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color w:val="FF0000"/>
          <w:spacing w:val="0"/>
          <w:sz w:val="32"/>
          <w:szCs w:val="32"/>
        </w:rPr>
      </w:pPr>
      <w:r>
        <w:rPr>
          <w:rFonts w:hint="eastAsia" w:ascii="仿宋" w:hAnsi="仿宋" w:eastAsia="仿宋" w:cs="仿宋"/>
          <w:b w:val="0"/>
          <w:bCs/>
          <w:spacing w:val="0"/>
          <w:sz w:val="32"/>
          <w:szCs w:val="32"/>
        </w:rPr>
        <w:t>生态环境损害鉴定意见、鉴定评估报告、专家评估意见、生态环境损害赔偿磋商文件、生态环境损害赔偿金缴纳票据、生态环境修复效果评估报告等相关文件在处罚案件集体审议时，经查证属实且与违法行为关联的，可以作为认定赔偿义务人具有从轻或者减轻处罚的证据材料。</w:t>
      </w:r>
    </w:p>
    <w:p>
      <w:pPr>
        <w:pStyle w:val="8"/>
        <w:keepNext w:val="0"/>
        <w:keepLines w:val="0"/>
        <w:pageBreakBefore w:val="0"/>
        <w:widowControl w:val="0"/>
        <w:kinsoku/>
        <w:wordWrap/>
        <w:overflowPunct/>
        <w:topLinePunct/>
        <w:autoSpaceDE/>
        <w:autoSpaceDN/>
        <w:bidi w:val="0"/>
        <w:adjustRightInd w:val="0"/>
        <w:snapToGrid w:val="0"/>
        <w:spacing w:before="313" w:beforeLines="100" w:beforeAutospacing="0" w:after="313" w:afterLines="100" w:afterAutospacing="0" w:line="580" w:lineRule="exact"/>
        <w:ind w:firstLine="0" w:firstLineChars="0"/>
        <w:jc w:val="center"/>
        <w:textAlignment w:val="auto"/>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第六章</w:t>
      </w:r>
      <w:r>
        <w:rPr>
          <w:rFonts w:hint="eastAsia" w:ascii="黑体" w:hAnsi="黑体" w:eastAsia="黑体" w:cs="黑体"/>
          <w:b w:val="0"/>
          <w:bCs/>
          <w:spacing w:val="0"/>
          <w:sz w:val="32"/>
          <w:szCs w:val="32"/>
          <w:lang w:val="en-US" w:eastAsia="zh-CN"/>
        </w:rPr>
        <w:t xml:space="preserve"> </w:t>
      </w:r>
      <w:r>
        <w:rPr>
          <w:rFonts w:hint="eastAsia" w:ascii="黑体" w:hAnsi="黑体" w:eastAsia="黑体" w:cs="黑体"/>
          <w:b w:val="0"/>
          <w:bCs/>
          <w:spacing w:val="0"/>
          <w:sz w:val="32"/>
          <w:szCs w:val="32"/>
        </w:rPr>
        <w:t xml:space="preserve"> 重大生态环境损害赔偿案件督办</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第三十五条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重大生态环境损害赔偿案件（以下简称重大案件）</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是指违反生态环境保护法律法规行为情节严重，已经造成环境污染和生态破坏严重后果或恶劣社会影响的案件。</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重大案件督办</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是指自治区生态环境、自然资源、住房城乡建设、水利、农牧、林草等代表自治区人民政府具体行使赔偿权利人职责的相关部门对各盟行政公署、市人民政府作为赔偿权利人办理的重大案件的调查、鉴定评估、磋商或诉讼、生态修复等环节实施的协调、指导和监督等活动。</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重大案件督办坚持层级监督、各部门协作联动的原则。</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第三十六条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存在以下情形之一的，属于重大案件：</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（一）中央生态环境保护</w:t>
      </w:r>
      <w:r>
        <w:rPr>
          <w:rFonts w:hint="eastAsia" w:ascii="仿宋" w:hAnsi="仿宋" w:eastAsia="仿宋" w:cs="仿宋"/>
          <w:b w:val="0"/>
          <w:bCs/>
          <w:spacing w:val="-6"/>
          <w:sz w:val="32"/>
          <w:szCs w:val="32"/>
        </w:rPr>
        <w:t>督察发现的重要生态环境问题涉及的</w:t>
      </w:r>
      <w:r>
        <w:rPr>
          <w:rFonts w:hint="eastAsia" w:ascii="仿宋" w:hAnsi="仿宋" w:eastAsia="仿宋" w:cs="仿宋"/>
          <w:b w:val="0"/>
          <w:bCs/>
          <w:spacing w:val="0"/>
          <w:sz w:val="32"/>
          <w:szCs w:val="32"/>
        </w:rPr>
        <w:t>生态环境损害赔偿案件；</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11"/>
          <w:sz w:val="32"/>
          <w:szCs w:val="32"/>
        </w:rPr>
      </w:pPr>
      <w:r>
        <w:rPr>
          <w:rFonts w:hint="eastAsia" w:ascii="仿宋" w:hAnsi="仿宋" w:eastAsia="仿宋" w:cs="仿宋"/>
          <w:b w:val="0"/>
          <w:bCs/>
          <w:spacing w:val="0"/>
          <w:sz w:val="32"/>
          <w:szCs w:val="32"/>
        </w:rPr>
        <w:t>（二）</w:t>
      </w:r>
      <w:r>
        <w:rPr>
          <w:rFonts w:hint="eastAsia" w:ascii="仿宋" w:hAnsi="仿宋" w:eastAsia="仿宋" w:cs="仿宋"/>
          <w:b w:val="0"/>
          <w:bCs/>
          <w:spacing w:val="-6"/>
          <w:sz w:val="32"/>
          <w:szCs w:val="32"/>
        </w:rPr>
        <w:t>较大及以上突发环境</w:t>
      </w:r>
      <w:r>
        <w:rPr>
          <w:rFonts w:hint="eastAsia" w:ascii="仿宋" w:hAnsi="仿宋" w:eastAsia="仿宋" w:cs="仿宋"/>
          <w:b w:val="0"/>
          <w:bCs/>
          <w:spacing w:val="-11"/>
          <w:sz w:val="32"/>
          <w:szCs w:val="32"/>
        </w:rPr>
        <w:t>事件涉及的生态环境损害赔偿案件；</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（三）重大及以上生态破坏事件；</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（四）国家督办的重</w:t>
      </w:r>
      <w:r>
        <w:rPr>
          <w:rFonts w:hint="eastAsia" w:ascii="仿宋" w:hAnsi="仿宋" w:eastAsia="仿宋" w:cs="仿宋"/>
          <w:b w:val="0"/>
          <w:bCs/>
          <w:spacing w:val="-6"/>
          <w:sz w:val="32"/>
          <w:szCs w:val="32"/>
        </w:rPr>
        <w:t>要生态环境问题涉及的生态环境损害赔偿</w:t>
      </w:r>
      <w:r>
        <w:rPr>
          <w:rFonts w:hint="eastAsia" w:ascii="仿宋" w:hAnsi="仿宋" w:eastAsia="仿宋" w:cs="仿宋"/>
          <w:b w:val="0"/>
          <w:bCs/>
          <w:spacing w:val="0"/>
          <w:sz w:val="32"/>
          <w:szCs w:val="32"/>
        </w:rPr>
        <w:t>案件；</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（五）其他在全国或者本</w:t>
      </w:r>
      <w:r>
        <w:rPr>
          <w:rFonts w:hint="eastAsia" w:ascii="仿宋" w:hAnsi="仿宋" w:eastAsia="仿宋" w:cs="仿宋"/>
          <w:b w:val="0"/>
          <w:bCs/>
          <w:spacing w:val="-6"/>
          <w:sz w:val="32"/>
          <w:szCs w:val="32"/>
        </w:rPr>
        <w:t>行政区域有重大影响的生态环境损害</w:t>
      </w:r>
      <w:r>
        <w:rPr>
          <w:rFonts w:hint="eastAsia" w:ascii="仿宋" w:hAnsi="仿宋" w:eastAsia="仿宋" w:cs="仿宋"/>
          <w:b w:val="0"/>
          <w:bCs/>
          <w:spacing w:val="0"/>
          <w:sz w:val="32"/>
          <w:szCs w:val="32"/>
        </w:rPr>
        <w:t>赔偿案件。</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第三十七条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重大案件督办的主要内容包括：</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（一）生态环境损害赔偿案件的基本情况；</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（二）案件办理要求，包括案件调查、鉴定评估、开展磋商、提起诉讼、生态环境修复等案件办理进度、时限要求；</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（三）相关职能部门的协作配合要求；</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（四）承办单位及其责任人；</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（五）其他需要督办的事项。</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督办单位应当加强对重大案件办理工作的指导、协调和督查。督办可采用文函督办、现场督办、公告督办、电话督办等方式实施，案件涉及其他部门的，可实施联合督办。</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根据工作需要，督办单位可以抽调人员前往重大案件所在地区督促检查或者指导办案。</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督办单位应当建立督办工作</w:t>
      </w:r>
      <w:r>
        <w:rPr>
          <w:rFonts w:hint="eastAsia" w:ascii="仿宋" w:hAnsi="仿宋" w:eastAsia="仿宋" w:cs="仿宋"/>
          <w:b w:val="0"/>
          <w:bCs/>
          <w:color w:val="auto"/>
          <w:spacing w:val="0"/>
          <w:sz w:val="32"/>
          <w:szCs w:val="32"/>
          <w:lang w:eastAsia="zh-CN"/>
        </w:rPr>
        <w:t>清单</w:t>
      </w:r>
      <w:r>
        <w:rPr>
          <w:rFonts w:hint="eastAsia" w:ascii="仿宋" w:hAnsi="仿宋" w:eastAsia="仿宋" w:cs="仿宋"/>
          <w:b w:val="0"/>
          <w:bCs/>
          <w:spacing w:val="0"/>
          <w:sz w:val="32"/>
          <w:szCs w:val="32"/>
        </w:rPr>
        <w:t>，采取定期调度、指导帮扶、协调、现场督办等多种方式加强对重大案件的督办，直至承办单位全部完成督办任务。</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第三十八条</w:t>
      </w:r>
      <w:r>
        <w:rPr>
          <w:rFonts w:hint="eastAsia" w:ascii="黑体" w:hAnsi="黑体" w:eastAsia="黑体" w:cs="黑体"/>
          <w:b w:val="0"/>
          <w:bCs/>
          <w:spacing w:val="0"/>
          <w:sz w:val="32"/>
          <w:szCs w:val="32"/>
          <w:lang w:val="en-US" w:eastAsia="zh-CN"/>
        </w:rPr>
        <w:t xml:space="preserve"> </w:t>
      </w:r>
      <w:r>
        <w:rPr>
          <w:rFonts w:hint="eastAsia" w:ascii="仿宋" w:hAnsi="仿宋" w:eastAsia="仿宋" w:cs="仿宋"/>
          <w:b w:val="0"/>
          <w:bCs/>
          <w:spacing w:val="0"/>
          <w:sz w:val="32"/>
          <w:szCs w:val="32"/>
        </w:rPr>
        <w:t xml:space="preserve"> 承办单位应当每30个工作日向督办单位报告一次案件查处进展情况；重大案件督办函有确定报告时限的，按照确定时限报告；案件办理有重大进展或者遇到紧急情形的，应当及时报告；案件办理没有进展或者进展缓慢的，应当说明原因，并明确提出下一步办理工作安排。</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对涉嫌环境污染犯罪司法机关正在办理的案件，承办单位应当关注案件的进展情况，并及时报告督办单位。</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color w:val="auto"/>
          <w:spacing w:val="0"/>
          <w:sz w:val="32"/>
          <w:szCs w:val="32"/>
        </w:rPr>
      </w:pPr>
      <w:r>
        <w:rPr>
          <w:rFonts w:hint="eastAsia" w:ascii="仿宋" w:hAnsi="仿宋" w:eastAsia="仿宋" w:cs="仿宋"/>
          <w:b w:val="0"/>
          <w:bCs/>
          <w:spacing w:val="0"/>
          <w:sz w:val="32"/>
          <w:szCs w:val="32"/>
        </w:rPr>
        <w:t>督办的重大案件按照生态环境损害赔偿工作程序、案件办理程序完成全部督办事项的，承办单位应当在</w:t>
      </w:r>
      <w:r>
        <w:rPr>
          <w:rFonts w:hint="eastAsia" w:ascii="仿宋" w:hAnsi="仿宋" w:eastAsia="仿宋" w:cs="仿宋"/>
          <w:b w:val="0"/>
          <w:bCs/>
          <w:color w:val="auto"/>
          <w:spacing w:val="0"/>
          <w:sz w:val="32"/>
          <w:szCs w:val="32"/>
          <w:lang w:eastAsia="zh-CN"/>
        </w:rPr>
        <w:t>案件</w:t>
      </w:r>
      <w:r>
        <w:rPr>
          <w:rFonts w:hint="eastAsia" w:ascii="仿宋" w:hAnsi="仿宋" w:eastAsia="仿宋" w:cs="仿宋"/>
          <w:b w:val="0"/>
          <w:bCs/>
          <w:color w:val="auto"/>
          <w:spacing w:val="0"/>
          <w:sz w:val="32"/>
          <w:szCs w:val="32"/>
        </w:rPr>
        <w:t>办结之日起20个工作日内向督办单位书面进行报告。</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第三十九条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承办单位应当按照档案管理规定，将承办案件的有关材料及时整理后归档保存。</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4"/>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 xml:space="preserve">第四十条 </w:t>
      </w:r>
      <w:r>
        <w:rPr>
          <w:rFonts w:hint="eastAsia" w:ascii="黑体" w:hAnsi="黑体" w:eastAsia="黑体" w:cs="黑体"/>
          <w:b w:val="0"/>
          <w:bCs/>
          <w:spacing w:val="0"/>
          <w:sz w:val="32"/>
          <w:szCs w:val="32"/>
          <w:lang w:val="en-US" w:eastAsia="zh-CN"/>
        </w:rPr>
        <w:t xml:space="preserve"> </w:t>
      </w:r>
      <w:r>
        <w:rPr>
          <w:rFonts w:hint="eastAsia" w:ascii="仿宋" w:hAnsi="仿宋" w:eastAsia="仿宋" w:cs="仿宋"/>
          <w:b w:val="0"/>
          <w:bCs/>
          <w:spacing w:val="0"/>
          <w:sz w:val="32"/>
          <w:szCs w:val="32"/>
        </w:rPr>
        <w:t>自治区生态环境、自然资源、住房城乡建设、水利、农牧、林草等相关部门对本行业重大案件的查办情况予以通报，对承办单位及承办人员在查处督办案件中成绩突出的</w:t>
      </w:r>
      <w:r>
        <w:rPr>
          <w:rFonts w:hint="eastAsia" w:ascii="仿宋" w:hAnsi="仿宋" w:eastAsia="仿宋" w:cs="仿宋"/>
          <w:b w:val="0"/>
          <w:bCs/>
          <w:color w:val="auto"/>
          <w:spacing w:val="0"/>
          <w:sz w:val="32"/>
          <w:szCs w:val="32"/>
        </w:rPr>
        <w:t>给予表扬。</w:t>
      </w:r>
      <w:r>
        <w:rPr>
          <w:rFonts w:hint="eastAsia" w:ascii="仿宋" w:hAnsi="仿宋" w:eastAsia="仿宋" w:cs="仿宋"/>
          <w:b w:val="0"/>
          <w:bCs/>
          <w:spacing w:val="0"/>
          <w:sz w:val="32"/>
          <w:szCs w:val="32"/>
        </w:rPr>
        <w:t>自治区生态环境保护委员会办公室（设在自治区生态环境厅）将督办情况纳入年度总结报告。</w:t>
      </w:r>
    </w:p>
    <w:p>
      <w:pPr>
        <w:pStyle w:val="8"/>
        <w:keepNext w:val="0"/>
        <w:keepLines w:val="0"/>
        <w:pageBreakBefore w:val="0"/>
        <w:widowControl w:val="0"/>
        <w:kinsoku/>
        <w:wordWrap/>
        <w:overflowPunct/>
        <w:topLinePunct/>
        <w:autoSpaceDE/>
        <w:autoSpaceDN/>
        <w:bidi w:val="0"/>
        <w:adjustRightInd w:val="0"/>
        <w:snapToGrid w:val="0"/>
        <w:spacing w:before="313" w:beforeLines="100" w:beforeAutospacing="0" w:after="313" w:afterLines="100" w:afterAutospacing="0" w:line="580" w:lineRule="exact"/>
        <w:ind w:firstLine="160" w:firstLineChars="50"/>
        <w:jc w:val="center"/>
        <w:textAlignment w:val="auto"/>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第七章</w:t>
      </w:r>
      <w:r>
        <w:rPr>
          <w:rFonts w:hint="eastAsia" w:ascii="黑体" w:hAnsi="黑体" w:eastAsia="黑体" w:cs="黑体"/>
          <w:b w:val="0"/>
          <w:bCs/>
          <w:spacing w:val="0"/>
          <w:sz w:val="32"/>
          <w:szCs w:val="32"/>
          <w:lang w:val="en-US" w:eastAsia="zh-CN"/>
        </w:rPr>
        <w:t xml:space="preserve"> </w:t>
      </w:r>
      <w:r>
        <w:rPr>
          <w:rFonts w:hint="eastAsia" w:ascii="黑体" w:hAnsi="黑体" w:eastAsia="黑体" w:cs="黑体"/>
          <w:b w:val="0"/>
          <w:bCs/>
          <w:spacing w:val="0"/>
          <w:sz w:val="32"/>
          <w:szCs w:val="32"/>
        </w:rPr>
        <w:t xml:space="preserve"> 保障机制</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第四十一条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eastAsia="zh-CN"/>
        </w:rPr>
        <w:t>各盟市应当严格执行</w:t>
      </w:r>
      <w:r>
        <w:rPr>
          <w:rFonts w:hint="eastAsia" w:ascii="仿宋" w:hAnsi="仿宋" w:eastAsia="仿宋" w:cs="仿宋"/>
          <w:b w:val="0"/>
          <w:bCs/>
          <w:color w:val="auto"/>
          <w:spacing w:val="0"/>
          <w:sz w:val="32"/>
          <w:szCs w:val="32"/>
          <w:u w:val="none"/>
        </w:rPr>
        <w:t>《生态环境损害赔偿制度改革方案》</w:t>
      </w:r>
      <w:r>
        <w:rPr>
          <w:rFonts w:hint="eastAsia" w:ascii="仿宋" w:hAnsi="仿宋" w:eastAsia="仿宋" w:cs="仿宋"/>
          <w:b w:val="0"/>
          <w:bCs/>
          <w:color w:val="auto"/>
          <w:spacing w:val="0"/>
          <w:sz w:val="32"/>
          <w:szCs w:val="32"/>
          <w:u w:val="none"/>
          <w:lang w:eastAsia="zh-CN"/>
        </w:rPr>
        <w:t>、</w:t>
      </w:r>
      <w:r>
        <w:rPr>
          <w:rFonts w:hint="eastAsia" w:ascii="仿宋" w:hAnsi="仿宋" w:eastAsia="仿宋" w:cs="仿宋"/>
          <w:b w:val="0"/>
          <w:bCs/>
          <w:color w:val="auto"/>
          <w:spacing w:val="0"/>
          <w:sz w:val="32"/>
          <w:szCs w:val="32"/>
          <w:u w:val="none"/>
        </w:rPr>
        <w:t>《生态环境损害赔偿管理规定》</w:t>
      </w:r>
      <w:r>
        <w:rPr>
          <w:rFonts w:hint="eastAsia" w:ascii="仿宋" w:hAnsi="仿宋" w:eastAsia="仿宋" w:cs="仿宋"/>
          <w:b w:val="0"/>
          <w:bCs/>
          <w:color w:val="auto"/>
          <w:spacing w:val="0"/>
          <w:sz w:val="32"/>
          <w:szCs w:val="32"/>
        </w:rPr>
        <w:t>（环法规〔2022〕31号）</w:t>
      </w:r>
      <w:r>
        <w:rPr>
          <w:rFonts w:hint="eastAsia" w:ascii="仿宋" w:hAnsi="仿宋" w:eastAsia="仿宋" w:cs="仿宋"/>
          <w:b w:val="0"/>
          <w:bCs/>
          <w:color w:val="auto"/>
          <w:spacing w:val="0"/>
          <w:sz w:val="32"/>
          <w:szCs w:val="32"/>
          <w:u w:val="none"/>
          <w:lang w:eastAsia="zh-CN"/>
        </w:rPr>
        <w:t>有关</w:t>
      </w:r>
      <w:r>
        <w:rPr>
          <w:rFonts w:hint="eastAsia" w:ascii="仿宋" w:hAnsi="仿宋" w:eastAsia="仿宋" w:cs="仿宋"/>
          <w:b w:val="0"/>
          <w:bCs/>
          <w:color w:val="auto"/>
          <w:spacing w:val="0"/>
          <w:sz w:val="32"/>
          <w:szCs w:val="32"/>
          <w:u w:val="none"/>
        </w:rPr>
        <w:t>要求，</w:t>
      </w:r>
      <w:r>
        <w:rPr>
          <w:rFonts w:hint="eastAsia" w:ascii="仿宋" w:hAnsi="仿宋" w:eastAsia="仿宋" w:cs="仿宋"/>
          <w:b w:val="0"/>
          <w:bCs/>
          <w:spacing w:val="0"/>
          <w:sz w:val="32"/>
          <w:szCs w:val="32"/>
        </w:rPr>
        <w:t>加强组织领导，强化责任落实，推进生态环境损害赔偿工作稳妥、有序进行。</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加强对从事生态环境损害鉴定评估活动机构的管理，健全信用评价、监督惩罚、准入退出等机制，提升鉴定评估工作质量。</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第四十二条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各盟市应当建立健全生态环境损害赔偿与行政执法、刑事司法衔接机制，主要包括生态环境损害赔偿与行政执法、刑事司法常态化联络、信息共享、案件线索移交、调查联动等内容，特别是生态环境损害赔偿的线索筛查、调查、赔偿责任履行情况与立案、调查侦查、案件法制审核、作出处理决定等具体工作环节的衔接。有关部门在开展日常监管、执法巡查、各类专项行动等或办理案件过程中，发现涉嫌造成生态环境损害的，应</w:t>
      </w:r>
      <w:r>
        <w:rPr>
          <w:rFonts w:hint="eastAsia" w:ascii="仿宋" w:hAnsi="仿宋" w:eastAsia="仿宋" w:cs="仿宋"/>
          <w:b w:val="0"/>
          <w:bCs/>
          <w:spacing w:val="0"/>
          <w:sz w:val="32"/>
          <w:szCs w:val="32"/>
          <w:lang w:eastAsia="zh-CN"/>
        </w:rPr>
        <w:t>当</w:t>
      </w:r>
      <w:r>
        <w:rPr>
          <w:rFonts w:hint="eastAsia" w:ascii="仿宋" w:hAnsi="仿宋" w:eastAsia="仿宋" w:cs="仿宋"/>
          <w:b w:val="0"/>
          <w:bCs/>
          <w:spacing w:val="0"/>
          <w:sz w:val="32"/>
          <w:szCs w:val="32"/>
        </w:rPr>
        <w:t>同步开展生态环境损害赔偿责任的相关调查，及时固定保全证据，按要求移送线索并做好相关配合工作。在执法过程中，应当向违法行为人说明生态环境损害赔偿的相关规定，鼓励、引导其主动进行生态环境损害修复和赔偿。鼓励开展行政执法、刑事司法与生态环境损害赔偿一案双查、一体处理。</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color w:val="FF0000"/>
          <w:spacing w:val="0"/>
          <w:sz w:val="32"/>
          <w:szCs w:val="32"/>
        </w:rPr>
      </w:pPr>
      <w:r>
        <w:rPr>
          <w:rFonts w:hint="eastAsia" w:ascii="黑体" w:hAnsi="黑体" w:eastAsia="黑体" w:cs="黑体"/>
          <w:b w:val="0"/>
          <w:bCs/>
          <w:spacing w:val="0"/>
          <w:sz w:val="32"/>
          <w:szCs w:val="32"/>
        </w:rPr>
        <w:t>第四十三条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对生态环境损害无法修复的案件，赔偿义务人不开展替代修复的，其赔偿资金作为政府非税收入纳入一般公共预算管理，缴入同级国库。赔偿资金的管理，按照财政部门相关规定执行。</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赔偿权利人指定的部门或机构应当明确机构和人员负责推进生态环境损害赔偿工作，并在预算中安排必要的工作经费。</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生态环境损害赔偿制度改革工作所需经费由同级财政予以安排。自治区各有关部门要对生态环境损害调查与修复工作在政策、资金、项目、技术等方面给予支持。</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第四十四条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生态环境损害赔偿工作纳入污染防治攻坚战成效考核以及环境保护相关考核。生态环境损害赔偿的突出问题纳入自治区级生态环境保护督察范围。</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第四十五条</w:t>
      </w:r>
      <w:r>
        <w:rPr>
          <w:rFonts w:hint="eastAsia" w:ascii="黑体" w:hAnsi="黑体" w:eastAsia="黑体" w:cs="黑体"/>
          <w:b w:val="0"/>
          <w:bCs/>
          <w:spacing w:val="0"/>
          <w:sz w:val="32"/>
          <w:szCs w:val="32"/>
          <w:lang w:val="en-US" w:eastAsia="zh-CN"/>
        </w:rPr>
        <w:t xml:space="preserve"> </w:t>
      </w:r>
      <w:r>
        <w:rPr>
          <w:rFonts w:hint="eastAsia" w:ascii="黑体" w:hAnsi="黑体" w:eastAsia="黑体" w:cs="黑体"/>
          <w:b w:val="0"/>
          <w:bCs/>
          <w:spacing w:val="0"/>
          <w:sz w:val="32"/>
          <w:szCs w:val="32"/>
        </w:rPr>
        <w:t xml:space="preserve"> </w:t>
      </w:r>
      <w:r>
        <w:rPr>
          <w:rFonts w:hint="eastAsia" w:ascii="仿宋" w:hAnsi="仿宋" w:eastAsia="仿宋" w:cs="仿宋"/>
          <w:b w:val="0"/>
          <w:bCs/>
          <w:spacing w:val="0"/>
          <w:sz w:val="32"/>
          <w:szCs w:val="32"/>
        </w:rPr>
        <w:t>赔偿权利人及其指定的部门或机构应当加强生态环境损害赔偿工作相关业务能力培训，强化工作经验、办案技巧的交流学习。对于在工作中表现突出的事迹、形成的经验做法和典型案例，应当运用各种形式和途径积极宣传，并及时向相关上级行政主管部门报送。</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赔偿权利人及其指定的部门或机构应当及时报送生态环境损害赔偿工作信息和重大案件信息。</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盟市各相关部门于每年11月中旬前将本部门落实《生态环境损害赔偿管理</w:t>
      </w:r>
      <w:r>
        <w:rPr>
          <w:rFonts w:hint="eastAsia" w:ascii="仿宋" w:hAnsi="仿宋" w:eastAsia="仿宋" w:cs="仿宋"/>
          <w:b w:val="0"/>
          <w:bCs/>
          <w:spacing w:val="-6"/>
          <w:sz w:val="32"/>
          <w:szCs w:val="32"/>
        </w:rPr>
        <w:t>规定》（环法规〔2022〕31号</w:t>
      </w:r>
      <w:r>
        <w:rPr>
          <w:rFonts w:hint="eastAsia" w:ascii="仿宋" w:hAnsi="仿宋" w:eastAsia="仿宋" w:cs="仿宋"/>
          <w:b w:val="0"/>
          <w:bCs/>
          <w:spacing w:val="-6"/>
          <w:sz w:val="32"/>
          <w:szCs w:val="32"/>
          <w:lang w:eastAsia="zh-CN"/>
        </w:rPr>
        <w:t>）、《</w:t>
      </w:r>
      <w:r>
        <w:rPr>
          <w:rFonts w:hint="eastAsia" w:ascii="仿宋" w:hAnsi="仿宋" w:eastAsia="仿宋" w:cs="仿宋"/>
          <w:b w:val="0"/>
          <w:bCs/>
          <w:color w:val="auto"/>
          <w:spacing w:val="-6"/>
          <w:sz w:val="32"/>
          <w:szCs w:val="32"/>
        </w:rPr>
        <w:t>内蒙古自治区生态环境损害赔偿制</w:t>
      </w:r>
      <w:r>
        <w:rPr>
          <w:rFonts w:hint="eastAsia" w:ascii="仿宋" w:hAnsi="仿宋" w:eastAsia="仿宋" w:cs="仿宋"/>
          <w:b w:val="0"/>
          <w:bCs/>
          <w:color w:val="auto"/>
          <w:spacing w:val="0"/>
          <w:sz w:val="32"/>
          <w:szCs w:val="32"/>
        </w:rPr>
        <w:t>度改革实施方案》</w:t>
      </w:r>
      <w:r>
        <w:rPr>
          <w:rFonts w:hint="eastAsia" w:ascii="仿宋" w:hAnsi="仿宋" w:eastAsia="仿宋" w:cs="仿宋"/>
          <w:b w:val="0"/>
          <w:bCs/>
          <w:spacing w:val="0"/>
          <w:sz w:val="32"/>
          <w:szCs w:val="32"/>
        </w:rPr>
        <w:t>以及自治区出台的生态环境损害赔偿工作规定等相关制度的情况，分别报送对应</w:t>
      </w:r>
      <w:r>
        <w:rPr>
          <w:rFonts w:hint="eastAsia" w:ascii="仿宋" w:hAnsi="仿宋" w:eastAsia="仿宋" w:cs="仿宋"/>
          <w:b w:val="0"/>
          <w:bCs/>
          <w:spacing w:val="0"/>
          <w:sz w:val="32"/>
          <w:szCs w:val="32"/>
          <w:lang w:eastAsia="zh-CN"/>
        </w:rPr>
        <w:t>的</w:t>
      </w:r>
      <w:r>
        <w:rPr>
          <w:rFonts w:hint="eastAsia" w:ascii="仿宋" w:hAnsi="仿宋" w:eastAsia="仿宋" w:cs="仿宋"/>
          <w:b w:val="0"/>
          <w:bCs/>
          <w:spacing w:val="0"/>
          <w:sz w:val="32"/>
          <w:szCs w:val="32"/>
        </w:rPr>
        <w:t>自治区主管部门和所在盟</w:t>
      </w:r>
      <w:r>
        <w:rPr>
          <w:rFonts w:hint="eastAsia" w:ascii="仿宋" w:hAnsi="仿宋" w:eastAsia="仿宋" w:cs="仿宋"/>
          <w:b w:val="0"/>
          <w:bCs/>
          <w:spacing w:val="0"/>
          <w:sz w:val="32"/>
          <w:szCs w:val="32"/>
          <w:lang w:eastAsia="zh-CN"/>
        </w:rPr>
        <w:t>行政公署、</w:t>
      </w:r>
      <w:r>
        <w:rPr>
          <w:rFonts w:hint="eastAsia" w:ascii="仿宋" w:hAnsi="仿宋" w:eastAsia="仿宋" w:cs="仿宋"/>
          <w:b w:val="0"/>
          <w:bCs/>
          <w:spacing w:val="0"/>
          <w:sz w:val="32"/>
          <w:szCs w:val="32"/>
        </w:rPr>
        <w:t>市</w:t>
      </w:r>
      <w:r>
        <w:rPr>
          <w:rFonts w:hint="eastAsia" w:ascii="仿宋" w:hAnsi="仿宋" w:eastAsia="仿宋" w:cs="仿宋"/>
          <w:b w:val="0"/>
          <w:bCs/>
          <w:spacing w:val="0"/>
          <w:sz w:val="32"/>
          <w:szCs w:val="32"/>
          <w:lang w:eastAsia="zh-CN"/>
        </w:rPr>
        <w:t>人民</w:t>
      </w:r>
      <w:r>
        <w:rPr>
          <w:rFonts w:hint="eastAsia" w:ascii="仿宋" w:hAnsi="仿宋" w:eastAsia="仿宋" w:cs="仿宋"/>
          <w:b w:val="0"/>
          <w:bCs/>
          <w:spacing w:val="0"/>
          <w:sz w:val="32"/>
          <w:szCs w:val="32"/>
        </w:rPr>
        <w:t>政府。</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各盟</w:t>
      </w:r>
      <w:r>
        <w:rPr>
          <w:rFonts w:hint="eastAsia" w:ascii="仿宋" w:hAnsi="仿宋" w:eastAsia="仿宋" w:cs="仿宋"/>
          <w:b w:val="0"/>
          <w:bCs/>
          <w:spacing w:val="0"/>
          <w:sz w:val="32"/>
          <w:szCs w:val="32"/>
          <w:lang w:eastAsia="zh-CN"/>
        </w:rPr>
        <w:t>行政公署、</w:t>
      </w:r>
      <w:r>
        <w:rPr>
          <w:rFonts w:hint="eastAsia" w:ascii="仿宋" w:hAnsi="仿宋" w:eastAsia="仿宋" w:cs="仿宋"/>
          <w:b w:val="0"/>
          <w:bCs/>
          <w:spacing w:val="0"/>
          <w:sz w:val="32"/>
          <w:szCs w:val="32"/>
        </w:rPr>
        <w:t>市</w:t>
      </w:r>
      <w:r>
        <w:rPr>
          <w:rFonts w:hint="eastAsia" w:ascii="仿宋" w:hAnsi="仿宋" w:eastAsia="仿宋" w:cs="仿宋"/>
          <w:b w:val="0"/>
          <w:bCs/>
          <w:spacing w:val="0"/>
          <w:sz w:val="32"/>
          <w:szCs w:val="32"/>
          <w:lang w:eastAsia="zh-CN"/>
        </w:rPr>
        <w:t>人民</w:t>
      </w:r>
      <w:r>
        <w:rPr>
          <w:rFonts w:hint="eastAsia" w:ascii="仿宋" w:hAnsi="仿宋" w:eastAsia="仿宋" w:cs="仿宋"/>
          <w:b w:val="0"/>
          <w:bCs/>
          <w:spacing w:val="0"/>
          <w:sz w:val="32"/>
          <w:szCs w:val="32"/>
        </w:rPr>
        <w:t>政府</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自治区各相关部门于每年12月底前将本地区、本部门落实《生态环境损害赔偿管理规定》（环</w:t>
      </w:r>
      <w:r>
        <w:rPr>
          <w:rFonts w:hint="eastAsia" w:ascii="仿宋" w:hAnsi="仿宋" w:eastAsia="仿宋" w:cs="仿宋"/>
          <w:b w:val="0"/>
          <w:bCs/>
          <w:spacing w:val="-6"/>
          <w:sz w:val="32"/>
          <w:szCs w:val="32"/>
        </w:rPr>
        <w:t>法规〔2022〕31号）、《内蒙古自治区生态环境损害赔偿制度改</w:t>
      </w:r>
      <w:r>
        <w:rPr>
          <w:rFonts w:hint="eastAsia" w:ascii="仿宋" w:hAnsi="仿宋" w:eastAsia="仿宋" w:cs="仿宋"/>
          <w:b w:val="0"/>
          <w:bCs/>
          <w:spacing w:val="0"/>
          <w:sz w:val="32"/>
          <w:szCs w:val="32"/>
        </w:rPr>
        <w:t>革实施方案》以及自治区出台的生态环境损害赔偿工作规定等相关制度的情况，报送自治区生态环境保护委员会办公室</w:t>
      </w:r>
      <w:r>
        <w:rPr>
          <w:rFonts w:hint="eastAsia" w:ascii="仿宋" w:hAnsi="仿宋" w:eastAsia="仿宋" w:cs="仿宋"/>
          <w:b w:val="0"/>
          <w:bCs/>
          <w:spacing w:val="0"/>
          <w:sz w:val="32"/>
          <w:szCs w:val="32"/>
          <w:lang w:eastAsia="zh-CN"/>
        </w:rPr>
        <w:t>（设在自治区生态环境厅），</w:t>
      </w:r>
      <w:r>
        <w:rPr>
          <w:rFonts w:hint="eastAsia" w:ascii="仿宋" w:hAnsi="仿宋" w:eastAsia="仿宋" w:cs="仿宋"/>
          <w:b w:val="0"/>
          <w:bCs/>
          <w:spacing w:val="0"/>
          <w:sz w:val="32"/>
          <w:szCs w:val="32"/>
        </w:rPr>
        <w:t>自治区生态环境保护委员会办公室汇总后报送生态环境部。</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第四十六条</w:t>
      </w:r>
      <w:r>
        <w:rPr>
          <w:rFonts w:hint="eastAsia" w:ascii="仿宋" w:hAnsi="仿宋" w:eastAsia="仿宋" w:cs="仿宋"/>
          <w:b w:val="0"/>
          <w:bCs/>
          <w:spacing w:val="0"/>
          <w:sz w:val="32"/>
          <w:szCs w:val="32"/>
        </w:rPr>
        <w:t xml:space="preserve">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赔偿权利人及其指定的部门或机构的负责人、工作人员在生态环境损害赔偿过程中存在滥用职权、玩忽职守、徇私舞弊等情形的，按照有关规定交由纪检监察机关</w:t>
      </w:r>
      <w:r>
        <w:rPr>
          <w:rFonts w:hint="eastAsia" w:ascii="仿宋" w:hAnsi="仿宋" w:eastAsia="仿宋" w:cs="仿宋"/>
          <w:b w:val="0"/>
          <w:bCs/>
          <w:spacing w:val="0"/>
          <w:sz w:val="32"/>
          <w:szCs w:val="32"/>
          <w:lang w:eastAsia="zh-CN"/>
        </w:rPr>
        <w:t>依规</w:t>
      </w:r>
      <w:r>
        <w:rPr>
          <w:rFonts w:hint="eastAsia" w:ascii="仿宋" w:hAnsi="仿宋" w:eastAsia="仿宋" w:cs="仿宋"/>
          <w:b w:val="0"/>
          <w:bCs/>
          <w:spacing w:val="0"/>
          <w:sz w:val="32"/>
          <w:szCs w:val="32"/>
        </w:rPr>
        <w:t>依纪依法处理</w:t>
      </w:r>
      <w:r>
        <w:rPr>
          <w:rFonts w:hint="eastAsia" w:ascii="仿宋" w:hAnsi="仿宋" w:eastAsia="仿宋" w:cs="仿宋"/>
          <w:b w:val="0"/>
          <w:bCs/>
          <w:spacing w:val="0"/>
          <w:sz w:val="32"/>
          <w:szCs w:val="32"/>
          <w:lang w:eastAsia="zh-CN"/>
        </w:rPr>
        <w:t>；</w:t>
      </w:r>
      <w:r>
        <w:rPr>
          <w:rFonts w:hint="eastAsia" w:ascii="仿宋" w:hAnsi="仿宋" w:eastAsia="仿宋" w:cs="仿宋"/>
          <w:b w:val="0"/>
          <w:bCs/>
          <w:spacing w:val="0"/>
          <w:sz w:val="32"/>
          <w:szCs w:val="32"/>
        </w:rPr>
        <w:t>涉嫌犯罪的，移送司法机关依法追究刑事责任。</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color w:val="auto"/>
          <w:spacing w:val="-6"/>
          <w:sz w:val="32"/>
          <w:szCs w:val="32"/>
        </w:rPr>
      </w:pPr>
      <w:r>
        <w:rPr>
          <w:rFonts w:hint="eastAsia" w:ascii="黑体" w:hAnsi="黑体" w:eastAsia="黑体" w:cs="黑体"/>
          <w:b w:val="0"/>
          <w:bCs/>
          <w:spacing w:val="0"/>
          <w:sz w:val="32"/>
          <w:szCs w:val="32"/>
        </w:rPr>
        <w:t xml:space="preserve">第四十七条 </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6"/>
          <w:sz w:val="32"/>
          <w:szCs w:val="32"/>
        </w:rPr>
        <w:t>对在生态环境损害赔偿工作中有显著成绩，守护好人民群众优美生态环境的单位和个人，按规定给予</w:t>
      </w:r>
      <w:r>
        <w:rPr>
          <w:rFonts w:hint="eastAsia" w:ascii="仿宋" w:hAnsi="仿宋" w:eastAsia="仿宋" w:cs="仿宋"/>
          <w:b w:val="0"/>
          <w:bCs/>
          <w:color w:val="auto"/>
          <w:spacing w:val="6"/>
          <w:sz w:val="32"/>
          <w:szCs w:val="32"/>
        </w:rPr>
        <w:t>表彰奖励。</w:t>
      </w:r>
    </w:p>
    <w:p>
      <w:pPr>
        <w:pStyle w:val="8"/>
        <w:keepNext w:val="0"/>
        <w:keepLines w:val="0"/>
        <w:pageBreakBefore w:val="0"/>
        <w:widowControl w:val="0"/>
        <w:kinsoku/>
        <w:wordWrap/>
        <w:overflowPunct/>
        <w:topLinePunct/>
        <w:autoSpaceDE/>
        <w:autoSpaceDN/>
        <w:bidi w:val="0"/>
        <w:adjustRightInd w:val="0"/>
        <w:snapToGrid w:val="0"/>
        <w:spacing w:before="313" w:beforeLines="100" w:beforeAutospacing="0" w:after="313" w:afterLines="100" w:afterAutospacing="0" w:line="580" w:lineRule="exact"/>
        <w:ind w:firstLine="0" w:firstLineChars="0"/>
        <w:jc w:val="center"/>
        <w:textAlignment w:val="auto"/>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 xml:space="preserve">第八章 </w:t>
      </w:r>
      <w:r>
        <w:rPr>
          <w:rFonts w:hint="eastAsia" w:ascii="黑体" w:hAnsi="黑体" w:eastAsia="黑体" w:cs="黑体"/>
          <w:b w:val="0"/>
          <w:bCs/>
          <w:spacing w:val="0"/>
          <w:sz w:val="32"/>
          <w:szCs w:val="32"/>
          <w:lang w:val="en-US" w:eastAsia="zh-CN"/>
        </w:rPr>
        <w:t xml:space="preserve"> </w:t>
      </w:r>
      <w:r>
        <w:rPr>
          <w:rFonts w:hint="eastAsia" w:ascii="黑体" w:hAnsi="黑体" w:eastAsia="黑体" w:cs="黑体"/>
          <w:b w:val="0"/>
          <w:bCs/>
          <w:spacing w:val="0"/>
          <w:sz w:val="32"/>
          <w:szCs w:val="32"/>
        </w:rPr>
        <w:t>附</w:t>
      </w:r>
      <w:r>
        <w:rPr>
          <w:rFonts w:hint="eastAsia" w:ascii="黑体" w:hAnsi="黑体" w:eastAsia="黑体" w:cs="黑体"/>
          <w:b w:val="0"/>
          <w:bCs/>
          <w:spacing w:val="0"/>
          <w:sz w:val="32"/>
          <w:szCs w:val="32"/>
          <w:lang w:val="en-US" w:eastAsia="zh-CN"/>
        </w:rPr>
        <w:t xml:space="preserve">  </w:t>
      </w:r>
      <w:r>
        <w:rPr>
          <w:rFonts w:hint="eastAsia" w:ascii="黑体" w:hAnsi="黑体" w:eastAsia="黑体" w:cs="黑体"/>
          <w:b w:val="0"/>
          <w:bCs/>
          <w:spacing w:val="0"/>
          <w:sz w:val="32"/>
          <w:szCs w:val="32"/>
        </w:rPr>
        <w:t xml:space="preserve"> </w:t>
      </w:r>
      <w:r>
        <w:rPr>
          <w:rFonts w:hint="eastAsia" w:ascii="黑体" w:hAnsi="黑体" w:eastAsia="黑体" w:cs="黑体"/>
          <w:b w:val="0"/>
          <w:bCs/>
          <w:spacing w:val="0"/>
          <w:sz w:val="32"/>
          <w:szCs w:val="32"/>
          <w:lang w:val="en-US" w:eastAsia="zh-CN"/>
        </w:rPr>
        <w:t xml:space="preserve"> </w:t>
      </w:r>
      <w:r>
        <w:rPr>
          <w:rFonts w:hint="eastAsia" w:ascii="黑体" w:hAnsi="黑体" w:eastAsia="黑体" w:cs="黑体"/>
          <w:b w:val="0"/>
          <w:bCs/>
          <w:spacing w:val="0"/>
          <w:sz w:val="32"/>
          <w:szCs w:val="32"/>
        </w:rPr>
        <w:t>则</w:t>
      </w:r>
    </w:p>
    <w:p>
      <w:pPr>
        <w:pStyle w:val="8"/>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第四十八条</w:t>
      </w:r>
      <w:r>
        <w:rPr>
          <w:rFonts w:hint="eastAsia" w:ascii="黑体" w:hAnsi="黑体" w:eastAsia="黑体" w:cs="黑体"/>
          <w:b w:val="0"/>
          <w:bCs/>
          <w:spacing w:val="0"/>
          <w:sz w:val="32"/>
          <w:szCs w:val="32"/>
          <w:lang w:val="en-US" w:eastAsia="zh-CN"/>
        </w:rPr>
        <w:t xml:space="preserve"> </w:t>
      </w:r>
      <w:r>
        <w:rPr>
          <w:rFonts w:hint="eastAsia" w:ascii="黑体" w:hAnsi="黑体" w:eastAsia="黑体" w:cs="黑体"/>
          <w:b w:val="0"/>
          <w:bCs/>
          <w:spacing w:val="0"/>
          <w:sz w:val="32"/>
          <w:szCs w:val="32"/>
        </w:rPr>
        <w:t xml:space="preserve"> </w:t>
      </w:r>
      <w:r>
        <w:rPr>
          <w:rFonts w:hint="eastAsia" w:ascii="仿宋" w:hAnsi="仿宋" w:eastAsia="仿宋" w:cs="仿宋"/>
          <w:b w:val="0"/>
          <w:bCs/>
          <w:spacing w:val="0"/>
          <w:sz w:val="32"/>
          <w:szCs w:val="32"/>
        </w:rPr>
        <w:t>本规定</w:t>
      </w:r>
      <w:r>
        <w:rPr>
          <w:rFonts w:hint="eastAsia" w:ascii="仿宋" w:hAnsi="仿宋" w:eastAsia="仿宋" w:cs="仿宋"/>
          <w:b w:val="0"/>
          <w:bCs/>
          <w:color w:val="auto"/>
          <w:spacing w:val="0"/>
          <w:sz w:val="32"/>
          <w:szCs w:val="32"/>
        </w:rPr>
        <w:t>中</w:t>
      </w:r>
      <w:r>
        <w:rPr>
          <w:rFonts w:hint="eastAsia" w:ascii="仿宋" w:hAnsi="仿宋" w:eastAsia="仿宋" w:cs="仿宋"/>
          <w:b w:val="0"/>
          <w:bCs/>
          <w:color w:val="auto"/>
          <w:spacing w:val="0"/>
          <w:sz w:val="32"/>
          <w:szCs w:val="32"/>
          <w:lang w:eastAsia="zh-CN"/>
        </w:rPr>
        <w:t>所称</w:t>
      </w:r>
      <w:r>
        <w:rPr>
          <w:rFonts w:hint="eastAsia" w:ascii="仿宋" w:hAnsi="仿宋" w:eastAsia="仿宋" w:cs="仿宋"/>
          <w:b w:val="0"/>
          <w:bCs/>
          <w:color w:val="auto"/>
          <w:spacing w:val="0"/>
          <w:sz w:val="32"/>
          <w:szCs w:val="32"/>
        </w:rPr>
        <w:t>“显著轻微”情形</w:t>
      </w:r>
      <w:r>
        <w:rPr>
          <w:rFonts w:hint="eastAsia" w:ascii="仿宋" w:hAnsi="仿宋" w:eastAsia="仿宋" w:cs="仿宋"/>
          <w:b w:val="0"/>
          <w:bCs/>
          <w:color w:val="auto"/>
          <w:spacing w:val="0"/>
          <w:sz w:val="32"/>
          <w:szCs w:val="32"/>
          <w:lang w:eastAsia="zh-CN"/>
        </w:rPr>
        <w:t>，</w:t>
      </w:r>
      <w:r>
        <w:rPr>
          <w:rFonts w:hint="eastAsia" w:ascii="仿宋" w:hAnsi="仿宋" w:eastAsia="仿宋" w:cs="仿宋"/>
          <w:b w:val="0"/>
          <w:bCs/>
          <w:color w:val="auto"/>
          <w:spacing w:val="0"/>
          <w:sz w:val="32"/>
          <w:szCs w:val="32"/>
        </w:rPr>
        <w:t>是指损害数</w:t>
      </w:r>
      <w:r>
        <w:rPr>
          <w:rFonts w:hint="eastAsia" w:ascii="仿宋" w:hAnsi="仿宋" w:eastAsia="仿宋" w:cs="仿宋"/>
          <w:b w:val="0"/>
          <w:bCs/>
          <w:spacing w:val="0"/>
          <w:sz w:val="32"/>
          <w:szCs w:val="32"/>
        </w:rPr>
        <w:t>额极小或者生态环境损害行为并未造成明显影响。</w:t>
      </w:r>
    </w:p>
    <w:p>
      <w:pPr>
        <w:pStyle w:val="8"/>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lang w:eastAsia="zh-CN"/>
        </w:rPr>
        <w:t>（一）</w:t>
      </w:r>
      <w:r>
        <w:rPr>
          <w:rFonts w:hint="eastAsia" w:ascii="仿宋" w:hAnsi="仿宋" w:eastAsia="仿宋" w:cs="仿宋"/>
          <w:b w:val="0"/>
          <w:bCs/>
          <w:spacing w:val="0"/>
          <w:sz w:val="32"/>
          <w:szCs w:val="32"/>
        </w:rPr>
        <w:t>案件损害数额极小的判定</w:t>
      </w:r>
      <w:r>
        <w:rPr>
          <w:rFonts w:hint="eastAsia" w:ascii="仿宋" w:hAnsi="仿宋" w:eastAsia="仿宋" w:cs="仿宋"/>
          <w:b w:val="0"/>
          <w:bCs/>
          <w:spacing w:val="0"/>
          <w:sz w:val="32"/>
          <w:szCs w:val="32"/>
          <w:lang w:eastAsia="zh-CN"/>
        </w:rPr>
        <w:t>。</w:t>
      </w:r>
    </w:p>
    <w:p>
      <w:pPr>
        <w:pStyle w:val="8"/>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firstLine="540"/>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损害数额在3000元以内。</w:t>
      </w:r>
    </w:p>
    <w:p>
      <w:pPr>
        <w:pStyle w:val="8"/>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ind w:firstLine="640" w:firstLineChars="200"/>
        <w:jc w:val="both"/>
        <w:textAlignment w:val="auto"/>
        <w:rPr>
          <w:rFonts w:hint="eastAsia" w:ascii="仿宋" w:hAnsi="仿宋" w:eastAsia="仿宋" w:cs="仿宋"/>
          <w:b w:val="0"/>
          <w:bCs/>
          <w:spacing w:val="0"/>
          <w:sz w:val="32"/>
          <w:szCs w:val="32"/>
          <w:lang w:eastAsia="zh-CN"/>
        </w:rPr>
      </w:pPr>
      <w:r>
        <w:rPr>
          <w:rFonts w:hint="eastAsia" w:ascii="仿宋" w:hAnsi="仿宋" w:eastAsia="仿宋" w:cs="仿宋"/>
          <w:b w:val="0"/>
          <w:bCs/>
          <w:spacing w:val="0"/>
          <w:sz w:val="32"/>
          <w:szCs w:val="32"/>
          <w:lang w:eastAsia="zh-CN"/>
        </w:rPr>
        <w:t>（二）</w:t>
      </w:r>
      <w:r>
        <w:rPr>
          <w:rFonts w:hint="eastAsia" w:ascii="仿宋" w:hAnsi="仿宋" w:eastAsia="仿宋" w:cs="仿宋"/>
          <w:b w:val="0"/>
          <w:bCs/>
          <w:spacing w:val="0"/>
          <w:sz w:val="32"/>
          <w:szCs w:val="32"/>
        </w:rPr>
        <w:t>未造成明显影响的判定</w:t>
      </w:r>
      <w:r>
        <w:rPr>
          <w:rFonts w:hint="eastAsia" w:ascii="仿宋" w:hAnsi="仿宋" w:eastAsia="仿宋" w:cs="仿宋"/>
          <w:b w:val="0"/>
          <w:bCs/>
          <w:spacing w:val="0"/>
          <w:sz w:val="32"/>
          <w:szCs w:val="32"/>
          <w:lang w:eastAsia="zh-CN"/>
        </w:rPr>
        <w:t>。</w:t>
      </w:r>
    </w:p>
    <w:p>
      <w:pPr>
        <w:pStyle w:val="8"/>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　　1.对水、大气、土壤污染案件，从排放的污染物性质、污染物超标倍数、pH值、污染排放持续时间、污染范围、赔偿义务人是否完成整改或者清除污染等方面进行综合评判；</w:t>
      </w:r>
    </w:p>
    <w:p>
      <w:pPr>
        <w:pStyle w:val="8"/>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　　2.对固体废物案件，从固体废物堆放面积、堆放时长、堆放数量，堆放区域，是否造成渗漏、扩散等方面进行综合评判；</w:t>
      </w:r>
    </w:p>
    <w:p>
      <w:pPr>
        <w:pStyle w:val="8"/>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　　3.对野生动植物资源破坏案件，从是否在国家、地方重点保护范围，是否在《国家保护的有益的或者有重要经济、科学研究价值的陆生野生动物名录》内，是否对生物资源和多样性造成损害等方面进行综合评判；</w:t>
      </w:r>
    </w:p>
    <w:p>
      <w:pPr>
        <w:pStyle w:val="8"/>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　　4.符合本地区或者本领域行政处罚裁量基准规定的不予行政处罚情形的；</w:t>
      </w:r>
    </w:p>
    <w:p>
      <w:pPr>
        <w:pStyle w:val="8"/>
        <w:keepNext w:val="0"/>
        <w:keepLines w:val="0"/>
        <w:pageBreakBefore w:val="0"/>
        <w:widowControl w:val="0"/>
        <w:shd w:val="clear" w:color="auto" w:fill="FFFFFF"/>
        <w:kinsoku/>
        <w:wordWrap/>
        <w:overflowPunct/>
        <w:topLinePunct/>
        <w:autoSpaceDE/>
        <w:autoSpaceDN/>
        <w:bidi w:val="0"/>
        <w:adjustRightInd w:val="0"/>
        <w:snapToGrid w:val="0"/>
        <w:spacing w:before="0" w:beforeAutospacing="0" w:after="0" w:afterAutospacing="0" w:line="580" w:lineRule="exact"/>
        <w:jc w:val="both"/>
        <w:textAlignment w:val="auto"/>
        <w:rPr>
          <w:rFonts w:hint="eastAsia" w:ascii="仿宋" w:hAnsi="仿宋" w:eastAsia="仿宋" w:cs="仿宋"/>
          <w:b w:val="0"/>
          <w:bCs/>
          <w:spacing w:val="0"/>
          <w:sz w:val="32"/>
          <w:szCs w:val="32"/>
        </w:rPr>
      </w:pPr>
      <w:r>
        <w:rPr>
          <w:rFonts w:hint="eastAsia" w:ascii="仿宋" w:hAnsi="仿宋" w:eastAsia="仿宋" w:cs="仿宋"/>
          <w:b w:val="0"/>
          <w:bCs/>
          <w:spacing w:val="0"/>
          <w:sz w:val="32"/>
          <w:szCs w:val="32"/>
        </w:rPr>
        <w:t>　　5.自治区政府及其指定的部门或机构认为未造成明显影响的其他情形。</w:t>
      </w:r>
    </w:p>
    <w:p>
      <w:pPr>
        <w:pStyle w:val="8"/>
        <w:keepNext w:val="0"/>
        <w:keepLines w:val="0"/>
        <w:pageBreakBefore w:val="0"/>
        <w:widowControl w:val="0"/>
        <w:kinsoku/>
        <w:wordWrap/>
        <w:overflowPunct/>
        <w:topLinePunct/>
        <w:autoSpaceDE/>
        <w:autoSpaceDN/>
        <w:bidi w:val="0"/>
        <w:adjustRightInd w:val="0"/>
        <w:snapToGrid w:val="0"/>
        <w:spacing w:before="0" w:beforeAutospacing="0" w:after="0" w:afterAutospacing="0" w:line="580" w:lineRule="exact"/>
        <w:ind w:firstLine="635"/>
        <w:jc w:val="both"/>
        <w:textAlignment w:val="auto"/>
        <w:rPr>
          <w:rFonts w:hint="eastAsia" w:ascii="仿宋" w:hAnsi="仿宋" w:eastAsia="仿宋" w:cs="仿宋"/>
          <w:b w:val="0"/>
          <w:bCs/>
          <w:spacing w:val="0"/>
          <w:sz w:val="32"/>
          <w:szCs w:val="32"/>
        </w:rPr>
      </w:pPr>
      <w:r>
        <w:rPr>
          <w:rFonts w:hint="eastAsia" w:ascii="黑体" w:hAnsi="黑体" w:eastAsia="黑体" w:cs="黑体"/>
          <w:b w:val="0"/>
          <w:bCs/>
          <w:spacing w:val="0"/>
          <w:sz w:val="32"/>
          <w:szCs w:val="32"/>
        </w:rPr>
        <w:t xml:space="preserve">第四十九条 </w:t>
      </w:r>
      <w:r>
        <w:rPr>
          <w:rFonts w:hint="eastAsia" w:ascii="黑体" w:hAnsi="黑体" w:eastAsia="黑体" w:cs="黑体"/>
          <w:b w:val="0"/>
          <w:bCs/>
          <w:spacing w:val="0"/>
          <w:sz w:val="32"/>
          <w:szCs w:val="32"/>
          <w:lang w:val="en-US" w:eastAsia="zh-CN"/>
        </w:rPr>
        <w:t xml:space="preserve"> </w:t>
      </w:r>
      <w:r>
        <w:rPr>
          <w:rFonts w:hint="eastAsia" w:ascii="仿宋" w:hAnsi="仿宋" w:eastAsia="仿宋" w:cs="仿宋"/>
          <w:b w:val="0"/>
          <w:bCs/>
          <w:spacing w:val="0"/>
          <w:sz w:val="32"/>
          <w:szCs w:val="32"/>
        </w:rPr>
        <w:t>除注明工作日外，本规定中其他期限按自然日计算。</w:t>
      </w: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pacing w:val="0"/>
          <w:sz w:val="32"/>
          <w:szCs w:val="32"/>
        </w:rPr>
      </w:pPr>
      <w:r>
        <w:rPr>
          <w:rFonts w:hint="eastAsia" w:ascii="黑体" w:hAnsi="黑体" w:eastAsia="黑体" w:cs="黑体"/>
          <w:b w:val="0"/>
          <w:bCs/>
          <w:spacing w:val="0"/>
          <w:sz w:val="32"/>
          <w:szCs w:val="32"/>
        </w:rPr>
        <w:t>第五十条</w:t>
      </w:r>
      <w:r>
        <w:rPr>
          <w:rFonts w:hint="eastAsia" w:ascii="仿宋" w:hAnsi="仿宋" w:eastAsia="仿宋" w:cs="仿宋"/>
          <w:b w:val="0"/>
          <w:bCs/>
          <w:spacing w:val="0"/>
          <w:sz w:val="32"/>
          <w:szCs w:val="32"/>
          <w:lang w:val="en-US" w:eastAsia="zh-CN"/>
        </w:rPr>
        <w:t xml:space="preserve"> </w:t>
      </w:r>
      <w:r>
        <w:rPr>
          <w:rFonts w:hint="eastAsia" w:ascii="仿宋" w:hAnsi="仿宋" w:eastAsia="仿宋" w:cs="仿宋"/>
          <w:b w:val="0"/>
          <w:bCs/>
          <w:spacing w:val="0"/>
          <w:sz w:val="32"/>
          <w:szCs w:val="32"/>
        </w:rPr>
        <w:t xml:space="preserve"> </w:t>
      </w:r>
      <w:r>
        <w:rPr>
          <w:rFonts w:hint="eastAsia" w:ascii="仿宋" w:hAnsi="仿宋" w:eastAsia="仿宋" w:cs="仿宋"/>
          <w:b w:val="0"/>
          <w:bCs/>
          <w:color w:val="auto"/>
          <w:spacing w:val="0"/>
          <w:sz w:val="32"/>
          <w:szCs w:val="32"/>
        </w:rPr>
        <w:t>本规定自印发之日起施行。《</w:t>
      </w:r>
      <w:r>
        <w:rPr>
          <w:rFonts w:hint="eastAsia" w:ascii="仿宋" w:hAnsi="仿宋" w:eastAsia="仿宋" w:cs="仿宋"/>
          <w:i w:val="0"/>
          <w:caps w:val="0"/>
          <w:color w:val="auto"/>
          <w:spacing w:val="0"/>
          <w:kern w:val="0"/>
          <w:sz w:val="32"/>
          <w:szCs w:val="32"/>
          <w:shd w:val="clear" w:color="auto" w:fill="FFFFFF"/>
          <w:lang w:val="en-US" w:eastAsia="zh-CN" w:bidi="ar"/>
        </w:rPr>
        <w:t>内蒙古自治区人民政府办公厅关于印发〈内蒙古自治区生态环境损害赔偿工作规定（试行）〉的通知</w:t>
      </w:r>
      <w:r>
        <w:rPr>
          <w:rFonts w:hint="eastAsia" w:ascii="仿宋" w:hAnsi="仿宋" w:eastAsia="仿宋" w:cs="仿宋"/>
          <w:b w:val="0"/>
          <w:bCs/>
          <w:color w:val="auto"/>
          <w:spacing w:val="0"/>
          <w:sz w:val="32"/>
          <w:szCs w:val="32"/>
        </w:rPr>
        <w:t>》（内政办发〔2022〕7号）同时废止。</w:t>
      </w: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bookmarkEnd w:id="2"/>
    </w:p>
    <w:bookmarkEnd w:id="4"/>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br w:type="page"/>
      </w: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40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300" w:lineRule="exact"/>
        <w:ind w:firstLine="640" w:firstLineChars="200"/>
        <w:jc w:val="left"/>
        <w:textAlignment w:val="auto"/>
        <w:rPr>
          <w:rFonts w:hint="eastAsia" w:ascii="仿宋" w:hAnsi="仿宋" w:eastAsia="仿宋" w:cs="仿宋"/>
          <w:b w:val="0"/>
          <w:bCs/>
          <w:color w:val="auto"/>
          <w:sz w:val="32"/>
          <w:szCs w:val="32"/>
        </w:rPr>
      </w:pPr>
    </w:p>
    <w:p>
      <w:pPr>
        <w:keepNext w:val="0"/>
        <w:keepLines w:val="0"/>
        <w:pageBreakBefore w:val="0"/>
        <w:widowControl w:val="0"/>
        <w:kinsoku/>
        <w:wordWrap/>
        <w:overflowPunct/>
        <w:topLinePunct/>
        <w:autoSpaceDE/>
        <w:autoSpaceDN/>
        <w:bidi w:val="0"/>
        <w:spacing w:before="0" w:beforeAutospacing="0" w:after="0" w:afterAutospacing="0" w:line="580" w:lineRule="exact"/>
        <w:ind w:firstLine="640" w:firstLineChars="200"/>
        <w:jc w:val="left"/>
        <w:textAlignment w:val="auto"/>
        <w:rPr>
          <w:rFonts w:hint="eastAsia" w:ascii="仿宋" w:hAnsi="仿宋" w:eastAsia="仿宋" w:cs="仿宋"/>
          <w:b w:val="0"/>
          <w:bCs/>
          <w:color w:val="auto"/>
          <w:sz w:val="32"/>
          <w:szCs w:val="32"/>
        </w:rPr>
      </w:pPr>
    </w:p>
    <w:tbl>
      <w:tblPr>
        <w:tblStyle w:val="9"/>
        <w:tblW w:w="8950"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50"/>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0" w:type="dxa"/>
            <w:noWrap w:val="0"/>
            <w:vAlign w:val="top"/>
          </w:tcPr>
          <w:p>
            <w:pPr>
              <w:spacing w:line="400" w:lineRule="exact"/>
              <w:ind w:firstLine="280" w:firstLineChars="100"/>
              <w:rPr>
                <w:rFonts w:ascii="仿宋_GB2312" w:eastAsia="仿宋_GB2312"/>
                <w:sz w:val="28"/>
              </w:rPr>
            </w:pPr>
            <w:r>
              <w:rPr>
                <w:rFonts w:hint="eastAsia" w:ascii="仿宋_GB2312" w:eastAsia="仿宋_GB2312"/>
                <w:sz w:val="28"/>
              </w:rPr>
              <w:t>抄送：自治区党委各部门，内蒙古军区，武警内蒙古总队。</w:t>
            </w:r>
          </w:p>
          <w:p>
            <w:pPr>
              <w:spacing w:line="400" w:lineRule="exact"/>
              <w:ind w:firstLine="1098" w:firstLineChars="410"/>
              <w:rPr>
                <w:rFonts w:hint="eastAsia" w:ascii="仿宋_GB2312" w:eastAsia="仿宋_GB2312"/>
                <w:spacing w:val="-6"/>
                <w:sz w:val="28"/>
                <w:lang w:eastAsia="zh-CN"/>
              </w:rPr>
            </w:pPr>
            <w:r>
              <w:rPr>
                <w:rFonts w:hint="eastAsia" w:ascii="仿宋_GB2312" w:eastAsia="仿宋_GB2312"/>
                <w:spacing w:val="-6"/>
                <w:sz w:val="28"/>
              </w:rPr>
              <w:t>自治区人大常委会办公厅、政协办公厅，</w:t>
            </w:r>
            <w:r>
              <w:rPr>
                <w:rFonts w:hint="eastAsia" w:ascii="仿宋_GB2312" w:eastAsia="仿宋_GB2312"/>
                <w:spacing w:val="-6"/>
                <w:sz w:val="28"/>
                <w:lang w:eastAsia="zh-CN"/>
              </w:rPr>
              <w:t>自治区监委，自治区</w:t>
            </w:r>
          </w:p>
          <w:p>
            <w:pPr>
              <w:spacing w:line="400" w:lineRule="exact"/>
              <w:ind w:firstLine="1148" w:firstLineChars="410"/>
              <w:rPr>
                <w:rFonts w:ascii="仿宋_GB2312" w:eastAsia="仿宋_GB2312"/>
                <w:sz w:val="28"/>
              </w:rPr>
            </w:pPr>
            <w:r>
              <w:rPr>
                <w:rFonts w:hint="eastAsia" w:ascii="仿宋_GB2312" w:eastAsia="仿宋_GB2312"/>
                <w:sz w:val="28"/>
              </w:rPr>
              <w:t>高级人民法院，检察院。</w:t>
            </w:r>
          </w:p>
          <w:p>
            <w:pPr>
              <w:spacing w:line="400" w:lineRule="exact"/>
              <w:ind w:firstLine="1148" w:firstLineChars="410"/>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50" w:type="dxa"/>
            <w:noWrap w:val="0"/>
            <w:vAlign w:val="top"/>
          </w:tcPr>
          <w:p>
            <w:pPr>
              <w:ind w:firstLine="280" w:firstLineChars="100"/>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5</w:t>
            </w:r>
            <w:r>
              <w:rPr>
                <w:rFonts w:hint="eastAsia" w:ascii="仿宋_GB2312" w:eastAsia="仿宋_GB2312"/>
                <w:sz w:val="28"/>
              </w:rPr>
              <w:t>月</w:t>
            </w:r>
            <w:r>
              <w:rPr>
                <w:rFonts w:hint="eastAsia" w:ascii="仿宋_GB2312" w:eastAsia="仿宋_GB2312"/>
                <w:sz w:val="28"/>
                <w:lang w:val="en-US" w:eastAsia="zh-CN"/>
              </w:rPr>
              <w:t>9</w:t>
            </w:r>
            <w:r>
              <w:rPr>
                <w:rFonts w:hint="eastAsia" w:ascii="仿宋_GB2312" w:eastAsia="仿宋_GB2312"/>
                <w:sz w:val="28"/>
              </w:rPr>
              <w:t>日印发</w:t>
            </w:r>
          </w:p>
        </w:tc>
      </w:tr>
    </w:tbl>
    <w:p>
      <w:pPr>
        <w:keepNext w:val="0"/>
        <w:keepLines w:val="0"/>
        <w:pageBreakBefore w:val="0"/>
        <w:widowControl w:val="0"/>
        <w:kinsoku/>
        <w:wordWrap/>
        <w:overflowPunct/>
        <w:topLinePunct w:val="0"/>
        <w:autoSpaceDE/>
        <w:autoSpaceDN/>
        <w:bidi w:val="0"/>
        <w:adjustRightInd w:val="0"/>
        <w:snapToGrid w:val="0"/>
        <w:spacing w:line="20" w:lineRule="exact"/>
        <w:textAlignment w:val="auto"/>
        <w:rPr>
          <w:rFonts w:hint="eastAsia"/>
        </w:rPr>
      </w:pPr>
      <w:bookmarkStart w:id="3" w:name="成文日期"/>
      <w:bookmarkEnd w:id="3"/>
      <w:r>
        <w:rPr>
          <w:sz w:val="32"/>
        </w:rPr>
        <mc:AlternateContent>
          <mc:Choice Requires="wps">
            <w:drawing>
              <wp:anchor distT="0" distB="0" distL="114300" distR="114300" simplePos="0" relativeHeight="251659264" behindDoc="0" locked="0" layoutInCell="1" allowOverlap="1">
                <wp:simplePos x="0" y="0"/>
                <wp:positionH relativeFrom="column">
                  <wp:posOffset>3717290</wp:posOffset>
                </wp:positionH>
                <wp:positionV relativeFrom="paragraph">
                  <wp:posOffset>126365</wp:posOffset>
                </wp:positionV>
                <wp:extent cx="1833245" cy="616585"/>
                <wp:effectExtent l="4445" t="5080" r="10160" b="6985"/>
                <wp:wrapNone/>
                <wp:docPr id="1" name="文本框 5"/>
                <wp:cNvGraphicFramePr/>
                <a:graphic xmlns:a="http://schemas.openxmlformats.org/drawingml/2006/main">
                  <a:graphicData uri="http://schemas.microsoft.com/office/word/2010/wordprocessingShape">
                    <wps:wsp>
                      <wps:cNvSpPr txBox="1"/>
                      <wps:spPr>
                        <a:xfrm>
                          <a:off x="0" y="0"/>
                          <a:ext cx="1833245" cy="616585"/>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eastAsia="宋体"/>
                                <w:lang w:eastAsia="zh-CN"/>
                              </w:rPr>
                            </w:pPr>
                            <w:r>
                              <w:rPr>
                                <w:rFonts w:hint="eastAsia" w:eastAsia="宋体"/>
                                <w:lang w:eastAsia="zh-CN"/>
                              </w:rPr>
                              <w:drawing>
                                <wp:inline distT="0" distB="0" distL="114300" distR="114300">
                                  <wp:extent cx="1835785" cy="448310"/>
                                  <wp:effectExtent l="0" t="0" r="12065" b="8890"/>
                                  <wp:docPr id="2"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图片1"/>
                                          <pic:cNvPicPr>
                                            <a:picLocks noChangeAspect="1"/>
                                          </pic:cNvPicPr>
                                        </pic:nvPicPr>
                                        <pic:blipFill>
                                          <a:blip r:embed="rId8"/>
                                          <a:stretch>
                                            <a:fillRect/>
                                          </a:stretch>
                                        </pic:blipFill>
                                        <pic:spPr>
                                          <a:xfrm>
                                            <a:off x="0" y="0"/>
                                            <a:ext cx="1835785" cy="448310"/>
                                          </a:xfrm>
                                          <a:prstGeom prst="rect">
                                            <a:avLst/>
                                          </a:prstGeom>
                                          <a:noFill/>
                                          <a:ln>
                                            <a:noFill/>
                                          </a:ln>
                                        </pic:spPr>
                                      </pic:pic>
                                    </a:graphicData>
                                  </a:graphic>
                                </wp:inline>
                              </w:drawing>
                            </w:r>
                          </w:p>
                        </w:txbxContent>
                      </wps:txbx>
                      <wps:bodyPr vert="horz" wrap="square" anchor="t" anchorCtr="0" upright="1"/>
                    </wps:wsp>
                  </a:graphicData>
                </a:graphic>
              </wp:anchor>
            </w:drawing>
          </mc:Choice>
          <mc:Fallback>
            <w:pict>
              <v:shape id="文本框 5" o:spid="_x0000_s1026" o:spt="202" type="#_x0000_t202" style="position:absolute;left:0pt;margin-left:292.7pt;margin-top:9.95pt;height:48.55pt;width:144.35pt;z-index:251659264;mso-width-relative:page;mso-height-relative:page;" fillcolor="#FFFFFF" filled="t" stroked="t" coordsize="21600,21600" o:gfxdata="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AhBH2AAAAAoBAAAPAAAAAAAAAAEAIAAA&#10;ACIAAABkcnMvZG93bnJldi54bWxQSwECFAAUAAAACACHTuJAzF9JIQwCAAAbBAAADgAAAAAAAAAB&#10;ACAAAAAnAQAAZHJzL2Uyb0RvYy54bWxQSwUGAAAAAAYABgBZAQAApQUAAAAA&#10;">
                <v:fill on="t" focussize="0,0"/>
                <v:stroke color="#FFFFFF" joinstyle="miter"/>
                <v:imagedata o:title=""/>
                <o:lock v:ext="edit" aspectratio="f"/>
                <v:textbox>
                  <w:txbxContent>
                    <w:p>
                      <w:pPr>
                        <w:rPr>
                          <w:rFonts w:hint="eastAsia" w:eastAsia="宋体"/>
                          <w:lang w:eastAsia="zh-CN"/>
                        </w:rPr>
                      </w:pPr>
                      <w:r>
                        <w:rPr>
                          <w:rFonts w:hint="eastAsia" w:eastAsia="宋体"/>
                          <w:lang w:eastAsia="zh-CN"/>
                        </w:rPr>
                        <w:drawing>
                          <wp:inline distT="0" distB="0" distL="114300" distR="114300">
                            <wp:extent cx="1835785" cy="448310"/>
                            <wp:effectExtent l="0" t="0" r="12065" b="8890"/>
                            <wp:docPr id="2" name="图片 9"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图片1"/>
                                    <pic:cNvPicPr>
                                      <a:picLocks noChangeAspect="1"/>
                                    </pic:cNvPicPr>
                                  </pic:nvPicPr>
                                  <pic:blipFill>
                                    <a:blip r:embed="rId8"/>
                                    <a:stretch>
                                      <a:fillRect/>
                                    </a:stretch>
                                  </pic:blipFill>
                                  <pic:spPr>
                                    <a:xfrm>
                                      <a:off x="0" y="0"/>
                                      <a:ext cx="1835785" cy="448310"/>
                                    </a:xfrm>
                                    <a:prstGeom prst="rect">
                                      <a:avLst/>
                                    </a:prstGeom>
                                    <a:noFill/>
                                    <a:ln>
                                      <a:noFill/>
                                    </a:ln>
                                  </pic:spPr>
                                </pic:pic>
                              </a:graphicData>
                            </a:graphic>
                          </wp:inline>
                        </w:drawing>
                      </w:r>
                    </w:p>
                  </w:txbxContent>
                </v:textbox>
              </v:shape>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304"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9452" w:y="-23"/>
      <w:rPr>
        <w:rStyle w:val="12"/>
        <w:rFonts w:hint="eastAsia" w:ascii="宋体" w:hAnsi="宋体"/>
        <w:sz w:val="28"/>
        <w:szCs w:val="28"/>
      </w:rPr>
    </w:pP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lang/>
      </w:rPr>
      <w:t>- 1 -</w:t>
    </w:r>
    <w:r>
      <w:rPr>
        <w:rFonts w:hint="eastAsia" w:ascii="宋体" w:hAnsi="宋体"/>
        <w:sz w:val="28"/>
        <w:szCs w:val="28"/>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892" w:y="-23"/>
      <w:rPr>
        <w:rStyle w:val="12"/>
        <w:rFonts w:ascii="宋体" w:hAnsi="宋体"/>
        <w:sz w:val="28"/>
        <w:szCs w:val="28"/>
      </w:rPr>
    </w:pP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lang/>
      </w:rPr>
      <w:t>- 2 -</w:t>
    </w:r>
    <w:r>
      <w:rPr>
        <w:rFonts w:ascii="宋体" w:hAnsi="宋体"/>
        <w:sz w:val="28"/>
        <w:szCs w:val="28"/>
      </w:rP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6B5"/>
    <w:rsid w:val="0000053B"/>
    <w:rsid w:val="00000BC8"/>
    <w:rsid w:val="00000D35"/>
    <w:rsid w:val="00000E8A"/>
    <w:rsid w:val="00001A5E"/>
    <w:rsid w:val="00007D4A"/>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4A"/>
    <w:rsid w:val="0004119F"/>
    <w:rsid w:val="00041495"/>
    <w:rsid w:val="00043109"/>
    <w:rsid w:val="00043BA4"/>
    <w:rsid w:val="00045126"/>
    <w:rsid w:val="00047737"/>
    <w:rsid w:val="0005120B"/>
    <w:rsid w:val="00053149"/>
    <w:rsid w:val="00055C21"/>
    <w:rsid w:val="00056556"/>
    <w:rsid w:val="00060597"/>
    <w:rsid w:val="00060CE0"/>
    <w:rsid w:val="000615CF"/>
    <w:rsid w:val="00062727"/>
    <w:rsid w:val="0006347A"/>
    <w:rsid w:val="000671EE"/>
    <w:rsid w:val="00070196"/>
    <w:rsid w:val="000701C3"/>
    <w:rsid w:val="00071DE3"/>
    <w:rsid w:val="00071E83"/>
    <w:rsid w:val="0007324B"/>
    <w:rsid w:val="00074623"/>
    <w:rsid w:val="00074695"/>
    <w:rsid w:val="00076F96"/>
    <w:rsid w:val="00082970"/>
    <w:rsid w:val="0008397E"/>
    <w:rsid w:val="00085F06"/>
    <w:rsid w:val="00086644"/>
    <w:rsid w:val="00090C56"/>
    <w:rsid w:val="00090E87"/>
    <w:rsid w:val="00090EB2"/>
    <w:rsid w:val="00097E64"/>
    <w:rsid w:val="000A1E68"/>
    <w:rsid w:val="000A2307"/>
    <w:rsid w:val="000A26F8"/>
    <w:rsid w:val="000A3DA4"/>
    <w:rsid w:val="000A51DB"/>
    <w:rsid w:val="000A7F88"/>
    <w:rsid w:val="000B0241"/>
    <w:rsid w:val="000B182B"/>
    <w:rsid w:val="000B2C2B"/>
    <w:rsid w:val="000B318D"/>
    <w:rsid w:val="000B3848"/>
    <w:rsid w:val="000B483E"/>
    <w:rsid w:val="000B76CD"/>
    <w:rsid w:val="000C19E6"/>
    <w:rsid w:val="000C67FC"/>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4FD5"/>
    <w:rsid w:val="00105B76"/>
    <w:rsid w:val="001106F2"/>
    <w:rsid w:val="00110B09"/>
    <w:rsid w:val="0011191E"/>
    <w:rsid w:val="0011471C"/>
    <w:rsid w:val="001147E4"/>
    <w:rsid w:val="00114AC4"/>
    <w:rsid w:val="00114FD2"/>
    <w:rsid w:val="001166E7"/>
    <w:rsid w:val="00117691"/>
    <w:rsid w:val="0012067D"/>
    <w:rsid w:val="00120FA6"/>
    <w:rsid w:val="00121523"/>
    <w:rsid w:val="00121A80"/>
    <w:rsid w:val="0012298D"/>
    <w:rsid w:val="00122EA1"/>
    <w:rsid w:val="00124049"/>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3AE0"/>
    <w:rsid w:val="00145C0B"/>
    <w:rsid w:val="00145D2E"/>
    <w:rsid w:val="00146D53"/>
    <w:rsid w:val="00146EE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443C"/>
    <w:rsid w:val="00176277"/>
    <w:rsid w:val="001774E2"/>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074F"/>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1952"/>
    <w:rsid w:val="00202305"/>
    <w:rsid w:val="00203445"/>
    <w:rsid w:val="002037DD"/>
    <w:rsid w:val="00203FE2"/>
    <w:rsid w:val="00205C6F"/>
    <w:rsid w:val="002112BA"/>
    <w:rsid w:val="00211B40"/>
    <w:rsid w:val="002134C2"/>
    <w:rsid w:val="0021430F"/>
    <w:rsid w:val="0022010B"/>
    <w:rsid w:val="00220CB1"/>
    <w:rsid w:val="00222BE8"/>
    <w:rsid w:val="00225BC5"/>
    <w:rsid w:val="00226765"/>
    <w:rsid w:val="002301CC"/>
    <w:rsid w:val="00230DF7"/>
    <w:rsid w:val="00233CA4"/>
    <w:rsid w:val="002347A2"/>
    <w:rsid w:val="00237D8D"/>
    <w:rsid w:val="00243573"/>
    <w:rsid w:val="002438BD"/>
    <w:rsid w:val="00244F58"/>
    <w:rsid w:val="00246C99"/>
    <w:rsid w:val="00247D67"/>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25EA"/>
    <w:rsid w:val="002750B4"/>
    <w:rsid w:val="00275388"/>
    <w:rsid w:val="002755E6"/>
    <w:rsid w:val="00277086"/>
    <w:rsid w:val="0027732C"/>
    <w:rsid w:val="00277BD5"/>
    <w:rsid w:val="00284880"/>
    <w:rsid w:val="002856B5"/>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ABA"/>
    <w:rsid w:val="002C5B09"/>
    <w:rsid w:val="002D063C"/>
    <w:rsid w:val="002D2CF6"/>
    <w:rsid w:val="002D31DC"/>
    <w:rsid w:val="002D3F3C"/>
    <w:rsid w:val="002D4032"/>
    <w:rsid w:val="002D4B7D"/>
    <w:rsid w:val="002D5A5E"/>
    <w:rsid w:val="002D7462"/>
    <w:rsid w:val="002D79E5"/>
    <w:rsid w:val="002E0919"/>
    <w:rsid w:val="002E2F22"/>
    <w:rsid w:val="002E3CC3"/>
    <w:rsid w:val="002F5BA9"/>
    <w:rsid w:val="00301AC3"/>
    <w:rsid w:val="00302690"/>
    <w:rsid w:val="00302982"/>
    <w:rsid w:val="00303418"/>
    <w:rsid w:val="00305DF9"/>
    <w:rsid w:val="00307989"/>
    <w:rsid w:val="00316104"/>
    <w:rsid w:val="00317237"/>
    <w:rsid w:val="00321960"/>
    <w:rsid w:val="00322404"/>
    <w:rsid w:val="00322E30"/>
    <w:rsid w:val="003238DF"/>
    <w:rsid w:val="00324C04"/>
    <w:rsid w:val="00330F66"/>
    <w:rsid w:val="003340DF"/>
    <w:rsid w:val="00334343"/>
    <w:rsid w:val="003347A0"/>
    <w:rsid w:val="00336F88"/>
    <w:rsid w:val="003404B0"/>
    <w:rsid w:val="00340FF0"/>
    <w:rsid w:val="003410AF"/>
    <w:rsid w:val="00341A6E"/>
    <w:rsid w:val="00341F6C"/>
    <w:rsid w:val="00342CC3"/>
    <w:rsid w:val="00343E0C"/>
    <w:rsid w:val="00344DA3"/>
    <w:rsid w:val="00350F9A"/>
    <w:rsid w:val="00351987"/>
    <w:rsid w:val="00351C78"/>
    <w:rsid w:val="00351F4C"/>
    <w:rsid w:val="00352A64"/>
    <w:rsid w:val="0035334E"/>
    <w:rsid w:val="003549D0"/>
    <w:rsid w:val="003557E4"/>
    <w:rsid w:val="0035706E"/>
    <w:rsid w:val="00361A29"/>
    <w:rsid w:val="00365B2B"/>
    <w:rsid w:val="0036715B"/>
    <w:rsid w:val="00367E4A"/>
    <w:rsid w:val="00371465"/>
    <w:rsid w:val="003725D7"/>
    <w:rsid w:val="0037414E"/>
    <w:rsid w:val="0037427E"/>
    <w:rsid w:val="00375606"/>
    <w:rsid w:val="00376B4C"/>
    <w:rsid w:val="00381A7A"/>
    <w:rsid w:val="00381DD7"/>
    <w:rsid w:val="00385438"/>
    <w:rsid w:val="00385B36"/>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35B7"/>
    <w:rsid w:val="003B59D9"/>
    <w:rsid w:val="003B7E04"/>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1A07"/>
    <w:rsid w:val="00402EDB"/>
    <w:rsid w:val="004100FD"/>
    <w:rsid w:val="0041232A"/>
    <w:rsid w:val="004125FC"/>
    <w:rsid w:val="00412AD9"/>
    <w:rsid w:val="00414203"/>
    <w:rsid w:val="00415492"/>
    <w:rsid w:val="00415546"/>
    <w:rsid w:val="004178C8"/>
    <w:rsid w:val="00423C35"/>
    <w:rsid w:val="00425576"/>
    <w:rsid w:val="004272C2"/>
    <w:rsid w:val="004278D4"/>
    <w:rsid w:val="00430D45"/>
    <w:rsid w:val="00431DA3"/>
    <w:rsid w:val="00432A0C"/>
    <w:rsid w:val="00433DE5"/>
    <w:rsid w:val="00434CD2"/>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63DDD"/>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2129"/>
    <w:rsid w:val="004932B4"/>
    <w:rsid w:val="00493DD9"/>
    <w:rsid w:val="00496CF3"/>
    <w:rsid w:val="00496D57"/>
    <w:rsid w:val="004A135E"/>
    <w:rsid w:val="004A373F"/>
    <w:rsid w:val="004A464E"/>
    <w:rsid w:val="004A4859"/>
    <w:rsid w:val="004B0832"/>
    <w:rsid w:val="004B1A44"/>
    <w:rsid w:val="004B1D23"/>
    <w:rsid w:val="004B5CC9"/>
    <w:rsid w:val="004B72BC"/>
    <w:rsid w:val="004C0FC4"/>
    <w:rsid w:val="004C119D"/>
    <w:rsid w:val="004C1246"/>
    <w:rsid w:val="004C1EC2"/>
    <w:rsid w:val="004C4F15"/>
    <w:rsid w:val="004C61B8"/>
    <w:rsid w:val="004C7700"/>
    <w:rsid w:val="004D028D"/>
    <w:rsid w:val="004D3D71"/>
    <w:rsid w:val="004D4FBD"/>
    <w:rsid w:val="004E1031"/>
    <w:rsid w:val="004E16F4"/>
    <w:rsid w:val="004E1CA8"/>
    <w:rsid w:val="004E201A"/>
    <w:rsid w:val="004E2788"/>
    <w:rsid w:val="004E28A4"/>
    <w:rsid w:val="004E3E2A"/>
    <w:rsid w:val="004E441F"/>
    <w:rsid w:val="004F0E59"/>
    <w:rsid w:val="004F1A93"/>
    <w:rsid w:val="004F27DA"/>
    <w:rsid w:val="004F29A2"/>
    <w:rsid w:val="004F2EAE"/>
    <w:rsid w:val="004F2FDA"/>
    <w:rsid w:val="004F49DE"/>
    <w:rsid w:val="004F4C83"/>
    <w:rsid w:val="004F564A"/>
    <w:rsid w:val="004F5932"/>
    <w:rsid w:val="004F6088"/>
    <w:rsid w:val="0050055F"/>
    <w:rsid w:val="00501A8E"/>
    <w:rsid w:val="00502983"/>
    <w:rsid w:val="00504176"/>
    <w:rsid w:val="005045F2"/>
    <w:rsid w:val="0051102B"/>
    <w:rsid w:val="0051110B"/>
    <w:rsid w:val="00513E02"/>
    <w:rsid w:val="005141F0"/>
    <w:rsid w:val="00514727"/>
    <w:rsid w:val="005163A1"/>
    <w:rsid w:val="0051691A"/>
    <w:rsid w:val="005216DB"/>
    <w:rsid w:val="00522BE1"/>
    <w:rsid w:val="00525134"/>
    <w:rsid w:val="00527055"/>
    <w:rsid w:val="00527860"/>
    <w:rsid w:val="005302E8"/>
    <w:rsid w:val="00537C60"/>
    <w:rsid w:val="005403BB"/>
    <w:rsid w:val="00540508"/>
    <w:rsid w:val="00541462"/>
    <w:rsid w:val="00541514"/>
    <w:rsid w:val="00545692"/>
    <w:rsid w:val="00547939"/>
    <w:rsid w:val="0055006E"/>
    <w:rsid w:val="005528A4"/>
    <w:rsid w:val="0055343F"/>
    <w:rsid w:val="005538B1"/>
    <w:rsid w:val="00553A08"/>
    <w:rsid w:val="00554135"/>
    <w:rsid w:val="005570A3"/>
    <w:rsid w:val="00557BB6"/>
    <w:rsid w:val="00561030"/>
    <w:rsid w:val="0056162A"/>
    <w:rsid w:val="005617E0"/>
    <w:rsid w:val="005618EC"/>
    <w:rsid w:val="005623D2"/>
    <w:rsid w:val="0056793D"/>
    <w:rsid w:val="00570476"/>
    <w:rsid w:val="005758B0"/>
    <w:rsid w:val="0057593B"/>
    <w:rsid w:val="005761DA"/>
    <w:rsid w:val="00576B9B"/>
    <w:rsid w:val="005775A5"/>
    <w:rsid w:val="00577A94"/>
    <w:rsid w:val="00577CD6"/>
    <w:rsid w:val="005815D3"/>
    <w:rsid w:val="00581C4B"/>
    <w:rsid w:val="005820C9"/>
    <w:rsid w:val="00582F58"/>
    <w:rsid w:val="005847C1"/>
    <w:rsid w:val="005903E6"/>
    <w:rsid w:val="005906A6"/>
    <w:rsid w:val="00590E74"/>
    <w:rsid w:val="00593B63"/>
    <w:rsid w:val="005A1F8D"/>
    <w:rsid w:val="005A2951"/>
    <w:rsid w:val="005A6087"/>
    <w:rsid w:val="005A67BB"/>
    <w:rsid w:val="005A740E"/>
    <w:rsid w:val="005B0120"/>
    <w:rsid w:val="005B0BCC"/>
    <w:rsid w:val="005B2090"/>
    <w:rsid w:val="005B2184"/>
    <w:rsid w:val="005B2A3B"/>
    <w:rsid w:val="005B2A9E"/>
    <w:rsid w:val="005B2AFE"/>
    <w:rsid w:val="005B39F8"/>
    <w:rsid w:val="005B3F4F"/>
    <w:rsid w:val="005B5732"/>
    <w:rsid w:val="005C2B4E"/>
    <w:rsid w:val="005C5E3B"/>
    <w:rsid w:val="005C663F"/>
    <w:rsid w:val="005C79E2"/>
    <w:rsid w:val="005D07B3"/>
    <w:rsid w:val="005D1611"/>
    <w:rsid w:val="005D2741"/>
    <w:rsid w:val="005D2D65"/>
    <w:rsid w:val="005D457C"/>
    <w:rsid w:val="005D6C7E"/>
    <w:rsid w:val="005D6DD1"/>
    <w:rsid w:val="005E0597"/>
    <w:rsid w:val="005E0DCD"/>
    <w:rsid w:val="005E5234"/>
    <w:rsid w:val="005E7F3F"/>
    <w:rsid w:val="005F38E6"/>
    <w:rsid w:val="005F6CAA"/>
    <w:rsid w:val="006000F7"/>
    <w:rsid w:val="00602DE5"/>
    <w:rsid w:val="0060451F"/>
    <w:rsid w:val="006049B5"/>
    <w:rsid w:val="006054BF"/>
    <w:rsid w:val="0060556C"/>
    <w:rsid w:val="00605FB9"/>
    <w:rsid w:val="006077DA"/>
    <w:rsid w:val="00613495"/>
    <w:rsid w:val="006138A9"/>
    <w:rsid w:val="00615AB4"/>
    <w:rsid w:val="00616699"/>
    <w:rsid w:val="006217C9"/>
    <w:rsid w:val="006217CD"/>
    <w:rsid w:val="00622118"/>
    <w:rsid w:val="00622A7A"/>
    <w:rsid w:val="00623AAB"/>
    <w:rsid w:val="00623F3E"/>
    <w:rsid w:val="00626C25"/>
    <w:rsid w:val="00632581"/>
    <w:rsid w:val="0063404D"/>
    <w:rsid w:val="00637C57"/>
    <w:rsid w:val="00640710"/>
    <w:rsid w:val="00642967"/>
    <w:rsid w:val="00643C82"/>
    <w:rsid w:val="00652FDA"/>
    <w:rsid w:val="006532FE"/>
    <w:rsid w:val="00655583"/>
    <w:rsid w:val="00657861"/>
    <w:rsid w:val="00657A43"/>
    <w:rsid w:val="00660860"/>
    <w:rsid w:val="00660BC7"/>
    <w:rsid w:val="0066177F"/>
    <w:rsid w:val="00661FD1"/>
    <w:rsid w:val="006631A6"/>
    <w:rsid w:val="006634B2"/>
    <w:rsid w:val="006635EA"/>
    <w:rsid w:val="0066581C"/>
    <w:rsid w:val="00670F37"/>
    <w:rsid w:val="00674510"/>
    <w:rsid w:val="0067548C"/>
    <w:rsid w:val="0068029A"/>
    <w:rsid w:val="006817FD"/>
    <w:rsid w:val="00684358"/>
    <w:rsid w:val="00686D4F"/>
    <w:rsid w:val="00687BC5"/>
    <w:rsid w:val="00691763"/>
    <w:rsid w:val="0069233D"/>
    <w:rsid w:val="006A28D5"/>
    <w:rsid w:val="006A3076"/>
    <w:rsid w:val="006A3B57"/>
    <w:rsid w:val="006A4BE5"/>
    <w:rsid w:val="006A55AD"/>
    <w:rsid w:val="006A65EF"/>
    <w:rsid w:val="006A6EAF"/>
    <w:rsid w:val="006B7C15"/>
    <w:rsid w:val="006C492D"/>
    <w:rsid w:val="006C6369"/>
    <w:rsid w:val="006C6EF2"/>
    <w:rsid w:val="006C787C"/>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390"/>
    <w:rsid w:val="007227D3"/>
    <w:rsid w:val="0073079B"/>
    <w:rsid w:val="00730BED"/>
    <w:rsid w:val="00732340"/>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84776"/>
    <w:rsid w:val="007904A7"/>
    <w:rsid w:val="00794744"/>
    <w:rsid w:val="00794C4E"/>
    <w:rsid w:val="007963A2"/>
    <w:rsid w:val="007A24EA"/>
    <w:rsid w:val="007A6F05"/>
    <w:rsid w:val="007B097B"/>
    <w:rsid w:val="007B6642"/>
    <w:rsid w:val="007C5CDC"/>
    <w:rsid w:val="007C6DEF"/>
    <w:rsid w:val="007C7C36"/>
    <w:rsid w:val="007D1C46"/>
    <w:rsid w:val="007D340E"/>
    <w:rsid w:val="007D3596"/>
    <w:rsid w:val="007D5A8A"/>
    <w:rsid w:val="007D62CA"/>
    <w:rsid w:val="007D66C2"/>
    <w:rsid w:val="007D765B"/>
    <w:rsid w:val="007E0BFD"/>
    <w:rsid w:val="007E158B"/>
    <w:rsid w:val="007E20CA"/>
    <w:rsid w:val="007E2AC1"/>
    <w:rsid w:val="007F042D"/>
    <w:rsid w:val="007F0737"/>
    <w:rsid w:val="007F0940"/>
    <w:rsid w:val="007F19AC"/>
    <w:rsid w:val="007F1E62"/>
    <w:rsid w:val="007F24F6"/>
    <w:rsid w:val="007F2A0D"/>
    <w:rsid w:val="007F2A7E"/>
    <w:rsid w:val="007F516F"/>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892"/>
    <w:rsid w:val="00824A4E"/>
    <w:rsid w:val="008254E7"/>
    <w:rsid w:val="00826F14"/>
    <w:rsid w:val="0083477F"/>
    <w:rsid w:val="00837152"/>
    <w:rsid w:val="00837596"/>
    <w:rsid w:val="00837E9D"/>
    <w:rsid w:val="00840886"/>
    <w:rsid w:val="008408A0"/>
    <w:rsid w:val="00846E88"/>
    <w:rsid w:val="008501A5"/>
    <w:rsid w:val="00854ADE"/>
    <w:rsid w:val="00855F79"/>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95CD0"/>
    <w:rsid w:val="008A02A1"/>
    <w:rsid w:val="008A0590"/>
    <w:rsid w:val="008B063A"/>
    <w:rsid w:val="008B066F"/>
    <w:rsid w:val="008B2878"/>
    <w:rsid w:val="008B2A80"/>
    <w:rsid w:val="008B4122"/>
    <w:rsid w:val="008B534E"/>
    <w:rsid w:val="008B536E"/>
    <w:rsid w:val="008B5F79"/>
    <w:rsid w:val="008B61CE"/>
    <w:rsid w:val="008B7BB4"/>
    <w:rsid w:val="008C2242"/>
    <w:rsid w:val="008C2FFC"/>
    <w:rsid w:val="008C3D85"/>
    <w:rsid w:val="008D1DD0"/>
    <w:rsid w:val="008D2512"/>
    <w:rsid w:val="008D3423"/>
    <w:rsid w:val="008D416F"/>
    <w:rsid w:val="008D6580"/>
    <w:rsid w:val="008E1E2A"/>
    <w:rsid w:val="008E277B"/>
    <w:rsid w:val="008E3748"/>
    <w:rsid w:val="008E45DE"/>
    <w:rsid w:val="008E4FB0"/>
    <w:rsid w:val="008E765D"/>
    <w:rsid w:val="008F733C"/>
    <w:rsid w:val="00904292"/>
    <w:rsid w:val="00910626"/>
    <w:rsid w:val="00910AC9"/>
    <w:rsid w:val="0091236B"/>
    <w:rsid w:val="009135EF"/>
    <w:rsid w:val="00914A6B"/>
    <w:rsid w:val="009150AA"/>
    <w:rsid w:val="009167EA"/>
    <w:rsid w:val="0091691F"/>
    <w:rsid w:val="00916E26"/>
    <w:rsid w:val="00917CF5"/>
    <w:rsid w:val="009203AD"/>
    <w:rsid w:val="00920BA7"/>
    <w:rsid w:val="00921D50"/>
    <w:rsid w:val="00923ABF"/>
    <w:rsid w:val="009257CF"/>
    <w:rsid w:val="00926D34"/>
    <w:rsid w:val="00926E93"/>
    <w:rsid w:val="00927FAF"/>
    <w:rsid w:val="0093066E"/>
    <w:rsid w:val="00930C66"/>
    <w:rsid w:val="00933AD4"/>
    <w:rsid w:val="00935914"/>
    <w:rsid w:val="00935D37"/>
    <w:rsid w:val="00936389"/>
    <w:rsid w:val="00940633"/>
    <w:rsid w:val="009413D6"/>
    <w:rsid w:val="009418C7"/>
    <w:rsid w:val="00942DC2"/>
    <w:rsid w:val="00943325"/>
    <w:rsid w:val="009433EF"/>
    <w:rsid w:val="00943770"/>
    <w:rsid w:val="0094465F"/>
    <w:rsid w:val="00946637"/>
    <w:rsid w:val="00947975"/>
    <w:rsid w:val="00956CA1"/>
    <w:rsid w:val="00957FC8"/>
    <w:rsid w:val="0096020A"/>
    <w:rsid w:val="00960DBD"/>
    <w:rsid w:val="00960E8B"/>
    <w:rsid w:val="009618C6"/>
    <w:rsid w:val="0096652B"/>
    <w:rsid w:val="00967743"/>
    <w:rsid w:val="009700AC"/>
    <w:rsid w:val="00970E4B"/>
    <w:rsid w:val="0097162D"/>
    <w:rsid w:val="0097243D"/>
    <w:rsid w:val="0097473C"/>
    <w:rsid w:val="00974D3A"/>
    <w:rsid w:val="0097594A"/>
    <w:rsid w:val="00977B8C"/>
    <w:rsid w:val="00980419"/>
    <w:rsid w:val="00980D23"/>
    <w:rsid w:val="00981219"/>
    <w:rsid w:val="00983324"/>
    <w:rsid w:val="00983562"/>
    <w:rsid w:val="00985E2D"/>
    <w:rsid w:val="00990379"/>
    <w:rsid w:val="0099164F"/>
    <w:rsid w:val="00994467"/>
    <w:rsid w:val="00994538"/>
    <w:rsid w:val="00995057"/>
    <w:rsid w:val="009958DA"/>
    <w:rsid w:val="00995BF2"/>
    <w:rsid w:val="009966F3"/>
    <w:rsid w:val="0099782D"/>
    <w:rsid w:val="00997D7A"/>
    <w:rsid w:val="009A323D"/>
    <w:rsid w:val="009A4D6E"/>
    <w:rsid w:val="009A54A9"/>
    <w:rsid w:val="009B0F62"/>
    <w:rsid w:val="009B4126"/>
    <w:rsid w:val="009B4573"/>
    <w:rsid w:val="009B551A"/>
    <w:rsid w:val="009B5ABF"/>
    <w:rsid w:val="009B6906"/>
    <w:rsid w:val="009B7AF2"/>
    <w:rsid w:val="009B7E26"/>
    <w:rsid w:val="009C0CFE"/>
    <w:rsid w:val="009C253A"/>
    <w:rsid w:val="009C323E"/>
    <w:rsid w:val="009C3D15"/>
    <w:rsid w:val="009C7DC5"/>
    <w:rsid w:val="009D16DF"/>
    <w:rsid w:val="009D1830"/>
    <w:rsid w:val="009D1AC9"/>
    <w:rsid w:val="009D1DF7"/>
    <w:rsid w:val="009D26AC"/>
    <w:rsid w:val="009D3B7A"/>
    <w:rsid w:val="009D417C"/>
    <w:rsid w:val="009D455E"/>
    <w:rsid w:val="009D5E5D"/>
    <w:rsid w:val="009E408C"/>
    <w:rsid w:val="009E41F1"/>
    <w:rsid w:val="009E6969"/>
    <w:rsid w:val="009F13D4"/>
    <w:rsid w:val="009F14F1"/>
    <w:rsid w:val="009F1CFB"/>
    <w:rsid w:val="009F1DFF"/>
    <w:rsid w:val="009F35D0"/>
    <w:rsid w:val="009F3B9B"/>
    <w:rsid w:val="009F4D6D"/>
    <w:rsid w:val="009F5A1E"/>
    <w:rsid w:val="009F69BD"/>
    <w:rsid w:val="009F69DB"/>
    <w:rsid w:val="009F6E0B"/>
    <w:rsid w:val="00A0130C"/>
    <w:rsid w:val="00A013CD"/>
    <w:rsid w:val="00A027F4"/>
    <w:rsid w:val="00A0337F"/>
    <w:rsid w:val="00A03890"/>
    <w:rsid w:val="00A055DB"/>
    <w:rsid w:val="00A0595F"/>
    <w:rsid w:val="00A12557"/>
    <w:rsid w:val="00A12B15"/>
    <w:rsid w:val="00A1338D"/>
    <w:rsid w:val="00A15138"/>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37C72"/>
    <w:rsid w:val="00A4158C"/>
    <w:rsid w:val="00A41CDE"/>
    <w:rsid w:val="00A42678"/>
    <w:rsid w:val="00A44782"/>
    <w:rsid w:val="00A51056"/>
    <w:rsid w:val="00A52ADA"/>
    <w:rsid w:val="00A54A96"/>
    <w:rsid w:val="00A54C2D"/>
    <w:rsid w:val="00A55F01"/>
    <w:rsid w:val="00A565C3"/>
    <w:rsid w:val="00A5779D"/>
    <w:rsid w:val="00A62053"/>
    <w:rsid w:val="00A66B95"/>
    <w:rsid w:val="00A67E61"/>
    <w:rsid w:val="00A746B2"/>
    <w:rsid w:val="00A74FC4"/>
    <w:rsid w:val="00A8034A"/>
    <w:rsid w:val="00A81344"/>
    <w:rsid w:val="00A8144C"/>
    <w:rsid w:val="00A82198"/>
    <w:rsid w:val="00A826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4480"/>
    <w:rsid w:val="00AB7DAC"/>
    <w:rsid w:val="00AC1974"/>
    <w:rsid w:val="00AC2132"/>
    <w:rsid w:val="00AC4D0F"/>
    <w:rsid w:val="00AC6193"/>
    <w:rsid w:val="00AC685E"/>
    <w:rsid w:val="00AD04B0"/>
    <w:rsid w:val="00AD0907"/>
    <w:rsid w:val="00AD29ED"/>
    <w:rsid w:val="00AD5212"/>
    <w:rsid w:val="00AD5330"/>
    <w:rsid w:val="00AD57D5"/>
    <w:rsid w:val="00AE14C5"/>
    <w:rsid w:val="00AE3288"/>
    <w:rsid w:val="00AE36EC"/>
    <w:rsid w:val="00AE43B0"/>
    <w:rsid w:val="00AE4C6F"/>
    <w:rsid w:val="00AE5AAD"/>
    <w:rsid w:val="00AE5CC0"/>
    <w:rsid w:val="00AE688F"/>
    <w:rsid w:val="00AF0A6F"/>
    <w:rsid w:val="00AF2682"/>
    <w:rsid w:val="00AF31FA"/>
    <w:rsid w:val="00AF375F"/>
    <w:rsid w:val="00AF400E"/>
    <w:rsid w:val="00AF4411"/>
    <w:rsid w:val="00AF4A06"/>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0C52"/>
    <w:rsid w:val="00B64E58"/>
    <w:rsid w:val="00B666ED"/>
    <w:rsid w:val="00B67AA2"/>
    <w:rsid w:val="00B703B5"/>
    <w:rsid w:val="00B70DED"/>
    <w:rsid w:val="00B7317D"/>
    <w:rsid w:val="00B73533"/>
    <w:rsid w:val="00B73E35"/>
    <w:rsid w:val="00B76556"/>
    <w:rsid w:val="00B836D5"/>
    <w:rsid w:val="00B840AB"/>
    <w:rsid w:val="00B84FE0"/>
    <w:rsid w:val="00B90258"/>
    <w:rsid w:val="00B90C4D"/>
    <w:rsid w:val="00B92C79"/>
    <w:rsid w:val="00B952EB"/>
    <w:rsid w:val="00B96270"/>
    <w:rsid w:val="00B97680"/>
    <w:rsid w:val="00BA069E"/>
    <w:rsid w:val="00BA0EAF"/>
    <w:rsid w:val="00BA12FD"/>
    <w:rsid w:val="00BA5DE0"/>
    <w:rsid w:val="00BA673F"/>
    <w:rsid w:val="00BA688B"/>
    <w:rsid w:val="00BA69BB"/>
    <w:rsid w:val="00BA7956"/>
    <w:rsid w:val="00BA7B67"/>
    <w:rsid w:val="00BA7D46"/>
    <w:rsid w:val="00BB143A"/>
    <w:rsid w:val="00BB77ED"/>
    <w:rsid w:val="00BC07D9"/>
    <w:rsid w:val="00BC0F68"/>
    <w:rsid w:val="00BC2012"/>
    <w:rsid w:val="00BC5ACB"/>
    <w:rsid w:val="00BC5D13"/>
    <w:rsid w:val="00BD0A62"/>
    <w:rsid w:val="00BD0B0A"/>
    <w:rsid w:val="00BD156F"/>
    <w:rsid w:val="00BD1AAA"/>
    <w:rsid w:val="00BD3403"/>
    <w:rsid w:val="00BD3778"/>
    <w:rsid w:val="00BD384E"/>
    <w:rsid w:val="00BD6CB8"/>
    <w:rsid w:val="00BE03FB"/>
    <w:rsid w:val="00BE1A66"/>
    <w:rsid w:val="00BE1E84"/>
    <w:rsid w:val="00BE25B8"/>
    <w:rsid w:val="00BE41F1"/>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13E5"/>
    <w:rsid w:val="00C1296E"/>
    <w:rsid w:val="00C168B8"/>
    <w:rsid w:val="00C16B94"/>
    <w:rsid w:val="00C17D51"/>
    <w:rsid w:val="00C2004B"/>
    <w:rsid w:val="00C20E96"/>
    <w:rsid w:val="00C22AFA"/>
    <w:rsid w:val="00C2394D"/>
    <w:rsid w:val="00C24A34"/>
    <w:rsid w:val="00C275DE"/>
    <w:rsid w:val="00C27E82"/>
    <w:rsid w:val="00C3225F"/>
    <w:rsid w:val="00C344E7"/>
    <w:rsid w:val="00C34C2B"/>
    <w:rsid w:val="00C45BDE"/>
    <w:rsid w:val="00C471EE"/>
    <w:rsid w:val="00C4759B"/>
    <w:rsid w:val="00C5090D"/>
    <w:rsid w:val="00C516A1"/>
    <w:rsid w:val="00C531FF"/>
    <w:rsid w:val="00C53663"/>
    <w:rsid w:val="00C543E3"/>
    <w:rsid w:val="00C54463"/>
    <w:rsid w:val="00C61F9D"/>
    <w:rsid w:val="00C625FA"/>
    <w:rsid w:val="00C644C7"/>
    <w:rsid w:val="00C659D0"/>
    <w:rsid w:val="00C65F9B"/>
    <w:rsid w:val="00C66A8C"/>
    <w:rsid w:val="00C675E6"/>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4FFE"/>
    <w:rsid w:val="00CB5D2C"/>
    <w:rsid w:val="00CB6919"/>
    <w:rsid w:val="00CB780D"/>
    <w:rsid w:val="00CC14E4"/>
    <w:rsid w:val="00CC2443"/>
    <w:rsid w:val="00CC7BEA"/>
    <w:rsid w:val="00CD1675"/>
    <w:rsid w:val="00CD2899"/>
    <w:rsid w:val="00CD399D"/>
    <w:rsid w:val="00CD4642"/>
    <w:rsid w:val="00CD5308"/>
    <w:rsid w:val="00CD5F4C"/>
    <w:rsid w:val="00CE2266"/>
    <w:rsid w:val="00CE3E35"/>
    <w:rsid w:val="00CE5E6E"/>
    <w:rsid w:val="00CE618F"/>
    <w:rsid w:val="00CE6508"/>
    <w:rsid w:val="00CF77E7"/>
    <w:rsid w:val="00CF7E4F"/>
    <w:rsid w:val="00D023FE"/>
    <w:rsid w:val="00D02728"/>
    <w:rsid w:val="00D0487F"/>
    <w:rsid w:val="00D101F0"/>
    <w:rsid w:val="00D1209D"/>
    <w:rsid w:val="00D122FC"/>
    <w:rsid w:val="00D13AEB"/>
    <w:rsid w:val="00D14674"/>
    <w:rsid w:val="00D14BFB"/>
    <w:rsid w:val="00D15A21"/>
    <w:rsid w:val="00D178DE"/>
    <w:rsid w:val="00D202DB"/>
    <w:rsid w:val="00D20B6D"/>
    <w:rsid w:val="00D21A57"/>
    <w:rsid w:val="00D2210B"/>
    <w:rsid w:val="00D222CE"/>
    <w:rsid w:val="00D24FF7"/>
    <w:rsid w:val="00D252DC"/>
    <w:rsid w:val="00D3538A"/>
    <w:rsid w:val="00D3737D"/>
    <w:rsid w:val="00D37406"/>
    <w:rsid w:val="00D377BF"/>
    <w:rsid w:val="00D4207E"/>
    <w:rsid w:val="00D44386"/>
    <w:rsid w:val="00D444F3"/>
    <w:rsid w:val="00D4467C"/>
    <w:rsid w:val="00D4554B"/>
    <w:rsid w:val="00D47771"/>
    <w:rsid w:val="00D530AF"/>
    <w:rsid w:val="00D54B07"/>
    <w:rsid w:val="00D55776"/>
    <w:rsid w:val="00D60772"/>
    <w:rsid w:val="00D60B47"/>
    <w:rsid w:val="00D616FD"/>
    <w:rsid w:val="00D6281A"/>
    <w:rsid w:val="00D661F4"/>
    <w:rsid w:val="00D719F3"/>
    <w:rsid w:val="00D721B4"/>
    <w:rsid w:val="00D74F18"/>
    <w:rsid w:val="00D81C3D"/>
    <w:rsid w:val="00D82CD2"/>
    <w:rsid w:val="00D83463"/>
    <w:rsid w:val="00D83650"/>
    <w:rsid w:val="00D8726D"/>
    <w:rsid w:val="00D87EE7"/>
    <w:rsid w:val="00D91482"/>
    <w:rsid w:val="00D9267E"/>
    <w:rsid w:val="00D92D78"/>
    <w:rsid w:val="00D932EE"/>
    <w:rsid w:val="00D94B63"/>
    <w:rsid w:val="00D94EA0"/>
    <w:rsid w:val="00D96622"/>
    <w:rsid w:val="00D9708A"/>
    <w:rsid w:val="00D97AB1"/>
    <w:rsid w:val="00DA1925"/>
    <w:rsid w:val="00DA31E0"/>
    <w:rsid w:val="00DA35CA"/>
    <w:rsid w:val="00DA70FF"/>
    <w:rsid w:val="00DB0CCF"/>
    <w:rsid w:val="00DB33AC"/>
    <w:rsid w:val="00DB3818"/>
    <w:rsid w:val="00DB4518"/>
    <w:rsid w:val="00DB6B93"/>
    <w:rsid w:val="00DB6C2C"/>
    <w:rsid w:val="00DC0A4B"/>
    <w:rsid w:val="00DC0E9B"/>
    <w:rsid w:val="00DC21CC"/>
    <w:rsid w:val="00DC2EBB"/>
    <w:rsid w:val="00DC73F9"/>
    <w:rsid w:val="00DC7CCD"/>
    <w:rsid w:val="00DD19B7"/>
    <w:rsid w:val="00DD22BC"/>
    <w:rsid w:val="00DE279C"/>
    <w:rsid w:val="00DE52B4"/>
    <w:rsid w:val="00DF14B1"/>
    <w:rsid w:val="00DF1A59"/>
    <w:rsid w:val="00DF35B5"/>
    <w:rsid w:val="00DF5F69"/>
    <w:rsid w:val="00DF761C"/>
    <w:rsid w:val="00E00204"/>
    <w:rsid w:val="00E0152C"/>
    <w:rsid w:val="00E05300"/>
    <w:rsid w:val="00E06B2D"/>
    <w:rsid w:val="00E06E06"/>
    <w:rsid w:val="00E10413"/>
    <w:rsid w:val="00E108C6"/>
    <w:rsid w:val="00E11FB2"/>
    <w:rsid w:val="00E12664"/>
    <w:rsid w:val="00E1274D"/>
    <w:rsid w:val="00E13203"/>
    <w:rsid w:val="00E135BE"/>
    <w:rsid w:val="00E13CA2"/>
    <w:rsid w:val="00E14D5C"/>
    <w:rsid w:val="00E15AF3"/>
    <w:rsid w:val="00E161D1"/>
    <w:rsid w:val="00E1689F"/>
    <w:rsid w:val="00E17254"/>
    <w:rsid w:val="00E212BE"/>
    <w:rsid w:val="00E2150F"/>
    <w:rsid w:val="00E21FA4"/>
    <w:rsid w:val="00E22D24"/>
    <w:rsid w:val="00E22F24"/>
    <w:rsid w:val="00E2382F"/>
    <w:rsid w:val="00E24E5D"/>
    <w:rsid w:val="00E257B7"/>
    <w:rsid w:val="00E3217C"/>
    <w:rsid w:val="00E32829"/>
    <w:rsid w:val="00E36741"/>
    <w:rsid w:val="00E373AE"/>
    <w:rsid w:val="00E41597"/>
    <w:rsid w:val="00E4172D"/>
    <w:rsid w:val="00E4182E"/>
    <w:rsid w:val="00E4444A"/>
    <w:rsid w:val="00E479D1"/>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606B"/>
    <w:rsid w:val="00E87088"/>
    <w:rsid w:val="00E941F7"/>
    <w:rsid w:val="00E95E66"/>
    <w:rsid w:val="00E966C3"/>
    <w:rsid w:val="00E97D6F"/>
    <w:rsid w:val="00E97EB0"/>
    <w:rsid w:val="00EA42FC"/>
    <w:rsid w:val="00EA5D2D"/>
    <w:rsid w:val="00EB67DA"/>
    <w:rsid w:val="00EC29B6"/>
    <w:rsid w:val="00EC2E25"/>
    <w:rsid w:val="00EC6399"/>
    <w:rsid w:val="00EC7062"/>
    <w:rsid w:val="00EC7B6C"/>
    <w:rsid w:val="00ED00C1"/>
    <w:rsid w:val="00ED059D"/>
    <w:rsid w:val="00ED11DD"/>
    <w:rsid w:val="00ED1E83"/>
    <w:rsid w:val="00ED3579"/>
    <w:rsid w:val="00ED36C0"/>
    <w:rsid w:val="00ED450A"/>
    <w:rsid w:val="00ED6EE5"/>
    <w:rsid w:val="00ED7EF1"/>
    <w:rsid w:val="00EE261F"/>
    <w:rsid w:val="00EE610D"/>
    <w:rsid w:val="00EE6A58"/>
    <w:rsid w:val="00EF2903"/>
    <w:rsid w:val="00EF58E6"/>
    <w:rsid w:val="00EF59D3"/>
    <w:rsid w:val="00EF62B6"/>
    <w:rsid w:val="00EF7BA0"/>
    <w:rsid w:val="00F00288"/>
    <w:rsid w:val="00F02695"/>
    <w:rsid w:val="00F029CB"/>
    <w:rsid w:val="00F03745"/>
    <w:rsid w:val="00F03899"/>
    <w:rsid w:val="00F10329"/>
    <w:rsid w:val="00F12718"/>
    <w:rsid w:val="00F12B22"/>
    <w:rsid w:val="00F13C9F"/>
    <w:rsid w:val="00F13DA5"/>
    <w:rsid w:val="00F148B7"/>
    <w:rsid w:val="00F14EF6"/>
    <w:rsid w:val="00F16E43"/>
    <w:rsid w:val="00F16FED"/>
    <w:rsid w:val="00F17570"/>
    <w:rsid w:val="00F20D57"/>
    <w:rsid w:val="00F22550"/>
    <w:rsid w:val="00F23334"/>
    <w:rsid w:val="00F24422"/>
    <w:rsid w:val="00F261C0"/>
    <w:rsid w:val="00F27145"/>
    <w:rsid w:val="00F2738E"/>
    <w:rsid w:val="00F3016E"/>
    <w:rsid w:val="00F332D4"/>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3BD5"/>
    <w:rsid w:val="00F768AB"/>
    <w:rsid w:val="00F76A08"/>
    <w:rsid w:val="00F81D9A"/>
    <w:rsid w:val="00F85DCD"/>
    <w:rsid w:val="00F875D2"/>
    <w:rsid w:val="00F90490"/>
    <w:rsid w:val="00F92861"/>
    <w:rsid w:val="00F93577"/>
    <w:rsid w:val="00F94AE4"/>
    <w:rsid w:val="00F95A50"/>
    <w:rsid w:val="00F97389"/>
    <w:rsid w:val="00F976AC"/>
    <w:rsid w:val="00F97B09"/>
    <w:rsid w:val="00FA12AD"/>
    <w:rsid w:val="00FA185B"/>
    <w:rsid w:val="00FA1C85"/>
    <w:rsid w:val="00FA3864"/>
    <w:rsid w:val="00FA43C3"/>
    <w:rsid w:val="00FA48E5"/>
    <w:rsid w:val="00FA6964"/>
    <w:rsid w:val="00FA6D1C"/>
    <w:rsid w:val="00FB19A9"/>
    <w:rsid w:val="00FC097D"/>
    <w:rsid w:val="00FC0A54"/>
    <w:rsid w:val="00FC2F2E"/>
    <w:rsid w:val="00FC3A41"/>
    <w:rsid w:val="00FC3CB4"/>
    <w:rsid w:val="00FD29FB"/>
    <w:rsid w:val="00FD314F"/>
    <w:rsid w:val="00FD3F68"/>
    <w:rsid w:val="00FD6099"/>
    <w:rsid w:val="00FD668C"/>
    <w:rsid w:val="00FD6BBF"/>
    <w:rsid w:val="00FD707C"/>
    <w:rsid w:val="00FD74CD"/>
    <w:rsid w:val="00FE51BD"/>
    <w:rsid w:val="00FE5DC3"/>
    <w:rsid w:val="00FF1779"/>
    <w:rsid w:val="00FF1981"/>
    <w:rsid w:val="00FF2340"/>
    <w:rsid w:val="00FF60C7"/>
    <w:rsid w:val="00FF7392"/>
    <w:rsid w:val="00FF7C87"/>
    <w:rsid w:val="011B684E"/>
    <w:rsid w:val="023B43DC"/>
    <w:rsid w:val="02A22638"/>
    <w:rsid w:val="03F32506"/>
    <w:rsid w:val="07056611"/>
    <w:rsid w:val="074D26E8"/>
    <w:rsid w:val="082E6590"/>
    <w:rsid w:val="0839301D"/>
    <w:rsid w:val="08B90D15"/>
    <w:rsid w:val="08E635FF"/>
    <w:rsid w:val="096B5EE5"/>
    <w:rsid w:val="09B44ACE"/>
    <w:rsid w:val="0B0D2D51"/>
    <w:rsid w:val="0B882F93"/>
    <w:rsid w:val="0C1F674A"/>
    <w:rsid w:val="101D4F46"/>
    <w:rsid w:val="10A0343D"/>
    <w:rsid w:val="10AA3895"/>
    <w:rsid w:val="10AD75F5"/>
    <w:rsid w:val="110F26B1"/>
    <w:rsid w:val="124B69A8"/>
    <w:rsid w:val="13021A3C"/>
    <w:rsid w:val="13404ED0"/>
    <w:rsid w:val="13AF626F"/>
    <w:rsid w:val="179D2D64"/>
    <w:rsid w:val="18960B5F"/>
    <w:rsid w:val="18FC4FCB"/>
    <w:rsid w:val="193A15E5"/>
    <w:rsid w:val="19B05857"/>
    <w:rsid w:val="1A7D41CF"/>
    <w:rsid w:val="1B0A0FAB"/>
    <w:rsid w:val="1FD3237E"/>
    <w:rsid w:val="1FDD0299"/>
    <w:rsid w:val="200F4EAF"/>
    <w:rsid w:val="20455AAF"/>
    <w:rsid w:val="20B71572"/>
    <w:rsid w:val="20C22A3D"/>
    <w:rsid w:val="212F5750"/>
    <w:rsid w:val="21CE0EBF"/>
    <w:rsid w:val="24485B15"/>
    <w:rsid w:val="24BB36B7"/>
    <w:rsid w:val="25F53D01"/>
    <w:rsid w:val="29851E6F"/>
    <w:rsid w:val="298E7245"/>
    <w:rsid w:val="29F00CC2"/>
    <w:rsid w:val="2A1E3217"/>
    <w:rsid w:val="2BB7150B"/>
    <w:rsid w:val="2C4E4819"/>
    <w:rsid w:val="2D6B7680"/>
    <w:rsid w:val="2FDFD6C0"/>
    <w:rsid w:val="30277111"/>
    <w:rsid w:val="3306419B"/>
    <w:rsid w:val="34C81EFF"/>
    <w:rsid w:val="35775AFB"/>
    <w:rsid w:val="35798AD0"/>
    <w:rsid w:val="35EF9003"/>
    <w:rsid w:val="369026AE"/>
    <w:rsid w:val="3AA062AB"/>
    <w:rsid w:val="3B661242"/>
    <w:rsid w:val="3B661F59"/>
    <w:rsid w:val="3BBD1B4B"/>
    <w:rsid w:val="3CA50283"/>
    <w:rsid w:val="3DBF67ED"/>
    <w:rsid w:val="3E78309A"/>
    <w:rsid w:val="3F66B6EB"/>
    <w:rsid w:val="3F973006"/>
    <w:rsid w:val="3FE0737E"/>
    <w:rsid w:val="3FFD2657"/>
    <w:rsid w:val="403F41DE"/>
    <w:rsid w:val="421552B7"/>
    <w:rsid w:val="4224574B"/>
    <w:rsid w:val="42A33635"/>
    <w:rsid w:val="42DB7D5B"/>
    <w:rsid w:val="437F309C"/>
    <w:rsid w:val="456E4695"/>
    <w:rsid w:val="46AB2884"/>
    <w:rsid w:val="4A456A7E"/>
    <w:rsid w:val="4B1D4D3A"/>
    <w:rsid w:val="4BB12688"/>
    <w:rsid w:val="4D904494"/>
    <w:rsid w:val="4DBC12BA"/>
    <w:rsid w:val="4DDB5AE0"/>
    <w:rsid w:val="4DE930A5"/>
    <w:rsid w:val="4DFAFEEC"/>
    <w:rsid w:val="4FC3731F"/>
    <w:rsid w:val="51650C56"/>
    <w:rsid w:val="51B3397E"/>
    <w:rsid w:val="527D5010"/>
    <w:rsid w:val="534C7A6D"/>
    <w:rsid w:val="538B13CD"/>
    <w:rsid w:val="53AC02D3"/>
    <w:rsid w:val="55B6104E"/>
    <w:rsid w:val="5A7B0E1A"/>
    <w:rsid w:val="5B77571F"/>
    <w:rsid w:val="5BAE3879"/>
    <w:rsid w:val="5C3514A7"/>
    <w:rsid w:val="5D413BC7"/>
    <w:rsid w:val="5DF788D5"/>
    <w:rsid w:val="5FA14289"/>
    <w:rsid w:val="61204859"/>
    <w:rsid w:val="6343530B"/>
    <w:rsid w:val="641225CF"/>
    <w:rsid w:val="64B86B45"/>
    <w:rsid w:val="651824F2"/>
    <w:rsid w:val="65F76D94"/>
    <w:rsid w:val="662933E5"/>
    <w:rsid w:val="66BE452C"/>
    <w:rsid w:val="692C3C2C"/>
    <w:rsid w:val="69B64089"/>
    <w:rsid w:val="6C4F1EE9"/>
    <w:rsid w:val="6CFFDCF0"/>
    <w:rsid w:val="6D2B064A"/>
    <w:rsid w:val="6D9C62DE"/>
    <w:rsid w:val="6ECA521C"/>
    <w:rsid w:val="6F2C465B"/>
    <w:rsid w:val="71865C4E"/>
    <w:rsid w:val="71FFE799"/>
    <w:rsid w:val="723A7396"/>
    <w:rsid w:val="730A77FA"/>
    <w:rsid w:val="74386812"/>
    <w:rsid w:val="74FFC83E"/>
    <w:rsid w:val="753A46EC"/>
    <w:rsid w:val="75565234"/>
    <w:rsid w:val="75778A56"/>
    <w:rsid w:val="75FB8A7A"/>
    <w:rsid w:val="76073D53"/>
    <w:rsid w:val="76EE3139"/>
    <w:rsid w:val="770A462A"/>
    <w:rsid w:val="77EC5A93"/>
    <w:rsid w:val="78807F9A"/>
    <w:rsid w:val="78D549D1"/>
    <w:rsid w:val="7A3D5649"/>
    <w:rsid w:val="7AFB466B"/>
    <w:rsid w:val="7BAD8CEB"/>
    <w:rsid w:val="7BDFB808"/>
    <w:rsid w:val="7C445D56"/>
    <w:rsid w:val="7C52225D"/>
    <w:rsid w:val="7CE73F90"/>
    <w:rsid w:val="7CEF13AD"/>
    <w:rsid w:val="7D164783"/>
    <w:rsid w:val="7D8F4ED6"/>
    <w:rsid w:val="7DCFA92F"/>
    <w:rsid w:val="7DDA296D"/>
    <w:rsid w:val="7E960D71"/>
    <w:rsid w:val="7EFEC519"/>
    <w:rsid w:val="7F2265C1"/>
    <w:rsid w:val="7FDF02C9"/>
    <w:rsid w:val="8BCB4E43"/>
    <w:rsid w:val="97FFAF99"/>
    <w:rsid w:val="9F532598"/>
    <w:rsid w:val="A7DF2988"/>
    <w:rsid w:val="BA7B23C6"/>
    <w:rsid w:val="BCD799AF"/>
    <w:rsid w:val="BE8F6650"/>
    <w:rsid w:val="D7B7CA34"/>
    <w:rsid w:val="D7F6F5D7"/>
    <w:rsid w:val="DFFF1C9C"/>
    <w:rsid w:val="EAFF5D21"/>
    <w:rsid w:val="EBFDBBE2"/>
    <w:rsid w:val="EE3F0079"/>
    <w:rsid w:val="EFAF0B1C"/>
    <w:rsid w:val="F69D3870"/>
    <w:rsid w:val="F8F56BAE"/>
    <w:rsid w:val="F9DFAAD2"/>
    <w:rsid w:val="F9F40F18"/>
    <w:rsid w:val="FABCA060"/>
    <w:rsid w:val="FAEF16E0"/>
    <w:rsid w:val="FEFA225E"/>
    <w:rsid w:val="FF3F22CB"/>
    <w:rsid w:val="FF7CF531"/>
    <w:rsid w:val="FF7D9AEC"/>
    <w:rsid w:val="FF8FE887"/>
    <w:rsid w:val="FFBF90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1">
    <w:name w:val="Default Paragraph Font"/>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Body Text Indent"/>
    <w:unhideWhenUsed/>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4">
    <w:name w:val="Date"/>
    <w:basedOn w:val="1"/>
    <w:next w:val="1"/>
    <w:link w:val="13"/>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4"/>
    <w:uiPriority w:val="0"/>
    <w:pPr>
      <w:tabs>
        <w:tab w:val="center" w:pos="4153"/>
        <w:tab w:val="right" w:pos="8306"/>
      </w:tabs>
      <w:snapToGrid w:val="0"/>
      <w:jc w:val="left"/>
    </w:pPr>
    <w:rPr>
      <w:sz w:val="18"/>
      <w:szCs w:val="18"/>
    </w:rPr>
  </w:style>
  <w:style w:type="paragraph" w:styleId="7">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8">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table" w:styleId="10">
    <w:name w:val="Table Grid"/>
    <w:basedOn w:val="9"/>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page number"/>
    <w:basedOn w:val="11"/>
    <w:uiPriority w:val="0"/>
  </w:style>
  <w:style w:type="character" w:customStyle="1" w:styleId="13">
    <w:name w:val=" Char Char2"/>
    <w:basedOn w:val="11"/>
    <w:link w:val="4"/>
    <w:uiPriority w:val="0"/>
    <w:rPr>
      <w:rFonts w:ascii="仿宋_GB2312" w:hAnsi="Times New Roman" w:eastAsia="仿宋_GB2312" w:cs="Times New Roman"/>
      <w:kern w:val="2"/>
      <w:sz w:val="32"/>
      <w:szCs w:val="24"/>
      <w:lang w:bidi="ar-SA"/>
    </w:rPr>
  </w:style>
  <w:style w:type="character" w:customStyle="1" w:styleId="14">
    <w:name w:val="页脚 Char"/>
    <w:link w:val="6"/>
    <w:semiHidden/>
    <w:qFormat/>
    <w:uiPriority w:val="99"/>
    <w:rPr>
      <w:rFonts w:ascii="Calibri" w:hAnsi="Calibri" w:eastAsia="宋体" w:cs="Times New Roman"/>
      <w:sz w:val="18"/>
      <w:szCs w:val="18"/>
    </w:rPr>
  </w:style>
  <w:style w:type="character" w:customStyle="1" w:styleId="15">
    <w:name w:val="页眉 Char"/>
    <w:link w:val="7"/>
    <w:qFormat/>
    <w:uiPriority w:val="99"/>
    <w:rPr>
      <w:rFonts w:ascii="Calibri" w:hAnsi="Calibri" w:eastAsia="宋体" w:cs="Times New Roman"/>
      <w:sz w:val="18"/>
      <w:szCs w:val="18"/>
    </w:rPr>
  </w:style>
  <w:style w:type="character" w:customStyle="1" w:styleId="16">
    <w:name w:val=" Char Char"/>
    <w:basedOn w:val="11"/>
    <w:semiHidden/>
    <w:uiPriority w:val="99"/>
    <w:rPr>
      <w:rFonts w:ascii="Times New Roman" w:hAnsi="Times New Roman" w:eastAsia="宋体" w:cs="Times New Roman"/>
      <w:kern w:val="2"/>
      <w:sz w:val="18"/>
      <w:szCs w:val="22"/>
    </w:rPr>
  </w:style>
  <w:style w:type="character" w:customStyle="1" w:styleId="17">
    <w:name w:val="9p1"/>
    <w:qFormat/>
    <w:uiPriority w:val="0"/>
    <w:rPr>
      <w:rFonts w:hint="eastAsia" w:ascii="宋体" w:hAnsi="宋体" w:eastAsia="宋体" w:cs="Times New Roman"/>
      <w:sz w:val="18"/>
      <w:szCs w:val="18"/>
      <w:u w:val="none"/>
    </w:rPr>
  </w:style>
  <w:style w:type="character" w:customStyle="1" w:styleId="18">
    <w:name w:val=" Char Char1"/>
    <w:basedOn w:val="11"/>
    <w:semiHidden/>
    <w:uiPriority w:val="99"/>
    <w:rPr>
      <w:rFonts w:ascii="Times New Roman" w:hAnsi="Times New Roman" w:eastAsia="宋体" w:cs="Times New Roman"/>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11</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哈斯高娃:通知发起人</cp:lastModifiedBy>
  <dcterms:modified xsi:type="dcterms:W3CDTF">2025-05-15T02:58:19Z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