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480" w:lineRule="exact"/>
        <w:ind w:firstLine="160" w:firstLineChars="50"/>
        <w:jc w:val="left"/>
        <w:rPr>
          <w:rFonts w:hint="eastAsia" w:ascii="仿宋_GB2312" w:hAnsi="华文仿宋" w:eastAsia="仿宋_GB2312"/>
          <w:sz w:val="32"/>
        </w:rPr>
      </w:pPr>
    </w:p>
    <w:p>
      <w:pPr>
        <w:keepNext w:val="0"/>
        <w:keepLines w:val="0"/>
        <w:pageBreakBefore w:val="0"/>
        <w:widowControl w:val="0"/>
        <w:kinsoku/>
        <w:wordWrap/>
        <w:overflowPunct/>
        <w:topLinePunct w:val="0"/>
        <w:autoSpaceDE/>
        <w:autoSpaceDN/>
        <w:bidi w:val="0"/>
        <w:adjustRightInd w:val="0"/>
        <w:snapToGrid w:val="0"/>
        <w:spacing w:line="300" w:lineRule="exact"/>
        <w:ind w:firstLine="160" w:firstLineChars="50"/>
        <w:jc w:val="left"/>
        <w:textAlignment w:val="auto"/>
        <w:rPr>
          <w:rFonts w:hint="eastAsia" w:ascii="仿宋_GB2312" w:hAnsi="华文仿宋" w:eastAsia="仿宋_GB2312"/>
          <w:sz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0" w:name="标题"/>
      <w:bookmarkEnd w:id="0"/>
      <w:bookmarkStart w:id="1" w:name="OLE_LINK1"/>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印发《内蒙古自治区本级政府投资非经营性</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项目代建制管理办法》的通知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2" w:name="OLE_LINK2"/>
      <w:r>
        <w:rPr>
          <w:rFonts w:hint="eastAsia" w:ascii="仿宋_GB2312" w:hAnsi="华文仿宋" w:eastAsia="仿宋_GB2312"/>
          <w:sz w:val="32"/>
          <w:lang w:eastAsia="zh-CN"/>
        </w:rPr>
        <w:t>内政办发〔2025〕15号</w:t>
      </w:r>
      <w:bookmarkEnd w:id="2"/>
    </w:p>
    <w:bookmarkEnd w:id="1"/>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32"/>
          <w:szCs w:val="32"/>
        </w:rPr>
      </w:pPr>
      <w:bookmarkStart w:id="3" w:name="OLE_LINK3"/>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经自治区人民政府同意，现将《内蒙古自治区本级政府投资非经营性项目代建制管理办法》印发给你们，请结合实际，认真贯彻执行。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2025年4月</w:t>
      </w:r>
      <w:r>
        <w:rPr>
          <w:rFonts w:hint="eastAsia" w:ascii="仿宋" w:hAnsi="仿宋" w:eastAsia="仿宋" w:cs="仿宋"/>
          <w:sz w:val="32"/>
          <w:szCs w:val="32"/>
          <w:lang w:val="en" w:eastAsia="zh-CN"/>
        </w:rPr>
        <w:t>23</w:t>
      </w:r>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仿宋" w:hAnsi="仿宋" w:eastAsia="仿宋" w:cs="仿宋"/>
          <w:sz w:val="32"/>
          <w:szCs w:val="32"/>
          <w:lang w:val="en-US" w:eastAsia="zh-CN"/>
        </w:rPr>
      </w:pPr>
      <w:bookmarkStart w:id="5" w:name="_GoBack"/>
      <w:bookmarkEnd w:id="5"/>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内蒙古自治区本级政府投资非经营性</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项目代建制管理办法</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第一章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rPr>
        <w:t>总</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第一条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为了深化投资体制改革，加强和规范政府投资项目管理，建立投资控制机制，规范政府投资项目代建行为，提高项目管理水平和投资效益，根据《政府投资条例》</w:t>
      </w:r>
      <w:r>
        <w:rPr>
          <w:rFonts w:hint="eastAsia" w:ascii="方正仿宋简体" w:hAnsi="方正仿宋简体" w:eastAsia="方正仿宋简体" w:cs="方正仿宋简体"/>
          <w:b w:val="0"/>
          <w:bCs w:val="0"/>
          <w:color w:val="auto"/>
          <w:sz w:val="32"/>
          <w:szCs w:val="32"/>
        </w:rPr>
        <w:t>（国务院令第712号）、</w:t>
      </w:r>
      <w:r>
        <w:rPr>
          <w:rFonts w:hint="eastAsia" w:ascii="方正仿宋简体" w:hAnsi="方正仿宋简体" w:eastAsia="方正仿宋简体" w:cs="方正仿宋简体"/>
          <w:b w:val="0"/>
          <w:bCs w:val="0"/>
          <w:sz w:val="32"/>
          <w:szCs w:val="32"/>
        </w:rPr>
        <w:t>《国务院办公厅关于创新完善体制机制推动招标投标市场规</w:t>
      </w:r>
      <w:r>
        <w:rPr>
          <w:rFonts w:hint="eastAsia" w:ascii="方正仿宋简体" w:hAnsi="方正仿宋简体" w:eastAsia="方正仿宋简体" w:cs="方正仿宋简体"/>
          <w:b w:val="0"/>
          <w:bCs w:val="0"/>
          <w:spacing w:val="6"/>
          <w:sz w:val="32"/>
          <w:szCs w:val="32"/>
        </w:rPr>
        <w:t>范健康发展的意见》（国办发〔2024〕21号）、《财政部</w:t>
      </w:r>
      <w:r>
        <w:rPr>
          <w:rFonts w:hint="eastAsia" w:ascii="方正仿宋简体" w:hAnsi="方正仿宋简体" w:eastAsia="方正仿宋简体" w:cs="方正仿宋简体"/>
          <w:b w:val="0"/>
          <w:bCs w:val="0"/>
          <w:spacing w:val="6"/>
          <w:sz w:val="32"/>
          <w:szCs w:val="32"/>
          <w:lang w:val="en-US" w:eastAsia="zh-CN"/>
        </w:rPr>
        <w:t xml:space="preserve">  </w:t>
      </w:r>
      <w:r>
        <w:rPr>
          <w:rFonts w:hint="eastAsia" w:ascii="方正仿宋简体" w:hAnsi="方正仿宋简体" w:eastAsia="方正仿宋简体" w:cs="方正仿宋简体"/>
          <w:b w:val="0"/>
          <w:bCs w:val="0"/>
          <w:spacing w:val="6"/>
          <w:sz w:val="32"/>
          <w:szCs w:val="32"/>
        </w:rPr>
        <w:t>住房城乡建设部关于完善建设工程价款结算有关办法的通知》（财建〔2022〕</w:t>
      </w:r>
      <w:r>
        <w:rPr>
          <w:rFonts w:hint="eastAsia" w:ascii="方正仿宋简体" w:hAnsi="方正仿宋简体" w:eastAsia="方正仿宋简体" w:cs="方正仿宋简体"/>
          <w:b w:val="0"/>
          <w:bCs w:val="0"/>
          <w:sz w:val="32"/>
          <w:szCs w:val="32"/>
        </w:rPr>
        <w:t>183号）、《内蒙古自治区党委</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pacing w:val="-6"/>
          <w:sz w:val="32"/>
          <w:szCs w:val="32"/>
        </w:rPr>
        <w:t>自治区人民政府关于深化</w:t>
      </w:r>
      <w:r>
        <w:rPr>
          <w:rFonts w:hint="eastAsia" w:ascii="方正仿宋简体" w:hAnsi="方正仿宋简体" w:eastAsia="方正仿宋简体" w:cs="方正仿宋简体"/>
          <w:b w:val="0"/>
          <w:bCs w:val="0"/>
          <w:sz w:val="32"/>
          <w:szCs w:val="32"/>
        </w:rPr>
        <w:t>投融资体制改革的实施意见》等</w:t>
      </w:r>
      <w:r>
        <w:rPr>
          <w:rFonts w:hint="eastAsia" w:ascii="方正仿宋简体" w:hAnsi="方正仿宋简体" w:eastAsia="方正仿宋简体" w:cs="方正仿宋简体"/>
          <w:b w:val="0"/>
          <w:bCs w:val="0"/>
          <w:sz w:val="32"/>
          <w:szCs w:val="32"/>
          <w:lang w:eastAsia="zh-CN"/>
        </w:rPr>
        <w:t>行政</w:t>
      </w:r>
      <w:r>
        <w:rPr>
          <w:rFonts w:hint="eastAsia" w:ascii="方正仿宋简体" w:hAnsi="方正仿宋简体" w:eastAsia="方正仿宋简体" w:cs="方正仿宋简体"/>
          <w:b w:val="0"/>
          <w:bCs w:val="0"/>
          <w:sz w:val="32"/>
          <w:szCs w:val="32"/>
        </w:rPr>
        <w:t>法规、文件精神，</w:t>
      </w:r>
      <w:r>
        <w:rPr>
          <w:rFonts w:hint="eastAsia" w:ascii="方正仿宋简体" w:hAnsi="方正仿宋简体" w:eastAsia="方正仿宋简体" w:cs="方正仿宋简体"/>
          <w:b w:val="0"/>
          <w:bCs w:val="0"/>
          <w:sz w:val="32"/>
          <w:szCs w:val="32"/>
          <w:lang w:eastAsia="zh-CN"/>
        </w:rPr>
        <w:t>紧紧围绕</w:t>
      </w:r>
      <w:r>
        <w:rPr>
          <w:rFonts w:hint="eastAsia" w:ascii="方正仿宋简体" w:hAnsi="方正仿宋简体" w:eastAsia="方正仿宋简体" w:cs="方正仿宋简体"/>
          <w:b w:val="0"/>
          <w:bCs w:val="0"/>
          <w:sz w:val="32"/>
          <w:szCs w:val="32"/>
        </w:rPr>
        <w:t>铸牢中华民族共同体意识工作主线，结合自治区实际，制定本办法。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本办法所称代建制，是指自治区人民政府设立的代建项目管理机构</w:t>
      </w:r>
      <w:r>
        <w:rPr>
          <w:rFonts w:hint="eastAsia" w:ascii="方正仿宋简体" w:hAnsi="方正仿宋简体" w:eastAsia="方正仿宋简体" w:cs="方正仿宋简体"/>
          <w:b w:val="0"/>
          <w:bCs w:val="0"/>
          <w:sz w:val="32"/>
          <w:szCs w:val="32"/>
          <w:lang w:eastAsia="zh-CN"/>
        </w:rPr>
        <w:t>（以下简称代建机构）</w:t>
      </w:r>
      <w:r>
        <w:rPr>
          <w:rFonts w:hint="eastAsia" w:ascii="方正仿宋简体" w:hAnsi="方正仿宋简体" w:eastAsia="方正仿宋简体" w:cs="方正仿宋简体"/>
          <w:b w:val="0"/>
          <w:bCs w:val="0"/>
          <w:sz w:val="32"/>
          <w:szCs w:val="32"/>
        </w:rPr>
        <w:t>对本级政府投资非经营性项目实施集中建设管理，组织工程或与之相关的货物、服务等采购工作，严格控制项目投资、质量、安全和工期，项目竣工验收合格后移交给使用单位的制度。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第三条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下列自治区本级政府投资的非经营性项目中，总投资在5000万元（不含征地、房屋征收补偿费）以上，且自治区本级政府投资占总投资的50%以上的建设项目，原则上实行代建制。涉及国家安全、保密、抢险救灾的除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（一）党政机关（含人大、政协、纪委监委、审判、检察及民主党派机关）及其派出机构和直属事业单位、人民团体的办公用房和技术业务用房等</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（二）教育、科研、卫生、文化、体育、民政及社会福利等项目</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（三）自治区人民政府确定的其他项目。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第四条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自治区本级政府投资主要包括：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（一）一般公共预算安排的基本建设投资资金和其他专项建设资金</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（二）政府性基金预算安排的建设资金</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（三）政府依法举债取得的建设资金</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（四）国有资本经营预算安排的基本建设项目资金</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（五）公益性事业单位自有资金等其他财政性资金。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color w:val="FF0000"/>
          <w:sz w:val="32"/>
          <w:szCs w:val="32"/>
        </w:rPr>
      </w:pPr>
      <w:r>
        <w:rPr>
          <w:rFonts w:hint="eastAsia" w:ascii="方正黑体简体" w:hAnsi="方正黑体简体" w:eastAsia="方正黑体简体" w:cs="方正黑体简体"/>
          <w:b w:val="0"/>
          <w:bCs w:val="0"/>
          <w:sz w:val="32"/>
          <w:szCs w:val="32"/>
        </w:rPr>
        <w:t>第五条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自治区本级政府投资非经营性项目由代建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自项目取得初步设计批复或《施工图设计文件审查合格书》起，至竣工验收备案止的建设过程进行代建管理。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第六条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自治区住房和城乡建设厅作为自治区本级政府投资非经营性项目代建工作的主管部门，负责代建工作的指导、协调和综合管理，会同有关部门制定代建工作配套政策。自治区发展和改革委员会、财政厅、自然资源厅等部门按照各自职能职责，依法做好项目代建过程中的相关监管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第七条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代建项目应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采用工程总承包或施工总承包、全过程工程咨询服务等方式进行建设，优先采用装配式、建筑信息模型（BIM）等技术进行设计、施工、运维，相应费用应列入项目投资估算和概算。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代建项目提倡采用先进技术、先进设备、先进工艺、新型建筑材料、智能建造和现代管理方式，全面落实绿色建筑和绿色建材相关要求，以提高设计、建造及运维管理的科学化水平，实现节约工程投资、合理缩短工期、管理精细化的目标，推进建筑信息化、工业化、绿色化发展。</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第二章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代建各方职责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第八条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代建机构主要职责包括：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（一）监督代建项目实施，严格控制经投资主管部门批准的投资概算</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二</w:t>
      </w:r>
      <w:r>
        <w:rPr>
          <w:rFonts w:hint="eastAsia" w:ascii="方正仿宋简体" w:hAnsi="方正仿宋简体" w:eastAsia="方正仿宋简体" w:cs="方正仿宋简体"/>
          <w:b w:val="0"/>
          <w:bCs w:val="0"/>
          <w:sz w:val="32"/>
          <w:szCs w:val="32"/>
        </w:rPr>
        <w:t>）协调使用单位及与代建项目有关的各部门的关系</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（三）</w:t>
      </w:r>
      <w:r>
        <w:rPr>
          <w:rFonts w:hint="eastAsia" w:ascii="方正仿宋简体" w:hAnsi="方正仿宋简体" w:eastAsia="方正仿宋简体" w:cs="方正仿宋简体"/>
          <w:b w:val="0"/>
          <w:bCs w:val="0"/>
          <w:spacing w:val="-6"/>
          <w:sz w:val="32"/>
          <w:szCs w:val="32"/>
        </w:rPr>
        <w:t>采用工程总承包方式的承担组织施工图设计及审查（含消防</w:t>
      </w:r>
      <w:r>
        <w:rPr>
          <w:rFonts w:hint="eastAsia" w:ascii="方正仿宋简体" w:hAnsi="方正仿宋简体" w:eastAsia="方正仿宋简体" w:cs="方正仿宋简体"/>
          <w:b w:val="0"/>
          <w:bCs w:val="0"/>
          <w:sz w:val="32"/>
          <w:szCs w:val="32"/>
        </w:rPr>
        <w:t>、人防）</w:t>
      </w:r>
      <w:r>
        <w:rPr>
          <w:rFonts w:hint="eastAsia" w:ascii="方正仿宋简体" w:hAnsi="方正仿宋简体" w:eastAsia="方正仿宋简体" w:cs="方正仿宋简体"/>
          <w:b w:val="0"/>
          <w:bCs w:val="0"/>
          <w:sz w:val="32"/>
          <w:szCs w:val="32"/>
          <w:lang w:eastAsia="zh-CN"/>
        </w:rPr>
        <w:t>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四</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采用施工总承包方式的</w:t>
      </w:r>
      <w:r>
        <w:rPr>
          <w:rFonts w:hint="eastAsia" w:ascii="方正仿宋简体" w:hAnsi="方正仿宋简体" w:eastAsia="方正仿宋简体" w:cs="方正仿宋简体"/>
          <w:b w:val="0"/>
          <w:bCs w:val="0"/>
          <w:sz w:val="32"/>
          <w:szCs w:val="32"/>
        </w:rPr>
        <w:t>参与项目取得《施工图设计文件审查合格书》之前的相关工作</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五</w:t>
      </w:r>
      <w:r>
        <w:rPr>
          <w:rFonts w:hint="eastAsia" w:ascii="方正仿宋简体" w:hAnsi="方正仿宋简体" w:eastAsia="方正仿宋简体" w:cs="方正仿宋简体"/>
          <w:b w:val="0"/>
          <w:bCs w:val="0"/>
          <w:sz w:val="32"/>
          <w:szCs w:val="32"/>
        </w:rPr>
        <w:t>）以招标人身份依法组织开展工程或与之相关的货物、服务等招标活动，以发包人身份与中标人签订相关合同</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对工程总承包单位及施工总承包单位的专业工程分包进行监督管理</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六</w:t>
      </w:r>
      <w:r>
        <w:rPr>
          <w:rFonts w:hint="eastAsia" w:ascii="方正仿宋简体" w:hAnsi="方正仿宋简体" w:eastAsia="方正仿宋简体" w:cs="方正仿宋简体"/>
          <w:b w:val="0"/>
          <w:bCs w:val="0"/>
          <w:sz w:val="32"/>
          <w:szCs w:val="32"/>
        </w:rPr>
        <w:t>）办理施工许可、市政配套等相关手续</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七</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pacing w:val="-6"/>
          <w:sz w:val="32"/>
          <w:szCs w:val="32"/>
        </w:rPr>
        <w:t>按照项目进度编制年度投资计划和年度基建支出预算，申</w:t>
      </w:r>
      <w:r>
        <w:rPr>
          <w:rFonts w:hint="eastAsia" w:ascii="方正仿宋简体" w:hAnsi="方正仿宋简体" w:eastAsia="方正仿宋简体" w:cs="方正仿宋简体"/>
          <w:b w:val="0"/>
          <w:bCs w:val="0"/>
          <w:sz w:val="32"/>
          <w:szCs w:val="32"/>
        </w:rPr>
        <w:t>领、管理和使用建设资金，编制项目年度财务决算报表</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八</w:t>
      </w:r>
      <w:r>
        <w:rPr>
          <w:rFonts w:hint="eastAsia" w:ascii="方正仿宋简体" w:hAnsi="方正仿宋简体" w:eastAsia="方正仿宋简体" w:cs="方正仿宋简体"/>
          <w:b w:val="0"/>
          <w:bCs w:val="0"/>
          <w:sz w:val="32"/>
          <w:szCs w:val="32"/>
        </w:rPr>
        <w:t>）负责项目建设过程中投资概算、质量安全、工期进度的控制</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九</w:t>
      </w:r>
      <w:r>
        <w:rPr>
          <w:rFonts w:hint="eastAsia" w:ascii="方正仿宋简体" w:hAnsi="方正仿宋简体" w:eastAsia="方正仿宋简体" w:cs="方正仿宋简体"/>
          <w:b w:val="0"/>
          <w:bCs w:val="0"/>
          <w:sz w:val="32"/>
          <w:szCs w:val="32"/>
        </w:rPr>
        <w:t>）按照规定办理代建项目变更签证审核事项</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w:t>
      </w:r>
      <w:r>
        <w:rPr>
          <w:rFonts w:hint="eastAsia" w:ascii="方正仿宋简体" w:hAnsi="方正仿宋简体" w:eastAsia="方正仿宋简体" w:cs="方正仿宋简体"/>
          <w:b w:val="0"/>
          <w:bCs w:val="0"/>
          <w:sz w:val="32"/>
          <w:szCs w:val="32"/>
        </w:rPr>
        <w:t>）组织或申报中间验收、专项验收、竣工验收和备案，按照有关法律、法规规定，承担代建管理职责范围内的质量责任</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十一</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pacing w:val="-6"/>
          <w:sz w:val="32"/>
          <w:szCs w:val="32"/>
        </w:rPr>
        <w:t>组织编制竣工财务决算报告，报自治区财政厅审批</w:t>
      </w:r>
      <w:r>
        <w:rPr>
          <w:rFonts w:hint="eastAsia" w:ascii="方正仿宋简体" w:hAnsi="方正仿宋简体" w:eastAsia="方正仿宋简体" w:cs="方正仿宋简体"/>
          <w:b w:val="0"/>
          <w:bCs w:val="0"/>
          <w:spacing w:val="-6"/>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十二</w:t>
      </w:r>
      <w:r>
        <w:rPr>
          <w:rFonts w:hint="eastAsia" w:ascii="方正仿宋简体" w:hAnsi="方正仿宋简体" w:eastAsia="方正仿宋简体" w:cs="方正仿宋简体"/>
          <w:b w:val="0"/>
          <w:bCs w:val="0"/>
          <w:sz w:val="32"/>
          <w:szCs w:val="32"/>
        </w:rPr>
        <w:t>）负责项目竣工及有关技术资料整理汇编移交</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十三</w:t>
      </w:r>
      <w:r>
        <w:rPr>
          <w:rFonts w:hint="eastAsia" w:ascii="方正仿宋简体" w:hAnsi="方正仿宋简体" w:eastAsia="方正仿宋简体" w:cs="方正仿宋简体"/>
          <w:b w:val="0"/>
          <w:bCs w:val="0"/>
          <w:sz w:val="32"/>
          <w:szCs w:val="32"/>
        </w:rPr>
        <w:t>）负责组织协调工程缺陷责任期内的修缮维护</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十四</w:t>
      </w:r>
      <w:r>
        <w:rPr>
          <w:rFonts w:hint="eastAsia" w:ascii="方正仿宋简体" w:hAnsi="方正仿宋简体" w:eastAsia="方正仿宋简体" w:cs="方正仿宋简体"/>
          <w:b w:val="0"/>
          <w:bCs w:val="0"/>
          <w:sz w:val="32"/>
          <w:szCs w:val="32"/>
        </w:rPr>
        <w:t>）制止、纠正有关违规、违约行为或提请有关行政监督部门处理</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十五</w:t>
      </w:r>
      <w:r>
        <w:rPr>
          <w:rFonts w:hint="eastAsia" w:ascii="方正仿宋简体" w:hAnsi="方正仿宋简体" w:eastAsia="方正仿宋简体" w:cs="方正仿宋简体"/>
          <w:b w:val="0"/>
          <w:bCs w:val="0"/>
          <w:sz w:val="32"/>
          <w:szCs w:val="32"/>
        </w:rPr>
        <w:t>）组织代建项目移交。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第九条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使用单位主要职责包括：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（一）编制并申报项目建议书，根据项目建议书批准的建设性质、建设规模和总投资额，提出项目使用功能配置（包括项目各专业工程）、建设标准和投资建议</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color w:val="FF0000"/>
          <w:sz w:val="32"/>
          <w:szCs w:val="32"/>
          <w:lang w:eastAsia="zh-CN"/>
        </w:rPr>
      </w:pPr>
      <w:r>
        <w:rPr>
          <w:rFonts w:hint="eastAsia" w:ascii="方正仿宋简体" w:hAnsi="方正仿宋简体" w:eastAsia="方正仿宋简体" w:cs="方正仿宋简体"/>
          <w:b w:val="0"/>
          <w:bCs w:val="0"/>
          <w:sz w:val="32"/>
          <w:szCs w:val="32"/>
        </w:rPr>
        <w:t>（二）组织编制可行性研究报告</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三）办理项目可行性研究报告审批手续，审批材料包括：可行性研究报告申请文件、可行性研究报告、选址意见书（以划拨方式提供国有土地使用权的项目）、用地预审意见、节能审查意见，重大项目应当提供项目社会稳定风险评估报告及审核意见，涉及移民安置的还应当提供移民安置规划审核意见</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（四）办理项目用地规划、建设用地批准、用地划拨决定、不动产权等相关手续</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（五）采用工程</w:t>
      </w:r>
      <w:r>
        <w:rPr>
          <w:rFonts w:hint="eastAsia" w:ascii="方正仿宋简体" w:hAnsi="方正仿宋简体" w:eastAsia="方正仿宋简体" w:cs="方正仿宋简体"/>
          <w:b w:val="0"/>
          <w:bCs w:val="0"/>
          <w:spacing w:val="-6"/>
          <w:sz w:val="32"/>
          <w:szCs w:val="32"/>
        </w:rPr>
        <w:t>总承包方式项目，依据可行性研究报告批复、</w:t>
      </w:r>
      <w:r>
        <w:rPr>
          <w:rFonts w:hint="eastAsia" w:ascii="方正仿宋简体" w:hAnsi="方正仿宋简体" w:eastAsia="方正仿宋简体" w:cs="方正仿宋简体"/>
          <w:b w:val="0"/>
          <w:bCs w:val="0"/>
          <w:sz w:val="32"/>
          <w:szCs w:val="32"/>
        </w:rPr>
        <w:t>规划委员会关于项目规划方案的审查意见、有关市政配套设施、环境保护、水土保持的批准方案，组织初步设计及概算文件的编制、优化和报批工作</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初步设计文件应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内容完整、专业齐全并达到工程总承包招标深度</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（六）采用施工总承包方式项目，按照初步设计批准的建设规模、内容、标准和概算投资，组织施工图设计</w:t>
      </w:r>
      <w:r>
        <w:rPr>
          <w:rFonts w:hint="eastAsia" w:ascii="方正仿宋简体" w:hAnsi="方正仿宋简体" w:eastAsia="方正仿宋简体" w:cs="方正仿宋简体"/>
          <w:b w:val="0"/>
          <w:bCs w:val="0"/>
          <w:sz w:val="32"/>
          <w:szCs w:val="32"/>
          <w:lang w:eastAsia="zh-CN"/>
        </w:rPr>
        <w:t>及施工图设计文件审查</w:t>
      </w:r>
      <w:r>
        <w:rPr>
          <w:rFonts w:hint="eastAsia" w:ascii="方正仿宋简体" w:hAnsi="方正仿宋简体" w:eastAsia="方正仿宋简体" w:cs="方正仿宋简体"/>
          <w:b w:val="0"/>
          <w:bCs w:val="0"/>
          <w:sz w:val="32"/>
          <w:szCs w:val="32"/>
        </w:rPr>
        <w:t>（含消防、人防）</w:t>
      </w:r>
      <w:r>
        <w:rPr>
          <w:rFonts w:hint="eastAsia" w:ascii="方正仿宋简体" w:hAnsi="方正仿宋简体" w:eastAsia="方正仿宋简体" w:cs="方正仿宋简体"/>
          <w:b w:val="0"/>
          <w:bCs w:val="0"/>
          <w:sz w:val="32"/>
          <w:szCs w:val="32"/>
          <w:lang w:eastAsia="zh-CN"/>
        </w:rPr>
        <w:t>工作</w:t>
      </w:r>
      <w:r>
        <w:rPr>
          <w:rFonts w:hint="eastAsia" w:ascii="方正仿宋简体" w:hAnsi="方正仿宋简体" w:eastAsia="方正仿宋简体" w:cs="方正仿宋简体"/>
          <w:b w:val="0"/>
          <w:bCs w:val="0"/>
          <w:sz w:val="32"/>
          <w:szCs w:val="32"/>
        </w:rPr>
        <w:t>。施工图设计文件应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内容完整、专业齐全并达到施工总承包招标及施工深度</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（七）办理建设工程规划许可手续</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（八）负责项目建设规模、建设内容、建设工期和投资概算等重大事项调整的报批手续</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（九）负责项目资金的筹措，严格按照建设资金使用计划拨款，并承担资金未按时下达造成的后果</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pacing w:val="-11"/>
          <w:sz w:val="32"/>
          <w:szCs w:val="32"/>
        </w:rPr>
      </w:pPr>
      <w:r>
        <w:rPr>
          <w:rFonts w:hint="eastAsia" w:ascii="方正仿宋简体" w:hAnsi="方正仿宋简体" w:eastAsia="方正仿宋简体" w:cs="方正仿宋简体"/>
          <w:b w:val="0"/>
          <w:bCs w:val="0"/>
          <w:sz w:val="32"/>
          <w:szCs w:val="32"/>
        </w:rPr>
        <w:t>（十）</w:t>
      </w:r>
      <w:r>
        <w:rPr>
          <w:rFonts w:hint="eastAsia" w:ascii="方正仿宋简体" w:hAnsi="方正仿宋简体" w:eastAsia="方正仿宋简体" w:cs="方正仿宋简体"/>
          <w:b w:val="0"/>
          <w:bCs w:val="0"/>
          <w:spacing w:val="-11"/>
          <w:sz w:val="32"/>
          <w:szCs w:val="32"/>
        </w:rPr>
        <w:t>参与工程专项验收和竣工验收，及时办理项目接收手续。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采用工程总承包方式的，使用单位应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在项目取得初步设计批复之日起15个工作日内，向代建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一次性移交前期工作文件及建设场地；采用施工总承包方式的，使用单位应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在项目取得《施工图设计文件审查合格书》之日起15个工作日内，向代建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一次性移交施工图设计文件、前期工作文件资料（包括前期手续、合同、财务资料等）及建设场地，并负责协调前期确定的勘察、设计等单位与代建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签订补充合同或协议，做好项目代建前后阶段的工作衔接。</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第三章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代建项目实施程序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使用单位提出项目需求，组织编制项目建议书及可行性研究报告，按照规定程序报送自治区发展和改革委员会</w:t>
      </w:r>
      <w:r>
        <w:rPr>
          <w:rFonts w:hint="eastAsia" w:ascii="方正仿宋简体" w:hAnsi="方正仿宋简体" w:eastAsia="方正仿宋简体" w:cs="方正仿宋简体"/>
          <w:b w:val="0"/>
          <w:bCs w:val="0"/>
          <w:sz w:val="32"/>
          <w:szCs w:val="32"/>
          <w:u w:val="none"/>
          <w:lang w:eastAsia="zh-CN"/>
        </w:rPr>
        <w:t>等审批部门进行</w:t>
      </w:r>
      <w:r>
        <w:rPr>
          <w:rFonts w:hint="eastAsia" w:ascii="方正仿宋简体" w:hAnsi="方正仿宋简体" w:eastAsia="方正仿宋简体" w:cs="方正仿宋简体"/>
          <w:b w:val="0"/>
          <w:bCs w:val="0"/>
          <w:sz w:val="32"/>
          <w:szCs w:val="32"/>
          <w:u w:val="none"/>
        </w:rPr>
        <w:t>审批</w:t>
      </w:r>
      <w:r>
        <w:rPr>
          <w:rFonts w:hint="eastAsia" w:ascii="方正仿宋简体" w:hAnsi="方正仿宋简体" w:eastAsia="方正仿宋简体" w:cs="方正仿宋简体"/>
          <w:b w:val="0"/>
          <w:bCs w:val="0"/>
          <w:sz w:val="32"/>
          <w:szCs w:val="32"/>
        </w:rPr>
        <w:t>。国家和自治区另有规定的从其规定。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黑体简体" w:hAnsi="方正黑体简体" w:eastAsia="方正黑体简体" w:cs="方正黑体简体"/>
          <w:b w:val="0"/>
          <w:bCs w:val="0"/>
          <w:sz w:val="32"/>
          <w:szCs w:val="32"/>
        </w:rPr>
        <w:t>第十一条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pacing w:val="-6"/>
          <w:sz w:val="32"/>
          <w:szCs w:val="32"/>
        </w:rPr>
        <w:t>自治区发展和改革委员会</w:t>
      </w:r>
      <w:r>
        <w:rPr>
          <w:rFonts w:hint="eastAsia" w:ascii="方正仿宋简体" w:hAnsi="方正仿宋简体" w:eastAsia="方正仿宋简体" w:cs="方正仿宋简体"/>
          <w:b w:val="0"/>
          <w:bCs w:val="0"/>
          <w:spacing w:val="-6"/>
          <w:sz w:val="32"/>
          <w:szCs w:val="32"/>
          <w:u w:val="none"/>
          <w:lang w:eastAsia="zh-CN"/>
        </w:rPr>
        <w:t>等审批部门</w:t>
      </w:r>
      <w:r>
        <w:rPr>
          <w:rFonts w:hint="eastAsia" w:ascii="方正仿宋简体" w:hAnsi="方正仿宋简体" w:eastAsia="方正仿宋简体" w:cs="方正仿宋简体"/>
          <w:b w:val="0"/>
          <w:bCs w:val="0"/>
          <w:spacing w:val="-6"/>
          <w:sz w:val="32"/>
          <w:szCs w:val="32"/>
        </w:rPr>
        <w:t>对符合本</w:t>
      </w:r>
      <w:r>
        <w:rPr>
          <w:rFonts w:hint="eastAsia" w:ascii="方正仿宋简体" w:hAnsi="方正仿宋简体" w:eastAsia="方正仿宋简体" w:cs="方正仿宋简体"/>
          <w:b w:val="0"/>
          <w:bCs w:val="0"/>
          <w:sz w:val="32"/>
          <w:szCs w:val="32"/>
        </w:rPr>
        <w:t>办法规定条件的项目，在项目建议书或可行性研究报告批复时，同时抄送自治区住房和城乡建设厅</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color w:val="FF000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二</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使用单位根据项目可行性研究报告批复，按照承包方式组织开展项目初步设计文件及概算的编制和报批、施工图设计文件的编制及报审。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须对使用单位提交的设计文件的经济性、完整性、设计质量和深度等进行审验，并向使用单位反馈审验结果。使用单位对审验发现的问题应当组织设计单位补充完善，仍达不到本办法规定要求的，代建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不予接收。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lang w:eastAsia="zh-CN"/>
        </w:rPr>
        <w:t>第十三条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按照国家和自治区有关规定以及自治区发展和改革委员会核准的招标范围、招标组织形式、招标方式，以招标人身份依法开展工程或与之相关的货物、服务等招标采购工作。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属于必须招标限额标准〔施工单项合同估算价在400万元（含）人民币；重要设备、材料等货物的采购，单项合同估算价在200万元（含）人民币；勘察、设计、监理等服务的采购，单项合同估算价在100万元（含）人民币〕以上的项目，进入公共资源交易平台采用公开招标或邀请招标方式实施采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属于政府采购限额标准〔政府采购货物、服务和工程项目分散采购限额标准为自治区本级100万元（含）人民币〕以上、必须招标限额标准以下的项目，采用政府采购方式通过政府采购云平台实施采购。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属于政府采购限额标准以下的项目，参照采用公开招标、邀请招标、竞争性磋商、竞争性谈判、单一来源采购和询价等方式由招标代理机构组织实施采购。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招标采购项目原则上采用远程异地评标方式。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严格按照审定的设计文件和批准的投资概算组织施工建设和进行投资控制，未经批准，不得擅自调整实施。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五</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代建项目建设过程中须严格控制变更签证，不得以设计深度不足、增加建设内容、提高装修标准和材料设备档次等理由申请变更签证；确因合理调整使用功能需求的变更，应当由使用单位履行相关审批程序。</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第四章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代建项目移交和接收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六</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rPr>
        <w:t xml:space="preserve">  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是代建项目移交的责任主体，使用单位是接收代建项目的责任主体。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第十</w:t>
      </w:r>
      <w:r>
        <w:rPr>
          <w:rFonts w:hint="eastAsia" w:ascii="方正黑体简体" w:hAnsi="方正黑体简体" w:eastAsia="方正黑体简体" w:cs="方正黑体简体"/>
          <w:b w:val="0"/>
          <w:bCs w:val="0"/>
          <w:sz w:val="32"/>
          <w:szCs w:val="32"/>
          <w:lang w:eastAsia="zh-CN"/>
        </w:rPr>
        <w:t>七</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rPr>
        <w:t xml:space="preserve">  代建项目全部建成后，由代建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以建设单位的身份按照国家有关规定组织竣工验收。工程验收合格后，方可交付使用。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十八</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rPr>
        <w:t xml:space="preserve">  代建项目完成代建协议约定建设内容、通过竣工验收，使用单位收到代建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移交函告后，应于15日内办理接收手续。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十九</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rPr>
        <w:t xml:space="preserve">  财务决算完成后，使用单位负责代建项目转固定资产相关手续办理。</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第五章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资金管理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w:t>
      </w:r>
      <w:r>
        <w:rPr>
          <w:rFonts w:hint="eastAsia" w:ascii="方正黑体简体" w:hAnsi="方正黑体简体" w:eastAsia="方正黑体简体" w:cs="方正黑体简体"/>
          <w:b w:val="0"/>
          <w:bCs w:val="0"/>
          <w:sz w:val="32"/>
          <w:szCs w:val="32"/>
          <w:lang w:eastAsia="zh-CN"/>
        </w:rPr>
        <w:t>二十</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应</w:t>
      </w:r>
      <w:r>
        <w:rPr>
          <w:rFonts w:hint="eastAsia" w:ascii="方正仿宋简体" w:hAnsi="方正仿宋简体" w:eastAsia="方正仿宋简体" w:cs="方正仿宋简体"/>
          <w:b w:val="0"/>
          <w:bCs w:val="0"/>
          <w:sz w:val="32"/>
          <w:szCs w:val="32"/>
          <w:lang w:eastAsia="zh-CN"/>
        </w:rPr>
        <w:t>当</w:t>
      </w:r>
      <w:r>
        <w:rPr>
          <w:rFonts w:hint="eastAsia" w:ascii="方正仿宋简体" w:hAnsi="方正仿宋简体" w:eastAsia="方正仿宋简体" w:cs="方正仿宋简体"/>
          <w:b w:val="0"/>
          <w:bCs w:val="0"/>
          <w:sz w:val="32"/>
          <w:szCs w:val="32"/>
        </w:rPr>
        <w:t>根据实际工作进度和资金需求，编制项目年度基建支出预算，报自治区财政厅审核下达。自治区财政厅将项目支出编入年初预算，实行国库集中支付，原则上年中不再追加。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代建项目的自筹资金或其他配套资金，由使用单位按照自治区发展和改革委员会、财政厅下达的政府投资计划和基建支出预算，与政府投资同步、同比例拨付代建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代建管理费按国家、自治区有关规定执行。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一</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代建项目按照自治区住房和城乡建设厅、发展和改革委员会、财政厅有关过程结算的规定，在招标文件和施工合同中明确施工过程结算的节点以及价款支付程序、比例等内容，全面推行施工过程结算。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二</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对建设资金应当严格按照国家规定的预算管理、财务管理制度、建设资金账户管理制度等要求进行管理和核算，保证建设资金的使用安全，按要求配合自治区有关部门报送统计资料。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三</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自治区审计厅依法对代建项目实施审计监督。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代建管理费实行限额管理，按照不高于《基本建设项目建设成本管理规定》的项目建设管理费标准核定（详见附件），按有关规定使用。使用单位和代建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的项目代建管理费原则上按照3</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7的比例分摊。</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第六章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责任追究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五</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有下列情形之一的，有关部门暂停建设资金及代建管理费支付，并对单位负责人和其他直接责任人员视情节轻重依法依规追究责任。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（一）因代建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原因造成工程质量不合格和发生重大安全责任事故</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（二）与使用单位串通，损害国家利益或社会公共利益</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（三）与勘察、设计、施工、监理、咨询、设备材料供应等单位串通，谋取不正当利益</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（四）违反项目建设资金使用和财务管理规定</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（五）转让代建业务</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（六）违规承担代建工程其他建设任务</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（七）泄露应当保密的代建项目有关情况和资料</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pacing w:val="-11"/>
          <w:sz w:val="32"/>
          <w:szCs w:val="32"/>
          <w:lang w:eastAsia="zh-CN"/>
        </w:rPr>
      </w:pPr>
      <w:r>
        <w:rPr>
          <w:rFonts w:hint="eastAsia" w:ascii="方正仿宋简体" w:hAnsi="方正仿宋简体" w:eastAsia="方正仿宋简体" w:cs="方正仿宋简体"/>
          <w:b w:val="0"/>
          <w:bCs w:val="0"/>
          <w:sz w:val="32"/>
          <w:szCs w:val="32"/>
        </w:rPr>
        <w:t>（八）</w:t>
      </w:r>
      <w:r>
        <w:rPr>
          <w:rFonts w:hint="eastAsia" w:ascii="方正仿宋简体" w:hAnsi="方正仿宋简体" w:eastAsia="方正仿宋简体" w:cs="方正仿宋简体"/>
          <w:b w:val="0"/>
          <w:bCs w:val="0"/>
          <w:spacing w:val="-11"/>
          <w:sz w:val="32"/>
          <w:szCs w:val="32"/>
        </w:rPr>
        <w:t>违反国家、自治区法律法规及有关规定组织招投标活动</w:t>
      </w:r>
      <w:r>
        <w:rPr>
          <w:rFonts w:hint="eastAsia" w:ascii="方正仿宋简体" w:hAnsi="方正仿宋简体" w:eastAsia="方正仿宋简体" w:cs="方正仿宋简体"/>
          <w:b w:val="0"/>
          <w:bCs w:val="0"/>
          <w:spacing w:val="-11"/>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color w:val="FF0000"/>
          <w:sz w:val="32"/>
          <w:szCs w:val="32"/>
        </w:rPr>
      </w:pPr>
      <w:r>
        <w:rPr>
          <w:rFonts w:hint="eastAsia" w:ascii="方正仿宋简体" w:hAnsi="方正仿宋简体" w:eastAsia="方正仿宋简体" w:cs="方正仿宋简体"/>
          <w:b w:val="0"/>
          <w:bCs w:val="0"/>
          <w:sz w:val="32"/>
          <w:szCs w:val="32"/>
        </w:rPr>
        <w:t>（九）其他违法违规行为。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六</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使用单位有下列情形之一的，有关部门对单位负责人和其他直接责任人员视情节轻重依法依规追究责任。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（一）不认真履行职责，对代建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不积极有效配合，或自筹资金不按时到位，致使项目建设无法进行或拖延工期</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（二）与代建</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或者勘察、设计、施工、监理、咨询、设备材料供应等单位串通，损害国家利益或社会公共利益</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（三）违反项目建设资金使用和财务管理规定</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color w:val="0000FF"/>
          <w:sz w:val="32"/>
          <w:szCs w:val="32"/>
          <w:lang w:eastAsia="zh-CN"/>
        </w:rPr>
      </w:pPr>
      <w:r>
        <w:rPr>
          <w:rFonts w:hint="eastAsia" w:ascii="方正仿宋简体" w:hAnsi="方正仿宋简体" w:eastAsia="方正仿宋简体" w:cs="方正仿宋简体"/>
          <w:b w:val="0"/>
          <w:bCs w:val="0"/>
          <w:sz w:val="32"/>
          <w:szCs w:val="32"/>
        </w:rPr>
        <w:t>（四）采用施工总承包方式的，项目初步设计批复后，未严格控制施工图设计文件质量及在项目建设过程中，未经批准擅自要求变更项目全部或部分使用功能、拆改结构、提高建设标准，造成投资超出概算或进度延误较多</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（五）竣工验收合格后，拖延接收项目</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（六）违规插手干预招投标活动</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（七）其他违法违规行为。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七</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有关行政主管部门及其工作人员在办理代建项目各项建设审批手续时，存在拖延塞责、滥用职权、玩忽职守、徇私舞弊、索贿受贿等行为的，依纪依规依法给予处理</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构成犯罪的</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依法追究刑事责任。</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第七章</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附</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黑体简体" w:hAnsi="方正黑体简体" w:eastAsia="方正黑体简体" w:cs="方正黑体简体"/>
          <w:b w:val="0"/>
          <w:bCs w:val="0"/>
          <w:sz w:val="32"/>
          <w:szCs w:val="32"/>
          <w:lang w:eastAsia="zh-CN"/>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八</w:t>
      </w:r>
      <w:r>
        <w:rPr>
          <w:rFonts w:hint="eastAsia" w:ascii="方正黑体简体" w:hAnsi="方正黑体简体" w:eastAsia="方正黑体简体" w:cs="方正黑体简体"/>
          <w:b w:val="0"/>
          <w:bCs w:val="0"/>
          <w:sz w:val="32"/>
          <w:szCs w:val="32"/>
        </w:rPr>
        <w:t>条</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各盟市使用政府投资进行非经营性项目代建管理，参照本办法执行。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九</w:t>
      </w:r>
      <w:r>
        <w:rPr>
          <w:rFonts w:hint="eastAsia" w:ascii="方正黑体简体" w:hAnsi="方正黑体简体" w:eastAsia="方正黑体简体" w:cs="方正黑体简体"/>
          <w:b w:val="0"/>
          <w:bCs w:val="0"/>
          <w:sz w:val="32"/>
          <w:szCs w:val="32"/>
        </w:rPr>
        <w:t>条</w:t>
      </w:r>
      <w:r>
        <w:rPr>
          <w:rFonts w:hint="eastAsia" w:ascii="方正黑体简体" w:hAnsi="方正黑体简体" w:eastAsia="方正黑体简体" w:cs="方正黑体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本办法自印发之日起施行</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《内蒙古自治区人民政府办公厅关于印发自治区本级政府投资非经营性项目代建制管理办法的通知》（内政办发〔2020〕7号）同时废止。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b w:val="0"/>
          <w:bCs w:val="0"/>
          <w:sz w:val="32"/>
          <w:szCs w:val="32"/>
        </w:rPr>
        <w:sectPr>
          <w:footerReference r:id="rId3" w:type="default"/>
          <w:footerReference r:id="rId4"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方正仿宋简体" w:hAnsi="方正仿宋简体" w:eastAsia="方正仿宋简体" w:cs="方正仿宋简体"/>
          <w:b w:val="0"/>
          <w:bCs w:val="0"/>
          <w:sz w:val="32"/>
          <w:szCs w:val="32"/>
        </w:rPr>
        <w:t>附件</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项目代建管理费总额控制费率表</w:t>
      </w:r>
    </w:p>
    <w:bookmarkEnd w:id="3"/>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方正仿宋简体" w:hAnsi="方正仿宋简体" w:eastAsia="方正仿宋简体" w:cs="方正仿宋简体"/>
          <w:b w:val="0"/>
          <w:bCs w:val="0"/>
          <w:sz w:val="32"/>
          <w:szCs w:val="32"/>
        </w:rPr>
      </w:pPr>
      <w:bookmarkStart w:id="4" w:name="OLE_LINK4"/>
      <w:r>
        <w:rPr>
          <w:rFonts w:hint="eastAsia" w:ascii="方正黑体简体" w:hAnsi="方正黑体简体" w:eastAsia="方正黑体简体" w:cs="方正黑体简体"/>
          <w:b w:val="0"/>
          <w:bCs w:val="0"/>
          <w:sz w:val="32"/>
          <w:szCs w:val="32"/>
        </w:rPr>
        <w:t>附件</w:t>
      </w: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项目代建管理费总额控制费率表</w:t>
      </w:r>
    </w:p>
    <w:bookmarkEnd w:id="4"/>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spacing w:line="560" w:lineRule="exact"/>
        <w:jc w:val="righ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单位:万元</w:t>
      </w:r>
    </w:p>
    <w:tbl>
      <w:tblPr>
        <w:tblStyle w:val="8"/>
        <w:tblW w:w="9252" w:type="dxa"/>
        <w:jc w:val="center"/>
        <w:tblInd w:w="-54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13"/>
        <w:gridCol w:w="997"/>
        <w:gridCol w:w="1709"/>
        <w:gridCol w:w="37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56"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1913"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工程总概算</w:t>
            </w:r>
          </w:p>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11"/>
                <w:sz w:val="28"/>
                <w:szCs w:val="28"/>
              </w:rPr>
              <w:t>（万元</w:t>
            </w:r>
            <w:r>
              <w:rPr>
                <w:rFonts w:hint="eastAsia" w:ascii="黑体" w:hAnsi="黑体" w:eastAsia="黑体" w:cs="黑体"/>
                <w:b w:val="0"/>
                <w:bCs w:val="0"/>
                <w:sz w:val="28"/>
                <w:szCs w:val="28"/>
              </w:rPr>
              <w:t>）</w:t>
            </w:r>
          </w:p>
        </w:tc>
        <w:tc>
          <w:tcPr>
            <w:tcW w:w="997"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ind w:left="58" w:leftChars="0" w:hanging="58" w:hangingChars="21"/>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费率</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w:t>
            </w:r>
          </w:p>
        </w:tc>
        <w:tc>
          <w:tcPr>
            <w:tcW w:w="5486" w:type="dxa"/>
            <w:gridSpan w:val="2"/>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算</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5" w:hRule="exact"/>
          <w:jc w:val="center"/>
        </w:trPr>
        <w:tc>
          <w:tcPr>
            <w:tcW w:w="856"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p>
        </w:tc>
        <w:tc>
          <w:tcPr>
            <w:tcW w:w="1913"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p>
        </w:tc>
        <w:tc>
          <w:tcPr>
            <w:tcW w:w="997"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sz w:val="28"/>
                <w:szCs w:val="28"/>
              </w:rPr>
            </w:pP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黑体" w:hAnsi="黑体" w:eastAsia="黑体" w:cs="黑体"/>
                <w:b w:val="0"/>
                <w:bCs w:val="0"/>
                <w:w w:val="90"/>
                <w:sz w:val="28"/>
                <w:szCs w:val="28"/>
              </w:rPr>
            </w:pPr>
            <w:r>
              <w:rPr>
                <w:rFonts w:hint="eastAsia" w:ascii="黑体" w:hAnsi="黑体" w:eastAsia="黑体" w:cs="黑体"/>
                <w:b w:val="0"/>
                <w:bCs w:val="0"/>
                <w:w w:val="90"/>
                <w:sz w:val="28"/>
                <w:szCs w:val="28"/>
              </w:rPr>
              <w:t>工程总概算</w:t>
            </w:r>
          </w:p>
          <w:p>
            <w:pPr>
              <w:keepNext w:val="0"/>
              <w:keepLines w:val="0"/>
              <w:pageBreakBefore w:val="0"/>
              <w:widowControl w:val="0"/>
              <w:kinsoku/>
              <w:wordWrap/>
              <w:overflowPunct/>
              <w:topLinePunct/>
              <w:autoSpaceDE/>
              <w:autoSpaceDN/>
              <w:bidi w:val="0"/>
              <w:adjustRightInd/>
              <w:snapToGrid w:val="0"/>
              <w:spacing w:line="400" w:lineRule="exact"/>
              <w:ind w:left="0" w:leftChars="0" w:firstLine="357" w:firstLineChars="142"/>
              <w:jc w:val="both"/>
              <w:textAlignment w:val="auto"/>
              <w:rPr>
                <w:rFonts w:hint="eastAsia" w:ascii="黑体" w:hAnsi="黑体" w:eastAsia="黑体" w:cs="黑体"/>
                <w:b w:val="0"/>
                <w:bCs w:val="0"/>
                <w:w w:val="90"/>
                <w:sz w:val="28"/>
                <w:szCs w:val="28"/>
              </w:rPr>
            </w:pPr>
            <w:r>
              <w:rPr>
                <w:rFonts w:hint="eastAsia" w:ascii="黑体" w:hAnsi="黑体" w:eastAsia="黑体" w:cs="黑体"/>
                <w:b w:val="0"/>
                <w:bCs w:val="0"/>
                <w:w w:val="90"/>
                <w:sz w:val="28"/>
                <w:szCs w:val="28"/>
              </w:rPr>
              <w:t>（万元）</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黑体" w:hAnsi="黑体" w:eastAsia="黑体" w:cs="黑体"/>
                <w:b w:val="0"/>
                <w:bCs w:val="0"/>
                <w:w w:val="90"/>
                <w:sz w:val="28"/>
                <w:szCs w:val="28"/>
              </w:rPr>
            </w:pPr>
            <w:r>
              <w:rPr>
                <w:rFonts w:hint="eastAsia" w:ascii="黑体" w:hAnsi="黑体" w:eastAsia="黑体" w:cs="黑体"/>
                <w:b w:val="0"/>
                <w:bCs w:val="0"/>
                <w:w w:val="90"/>
                <w:sz w:val="28"/>
                <w:szCs w:val="28"/>
              </w:rPr>
              <w:t>项目代建管理费（万元）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1000以下</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w w:val="90"/>
                <w:sz w:val="28"/>
                <w:szCs w:val="28"/>
              </w:rPr>
            </w:pPr>
            <w:r>
              <w:rPr>
                <w:rFonts w:hint="eastAsia" w:ascii="仿宋" w:hAnsi="仿宋" w:eastAsia="仿宋" w:cs="仿宋"/>
                <w:b w:val="0"/>
                <w:bCs w:val="0"/>
                <w:w w:val="90"/>
                <w:sz w:val="28"/>
                <w:szCs w:val="28"/>
              </w:rPr>
              <w:t>1000×2%=20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1001-5000</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w w:val="90"/>
                <w:sz w:val="28"/>
                <w:szCs w:val="28"/>
              </w:rPr>
            </w:pPr>
            <w:r>
              <w:rPr>
                <w:rFonts w:hint="eastAsia" w:ascii="仿宋" w:hAnsi="仿宋" w:eastAsia="仿宋" w:cs="仿宋"/>
                <w:b w:val="0"/>
                <w:bCs w:val="0"/>
                <w:w w:val="90"/>
                <w:sz w:val="28"/>
                <w:szCs w:val="28"/>
              </w:rPr>
              <w:t>20+（5000-1000）×1.5%=80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5001-10000</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w w:val="90"/>
                <w:sz w:val="28"/>
                <w:szCs w:val="28"/>
              </w:rPr>
            </w:pPr>
            <w:r>
              <w:rPr>
                <w:rFonts w:hint="eastAsia" w:ascii="仿宋" w:hAnsi="仿宋" w:eastAsia="仿宋" w:cs="仿宋"/>
                <w:b w:val="0"/>
                <w:bCs w:val="0"/>
                <w:w w:val="90"/>
                <w:sz w:val="28"/>
                <w:szCs w:val="28"/>
              </w:rPr>
              <w:t>80+（10000-5000）×1.2%=140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10001-50000</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50000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w w:val="90"/>
                <w:sz w:val="28"/>
                <w:szCs w:val="28"/>
              </w:rPr>
            </w:pPr>
            <w:r>
              <w:rPr>
                <w:rFonts w:hint="eastAsia" w:ascii="仿宋" w:hAnsi="仿宋" w:eastAsia="仿宋" w:cs="仿宋"/>
                <w:b w:val="0"/>
                <w:bCs w:val="0"/>
                <w:w w:val="90"/>
                <w:sz w:val="28"/>
                <w:szCs w:val="28"/>
              </w:rPr>
              <w:t>140+（50000-10000）×1%=540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50001-100000</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0.8</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w w:val="90"/>
                <w:sz w:val="28"/>
                <w:szCs w:val="28"/>
              </w:rPr>
            </w:pPr>
            <w:r>
              <w:rPr>
                <w:rFonts w:hint="eastAsia" w:ascii="仿宋" w:hAnsi="仿宋" w:eastAsia="仿宋" w:cs="仿宋"/>
                <w:b w:val="0"/>
                <w:bCs w:val="0"/>
                <w:w w:val="90"/>
                <w:sz w:val="28"/>
                <w:szCs w:val="28"/>
              </w:rPr>
              <w:t>540+（100000-50000）×0.8%=940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p>
        </w:tc>
        <w:tc>
          <w:tcPr>
            <w:tcW w:w="191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100000以上</w:t>
            </w:r>
          </w:p>
        </w:tc>
        <w:tc>
          <w:tcPr>
            <w:tcW w:w="99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0.4</w:t>
            </w:r>
          </w:p>
        </w:tc>
        <w:tc>
          <w:tcPr>
            <w:tcW w:w="1709"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200000</w:t>
            </w:r>
          </w:p>
        </w:tc>
        <w:tc>
          <w:tcPr>
            <w:tcW w:w="3777"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pacing w:line="400" w:lineRule="exact"/>
              <w:jc w:val="both"/>
              <w:textAlignment w:val="auto"/>
              <w:rPr>
                <w:rFonts w:hint="eastAsia" w:ascii="仿宋" w:hAnsi="仿宋" w:eastAsia="仿宋" w:cs="仿宋"/>
                <w:b w:val="0"/>
                <w:bCs w:val="0"/>
                <w:w w:val="90"/>
                <w:sz w:val="28"/>
                <w:szCs w:val="28"/>
              </w:rPr>
            </w:pPr>
            <w:r>
              <w:rPr>
                <w:rFonts w:hint="eastAsia" w:ascii="仿宋" w:hAnsi="仿宋" w:eastAsia="仿宋" w:cs="仿宋"/>
                <w:b w:val="0"/>
                <w:bCs w:val="0"/>
                <w:spacing w:val="-11"/>
                <w:w w:val="90"/>
                <w:sz w:val="28"/>
                <w:szCs w:val="28"/>
              </w:rPr>
              <w:t>940+（200000-100000）×0.4%=1340</w:t>
            </w:r>
          </w:p>
        </w:tc>
      </w:tr>
    </w:tbl>
    <w:p>
      <w:pPr>
        <w:keepNext w:val="0"/>
        <w:keepLines w:val="0"/>
        <w:pageBreakBefore w:val="0"/>
        <w:widowControl w:val="0"/>
        <w:kinsoku/>
        <w:wordWrap/>
        <w:overflowPunct/>
        <w:topLinePunct/>
        <w:autoSpaceDE/>
        <w:autoSpaceDN/>
        <w:bidi w:val="0"/>
        <w:spacing w:line="560" w:lineRule="exact"/>
        <w:ind w:firstLine="640" w:firstLineChars="200"/>
        <w:jc w:val="left"/>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spacing w:line="560" w:lineRule="exact"/>
        <w:ind w:firstLine="640" w:firstLineChars="200"/>
        <w:jc w:val="left"/>
        <w:textAlignment w:val="auto"/>
        <w:rPr>
          <w:rFonts w:hint="eastAsia" w:hAnsi="仿宋_GB2312" w:cs="仿宋_GB2312"/>
          <w:sz w:val="32"/>
          <w:szCs w:val="32"/>
        </w:rPr>
      </w:pPr>
    </w:p>
    <w:p>
      <w:pPr>
        <w:keepNext w:val="0"/>
        <w:keepLines w:val="0"/>
        <w:pageBreakBefore w:val="0"/>
        <w:widowControl w:val="0"/>
        <w:kinsoku/>
        <w:wordWrap/>
        <w:overflowPunct/>
        <w:topLinePunct/>
        <w:autoSpaceDE/>
        <w:autoSpaceDN/>
        <w:bidi w:val="0"/>
        <w:textAlignment w:val="auto"/>
        <w:rPr>
          <w:rFonts w:hint="eastAsia"/>
        </w:rPr>
      </w:pPr>
      <w:r>
        <w:rPr>
          <w:rFonts w:ascii="黑体" w:hAnsi="黑体" w:eastAsia="黑体" w:cs="黑体"/>
          <w:sz w:val="32"/>
          <w:szCs w:val="32"/>
        </w:rPr>
        <w:br w:type="page"/>
      </w: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eastAsia="宋体"/>
          <w:lang w:eastAsia="zh-CN"/>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tbl>
      <w:tblPr>
        <w:tblStyle w:val="8"/>
        <w:tblW w:w="895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0" w:type="dxa"/>
            <w:noWrap w:val="0"/>
            <w:vAlign w:val="top"/>
          </w:tcPr>
          <w:p>
            <w:pPr>
              <w:keepNext w:val="0"/>
              <w:keepLines w:val="0"/>
              <w:pageBreakBefore w:val="0"/>
              <w:widowControl w:val="0"/>
              <w:kinsoku/>
              <w:wordWrap/>
              <w:overflowPunct/>
              <w:topLinePunct/>
              <w:autoSpaceDE/>
              <w:autoSpaceDN/>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19" w:firstLineChars="7"/>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pacing w:val="-6"/>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0" w:type="dxa"/>
            <w:noWrap w:val="0"/>
            <w:vAlign w:val="top"/>
          </w:tcPr>
          <w:p>
            <w:pPr>
              <w:keepNext w:val="0"/>
              <w:keepLines w:val="0"/>
              <w:pageBreakBefore w:val="0"/>
              <w:widowControl w:val="0"/>
              <w:kinsoku/>
              <w:wordWrap/>
              <w:overflowPunct/>
              <w:topLinePunct/>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5</w:t>
            </w:r>
            <w:r>
              <w:rPr>
                <w:rFonts w:hint="eastAsia" w:ascii="仿宋_GB2312" w:eastAsia="仿宋_GB2312"/>
                <w:sz w:val="28"/>
              </w:rPr>
              <w:t>年</w:t>
            </w:r>
            <w:r>
              <w:rPr>
                <w:rFonts w:hint="default" w:ascii="仿宋_GB2312" w:eastAsia="仿宋_GB2312"/>
                <w:sz w:val="28"/>
                <w:lang w:val="en"/>
              </w:rPr>
              <w:t>4</w:t>
            </w:r>
            <w:r>
              <w:rPr>
                <w:rFonts w:hint="eastAsia" w:ascii="仿宋_GB2312" w:eastAsia="仿宋_GB2312"/>
                <w:sz w:val="28"/>
              </w:rPr>
              <w:t>月</w:t>
            </w:r>
            <w:r>
              <w:rPr>
                <w:rFonts w:hint="default" w:ascii="仿宋_GB2312" w:eastAsia="仿宋_GB2312"/>
                <w:sz w:val="28"/>
                <w:lang w:val="en"/>
              </w:rPr>
              <w:t>23</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adjustRightInd/>
        <w:snapToGrid/>
        <w:spacing w:line="20" w:lineRule="exact"/>
        <w:textAlignment w:val="auto"/>
      </w:pPr>
    </w:p>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3980815</wp:posOffset>
            </wp:positionH>
            <wp:positionV relativeFrom="paragraph">
              <wp:posOffset>103505</wp:posOffset>
            </wp:positionV>
            <wp:extent cx="1484630" cy="430530"/>
            <wp:effectExtent l="0" t="0" r="1270" b="7620"/>
            <wp:wrapSquare wrapText="bothSides"/>
            <wp:docPr id="2"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1"/>
                    <pic:cNvPicPr>
                      <a:picLocks noChangeAspect="1"/>
                    </pic:cNvPicPr>
                  </pic:nvPicPr>
                  <pic:blipFill>
                    <a:blip r:embed="rId10"/>
                    <a:stretch>
                      <a:fillRect/>
                    </a:stretch>
                  </pic:blipFill>
                  <pic:spPr>
                    <a:xfrm>
                      <a:off x="0" y="0"/>
                      <a:ext cx="1484630" cy="430530"/>
                    </a:xfrm>
                    <a:prstGeom prst="rect">
                      <a:avLst/>
                    </a:prstGeom>
                    <a:noFill/>
                    <a:ln>
                      <a:noFill/>
                    </a:ln>
                  </pic:spPr>
                </pic:pic>
              </a:graphicData>
            </a:graphic>
          </wp:anchor>
        </w:drawing>
      </w:r>
    </w:p>
    <w:sectPr>
      <w:headerReference r:id="rId5" w:type="default"/>
      <w:footerReference r:id="rId7" w:type="default"/>
      <w:headerReference r:id="rId6" w:type="even"/>
      <w:footerReference r:id="rId8"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CESI仿宋-GB2312">
    <w:altName w:val="仿宋"/>
    <w:panose1 w:val="02000500000000000000"/>
    <w:charset w:val="86"/>
    <w:family w:val="auto"/>
    <w:pitch w:val="default"/>
    <w:sig w:usb0="800002AF" w:usb1="084F6CF8" w:usb2="00000010" w:usb3="00000000" w:csb0="0004000F"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We88IBAABwAwAADgAAAGRycy9lMm9Eb2MueG1srVNLjhMxEN0jcQfL&#10;e+Kea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MVnvPCAQAAcAMAAA4AAAAAAAAAAQAgAAAAHg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ndEsIBAABwAwAADgAAAGRycy9lMm9Eb2MueG1srVNLjhMxEN0jcQfL&#10;e+KeSIO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bJ3RLCAQAAcAMAAA4AAAAAAAAAAQAgAAAAHg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iraOrCAQAAcAMAAA4AAAAAAAAAAQAgAAAAHg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B9"/>
    <w:rsid w:val="0000053B"/>
    <w:rsid w:val="00000BC8"/>
    <w:rsid w:val="00000D35"/>
    <w:rsid w:val="00000E8A"/>
    <w:rsid w:val="00001A5E"/>
    <w:rsid w:val="0001025F"/>
    <w:rsid w:val="00010E72"/>
    <w:rsid w:val="00010FBD"/>
    <w:rsid w:val="000134B5"/>
    <w:rsid w:val="00014A86"/>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C57"/>
    <w:rsid w:val="00060597"/>
    <w:rsid w:val="00060CE0"/>
    <w:rsid w:val="000615CF"/>
    <w:rsid w:val="0006347A"/>
    <w:rsid w:val="000671EE"/>
    <w:rsid w:val="00070196"/>
    <w:rsid w:val="000701C3"/>
    <w:rsid w:val="00071DE3"/>
    <w:rsid w:val="00071E83"/>
    <w:rsid w:val="0007324B"/>
    <w:rsid w:val="00073BF6"/>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67D3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275"/>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6DA"/>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E66F1"/>
    <w:rsid w:val="001F077E"/>
    <w:rsid w:val="001F21D0"/>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595E"/>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4C8E"/>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1FC8"/>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288A"/>
    <w:rsid w:val="003C3249"/>
    <w:rsid w:val="003C3EA0"/>
    <w:rsid w:val="003C419C"/>
    <w:rsid w:val="003C41EC"/>
    <w:rsid w:val="003C4942"/>
    <w:rsid w:val="003D01EF"/>
    <w:rsid w:val="003D0FC8"/>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2766"/>
    <w:rsid w:val="00423C35"/>
    <w:rsid w:val="004278D4"/>
    <w:rsid w:val="00430CBF"/>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2B44"/>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552"/>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0FA"/>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1FE1"/>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0214"/>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1A8F"/>
    <w:rsid w:val="00622118"/>
    <w:rsid w:val="00622A7A"/>
    <w:rsid w:val="00623F3E"/>
    <w:rsid w:val="00626C25"/>
    <w:rsid w:val="006277D8"/>
    <w:rsid w:val="00632581"/>
    <w:rsid w:val="0063404D"/>
    <w:rsid w:val="00637C57"/>
    <w:rsid w:val="00640710"/>
    <w:rsid w:val="00642967"/>
    <w:rsid w:val="00643C82"/>
    <w:rsid w:val="006459EC"/>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529C"/>
    <w:rsid w:val="007566F0"/>
    <w:rsid w:val="00760780"/>
    <w:rsid w:val="00763624"/>
    <w:rsid w:val="0076441E"/>
    <w:rsid w:val="00765025"/>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E5A2F"/>
    <w:rsid w:val="007F042D"/>
    <w:rsid w:val="007F0737"/>
    <w:rsid w:val="007F0940"/>
    <w:rsid w:val="007F19AC"/>
    <w:rsid w:val="007F1E62"/>
    <w:rsid w:val="007F24F6"/>
    <w:rsid w:val="007F2A0D"/>
    <w:rsid w:val="007F2A7E"/>
    <w:rsid w:val="007F5241"/>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285F"/>
    <w:rsid w:val="0083477F"/>
    <w:rsid w:val="00837152"/>
    <w:rsid w:val="00837596"/>
    <w:rsid w:val="00840886"/>
    <w:rsid w:val="008408A0"/>
    <w:rsid w:val="00846E88"/>
    <w:rsid w:val="008501A5"/>
    <w:rsid w:val="0085031D"/>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9B9"/>
    <w:rsid w:val="00872A55"/>
    <w:rsid w:val="00873542"/>
    <w:rsid w:val="00880C71"/>
    <w:rsid w:val="0088117B"/>
    <w:rsid w:val="00882531"/>
    <w:rsid w:val="0088714E"/>
    <w:rsid w:val="00887FA5"/>
    <w:rsid w:val="008926B7"/>
    <w:rsid w:val="0089561E"/>
    <w:rsid w:val="008A0590"/>
    <w:rsid w:val="008A0F62"/>
    <w:rsid w:val="008A6408"/>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04675"/>
    <w:rsid w:val="00907655"/>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4FA"/>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5BE5"/>
    <w:rsid w:val="009D16DF"/>
    <w:rsid w:val="009D1830"/>
    <w:rsid w:val="009D1AC9"/>
    <w:rsid w:val="009D1DF7"/>
    <w:rsid w:val="009D3B7A"/>
    <w:rsid w:val="009D417C"/>
    <w:rsid w:val="009D455E"/>
    <w:rsid w:val="009D70AB"/>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80B"/>
    <w:rsid w:val="00B64E58"/>
    <w:rsid w:val="00B666ED"/>
    <w:rsid w:val="00B70DED"/>
    <w:rsid w:val="00B7317D"/>
    <w:rsid w:val="00B73533"/>
    <w:rsid w:val="00B73E35"/>
    <w:rsid w:val="00B76556"/>
    <w:rsid w:val="00B836D5"/>
    <w:rsid w:val="00B840AB"/>
    <w:rsid w:val="00B84A62"/>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5EE"/>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2CB"/>
    <w:rsid w:val="00C10609"/>
    <w:rsid w:val="00C1296E"/>
    <w:rsid w:val="00C168B8"/>
    <w:rsid w:val="00C16B94"/>
    <w:rsid w:val="00C2004B"/>
    <w:rsid w:val="00C22AFA"/>
    <w:rsid w:val="00C24A34"/>
    <w:rsid w:val="00C275DE"/>
    <w:rsid w:val="00C30735"/>
    <w:rsid w:val="00C344E7"/>
    <w:rsid w:val="00C34C2B"/>
    <w:rsid w:val="00C471EE"/>
    <w:rsid w:val="00C5090D"/>
    <w:rsid w:val="00C516A1"/>
    <w:rsid w:val="00C531FF"/>
    <w:rsid w:val="00C53663"/>
    <w:rsid w:val="00C543E3"/>
    <w:rsid w:val="00C54463"/>
    <w:rsid w:val="00C6097A"/>
    <w:rsid w:val="00C625FA"/>
    <w:rsid w:val="00C644C7"/>
    <w:rsid w:val="00C659D0"/>
    <w:rsid w:val="00C65F9B"/>
    <w:rsid w:val="00C66A8C"/>
    <w:rsid w:val="00C67DA4"/>
    <w:rsid w:val="00C70168"/>
    <w:rsid w:val="00C70F21"/>
    <w:rsid w:val="00C71935"/>
    <w:rsid w:val="00C72875"/>
    <w:rsid w:val="00C72993"/>
    <w:rsid w:val="00C72FB2"/>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0BEF"/>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47F2"/>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6E50"/>
    <w:rsid w:val="00DC73F9"/>
    <w:rsid w:val="00DC7CCD"/>
    <w:rsid w:val="00DD19B7"/>
    <w:rsid w:val="00DD22BC"/>
    <w:rsid w:val="00DE279C"/>
    <w:rsid w:val="00DE52B4"/>
    <w:rsid w:val="00DF14B1"/>
    <w:rsid w:val="00DF14D3"/>
    <w:rsid w:val="00DF1A59"/>
    <w:rsid w:val="00DF35B5"/>
    <w:rsid w:val="00DF5F69"/>
    <w:rsid w:val="00DF761C"/>
    <w:rsid w:val="00E0152C"/>
    <w:rsid w:val="00E05300"/>
    <w:rsid w:val="00E06B2D"/>
    <w:rsid w:val="00E06E06"/>
    <w:rsid w:val="00E108C6"/>
    <w:rsid w:val="00E11FB2"/>
    <w:rsid w:val="00E12664"/>
    <w:rsid w:val="00E126BF"/>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26B84"/>
    <w:rsid w:val="00E27A34"/>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1145"/>
    <w:rsid w:val="00E941F7"/>
    <w:rsid w:val="00E9535A"/>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6D8"/>
    <w:rsid w:val="00EF59D3"/>
    <w:rsid w:val="00EF7BA0"/>
    <w:rsid w:val="00F00288"/>
    <w:rsid w:val="00F03745"/>
    <w:rsid w:val="00F03899"/>
    <w:rsid w:val="00F03D87"/>
    <w:rsid w:val="00F10329"/>
    <w:rsid w:val="00F12718"/>
    <w:rsid w:val="00F12B22"/>
    <w:rsid w:val="00F13C9F"/>
    <w:rsid w:val="00F14EF6"/>
    <w:rsid w:val="00F16E43"/>
    <w:rsid w:val="00F16FED"/>
    <w:rsid w:val="00F17570"/>
    <w:rsid w:val="00F20D57"/>
    <w:rsid w:val="00F22550"/>
    <w:rsid w:val="00F23334"/>
    <w:rsid w:val="00F25EC8"/>
    <w:rsid w:val="00F2738E"/>
    <w:rsid w:val="00F3016E"/>
    <w:rsid w:val="00F379AA"/>
    <w:rsid w:val="00F44761"/>
    <w:rsid w:val="00F46AB3"/>
    <w:rsid w:val="00F474B2"/>
    <w:rsid w:val="00F50369"/>
    <w:rsid w:val="00F50692"/>
    <w:rsid w:val="00F5173D"/>
    <w:rsid w:val="00F52276"/>
    <w:rsid w:val="00F565B8"/>
    <w:rsid w:val="00F575A7"/>
    <w:rsid w:val="00F607E9"/>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367"/>
    <w:rsid w:val="00FD314F"/>
    <w:rsid w:val="00FD3F68"/>
    <w:rsid w:val="00FD6099"/>
    <w:rsid w:val="00FD668C"/>
    <w:rsid w:val="00FD6BBF"/>
    <w:rsid w:val="00FD707C"/>
    <w:rsid w:val="00FE51BD"/>
    <w:rsid w:val="00FE5DC3"/>
    <w:rsid w:val="00FF1779"/>
    <w:rsid w:val="00FF1981"/>
    <w:rsid w:val="00FF21F2"/>
    <w:rsid w:val="00FF2340"/>
    <w:rsid w:val="00FF60C7"/>
    <w:rsid w:val="00FF7392"/>
    <w:rsid w:val="011B684E"/>
    <w:rsid w:val="021C79C8"/>
    <w:rsid w:val="023B43DC"/>
    <w:rsid w:val="04BFC76D"/>
    <w:rsid w:val="074D26E8"/>
    <w:rsid w:val="0A0C04F0"/>
    <w:rsid w:val="0A5D0188"/>
    <w:rsid w:val="0DD37491"/>
    <w:rsid w:val="0E274DDB"/>
    <w:rsid w:val="0EBD557F"/>
    <w:rsid w:val="105B0172"/>
    <w:rsid w:val="10AA3895"/>
    <w:rsid w:val="110F26B1"/>
    <w:rsid w:val="13404ED0"/>
    <w:rsid w:val="176B1C50"/>
    <w:rsid w:val="1A7D41CF"/>
    <w:rsid w:val="1BF9768C"/>
    <w:rsid w:val="1BFE0D57"/>
    <w:rsid w:val="1DEF2630"/>
    <w:rsid w:val="1F4D86E3"/>
    <w:rsid w:val="1F7B495E"/>
    <w:rsid w:val="1FD3237E"/>
    <w:rsid w:val="1FFD817C"/>
    <w:rsid w:val="21CE0EBF"/>
    <w:rsid w:val="22774541"/>
    <w:rsid w:val="24485B15"/>
    <w:rsid w:val="27E03D41"/>
    <w:rsid w:val="2BAE93CF"/>
    <w:rsid w:val="2E6927C8"/>
    <w:rsid w:val="2EFC53A1"/>
    <w:rsid w:val="2F464F3B"/>
    <w:rsid w:val="2FD665C8"/>
    <w:rsid w:val="302C6BB0"/>
    <w:rsid w:val="3181657E"/>
    <w:rsid w:val="357FFDED"/>
    <w:rsid w:val="35F71E2C"/>
    <w:rsid w:val="376FFEDD"/>
    <w:rsid w:val="3B916ECE"/>
    <w:rsid w:val="3BF706DF"/>
    <w:rsid w:val="3CFD2C63"/>
    <w:rsid w:val="3DED2996"/>
    <w:rsid w:val="3DFF7048"/>
    <w:rsid w:val="3EED42CD"/>
    <w:rsid w:val="3EFF2CBE"/>
    <w:rsid w:val="3F7F6002"/>
    <w:rsid w:val="3FBFFF95"/>
    <w:rsid w:val="3FD99D4F"/>
    <w:rsid w:val="3FDF3B3C"/>
    <w:rsid w:val="3FDFF97E"/>
    <w:rsid w:val="40F288C4"/>
    <w:rsid w:val="42116E91"/>
    <w:rsid w:val="4224574B"/>
    <w:rsid w:val="445A0855"/>
    <w:rsid w:val="449B7242"/>
    <w:rsid w:val="456E4695"/>
    <w:rsid w:val="45846C41"/>
    <w:rsid w:val="473FDC23"/>
    <w:rsid w:val="4A456A7E"/>
    <w:rsid w:val="4ABF5304"/>
    <w:rsid w:val="4BB12688"/>
    <w:rsid w:val="4BCA0642"/>
    <w:rsid w:val="4BF07BB8"/>
    <w:rsid w:val="4D849007"/>
    <w:rsid w:val="4DB9BE1B"/>
    <w:rsid w:val="4F6B402F"/>
    <w:rsid w:val="4FFFC734"/>
    <w:rsid w:val="4FFFF20B"/>
    <w:rsid w:val="51650C56"/>
    <w:rsid w:val="51FFBF71"/>
    <w:rsid w:val="5274F918"/>
    <w:rsid w:val="57EC79BA"/>
    <w:rsid w:val="58E75B6A"/>
    <w:rsid w:val="5BAE3879"/>
    <w:rsid w:val="5BB54468"/>
    <w:rsid w:val="5DBFD0FA"/>
    <w:rsid w:val="5DCF6C38"/>
    <w:rsid w:val="5DEF61FD"/>
    <w:rsid w:val="5E7EAFEC"/>
    <w:rsid w:val="5EEFDFAE"/>
    <w:rsid w:val="5F2AB4D5"/>
    <w:rsid w:val="5F7FB3C6"/>
    <w:rsid w:val="5F97DF2F"/>
    <w:rsid w:val="5F9F9E30"/>
    <w:rsid w:val="5FAB3349"/>
    <w:rsid w:val="5FEE48F1"/>
    <w:rsid w:val="5FFD30E3"/>
    <w:rsid w:val="636B9BE1"/>
    <w:rsid w:val="63AFF099"/>
    <w:rsid w:val="63FFBD68"/>
    <w:rsid w:val="64B86B45"/>
    <w:rsid w:val="657635E3"/>
    <w:rsid w:val="65FB05E0"/>
    <w:rsid w:val="662933E5"/>
    <w:rsid w:val="67C13A72"/>
    <w:rsid w:val="67F9AD08"/>
    <w:rsid w:val="6BD7ED98"/>
    <w:rsid w:val="6BE4B332"/>
    <w:rsid w:val="6C7F055A"/>
    <w:rsid w:val="6D973341"/>
    <w:rsid w:val="6DD7BB24"/>
    <w:rsid w:val="6DEFB8DA"/>
    <w:rsid w:val="6E777D75"/>
    <w:rsid w:val="6EDCB2F2"/>
    <w:rsid w:val="6EFFC443"/>
    <w:rsid w:val="6F2C465B"/>
    <w:rsid w:val="6F750AED"/>
    <w:rsid w:val="6F7EF561"/>
    <w:rsid w:val="6FDE68F5"/>
    <w:rsid w:val="6FEBDEC0"/>
    <w:rsid w:val="6FF67617"/>
    <w:rsid w:val="6FF9C39C"/>
    <w:rsid w:val="6FFFFC8F"/>
    <w:rsid w:val="70AA6BD1"/>
    <w:rsid w:val="72FE9D7A"/>
    <w:rsid w:val="73BE3676"/>
    <w:rsid w:val="75B37FD9"/>
    <w:rsid w:val="75C3E3D9"/>
    <w:rsid w:val="766B303B"/>
    <w:rsid w:val="76BD1866"/>
    <w:rsid w:val="76F7B28A"/>
    <w:rsid w:val="76F838B2"/>
    <w:rsid w:val="771DEDDA"/>
    <w:rsid w:val="777F4E31"/>
    <w:rsid w:val="778F4D22"/>
    <w:rsid w:val="779CDFC2"/>
    <w:rsid w:val="77D3A348"/>
    <w:rsid w:val="78BF7EEF"/>
    <w:rsid w:val="79CFD21A"/>
    <w:rsid w:val="79DBC023"/>
    <w:rsid w:val="79FF3BA6"/>
    <w:rsid w:val="7ABFD562"/>
    <w:rsid w:val="7B7D2D1E"/>
    <w:rsid w:val="7BEB0DE7"/>
    <w:rsid w:val="7BFF318E"/>
    <w:rsid w:val="7BFFF6C4"/>
    <w:rsid w:val="7CBF9DCF"/>
    <w:rsid w:val="7CFF6F34"/>
    <w:rsid w:val="7D164783"/>
    <w:rsid w:val="7D1F5526"/>
    <w:rsid w:val="7D2773A7"/>
    <w:rsid w:val="7DD7337C"/>
    <w:rsid w:val="7DF32F04"/>
    <w:rsid w:val="7DFF814D"/>
    <w:rsid w:val="7E6F1F19"/>
    <w:rsid w:val="7E7B249D"/>
    <w:rsid w:val="7E960D71"/>
    <w:rsid w:val="7EC48093"/>
    <w:rsid w:val="7EC82A20"/>
    <w:rsid w:val="7EE748FF"/>
    <w:rsid w:val="7EFDD42D"/>
    <w:rsid w:val="7EFEDB15"/>
    <w:rsid w:val="7EFF8777"/>
    <w:rsid w:val="7F6F395A"/>
    <w:rsid w:val="7F7DA61A"/>
    <w:rsid w:val="7F7FB645"/>
    <w:rsid w:val="7FB4BD73"/>
    <w:rsid w:val="7FCFFCB4"/>
    <w:rsid w:val="7FD74BB7"/>
    <w:rsid w:val="7FDCB1CF"/>
    <w:rsid w:val="7FE57ABC"/>
    <w:rsid w:val="7FEB5A4B"/>
    <w:rsid w:val="7FEB98F7"/>
    <w:rsid w:val="7FF6C38D"/>
    <w:rsid w:val="7FF7862B"/>
    <w:rsid w:val="7FFADA09"/>
    <w:rsid w:val="7FFE68DD"/>
    <w:rsid w:val="7FFF3F23"/>
    <w:rsid w:val="7FFF45BB"/>
    <w:rsid w:val="7FFF93E0"/>
    <w:rsid w:val="7FFFA57C"/>
    <w:rsid w:val="7FFFBBE8"/>
    <w:rsid w:val="8F68FE9C"/>
    <w:rsid w:val="97ECF342"/>
    <w:rsid w:val="97FFA940"/>
    <w:rsid w:val="9F5BF9D1"/>
    <w:rsid w:val="9F7E87D9"/>
    <w:rsid w:val="A3FB4384"/>
    <w:rsid w:val="A5FF9196"/>
    <w:rsid w:val="A7372EDA"/>
    <w:rsid w:val="AB98E14E"/>
    <w:rsid w:val="AEB88D92"/>
    <w:rsid w:val="AEFF085F"/>
    <w:rsid w:val="AF6F40EA"/>
    <w:rsid w:val="AFFF4624"/>
    <w:rsid w:val="B3FD0187"/>
    <w:rsid w:val="B7BFDBD1"/>
    <w:rsid w:val="BA97AA65"/>
    <w:rsid w:val="BB516C29"/>
    <w:rsid w:val="BCBE69BD"/>
    <w:rsid w:val="BD7FD54D"/>
    <w:rsid w:val="BD9FCD87"/>
    <w:rsid w:val="BDFF847A"/>
    <w:rsid w:val="BEE29B88"/>
    <w:rsid w:val="BEF45BE7"/>
    <w:rsid w:val="BF6E19C3"/>
    <w:rsid w:val="BFAF9DD8"/>
    <w:rsid w:val="BFFAE809"/>
    <w:rsid w:val="BFFF5FA5"/>
    <w:rsid w:val="BFFFCF01"/>
    <w:rsid w:val="BFFFE361"/>
    <w:rsid w:val="C6BBB38C"/>
    <w:rsid w:val="C9BACA9C"/>
    <w:rsid w:val="CB37851A"/>
    <w:rsid w:val="CB7F3F8C"/>
    <w:rsid w:val="CB8FF0CA"/>
    <w:rsid w:val="CEBEC002"/>
    <w:rsid w:val="D19E5887"/>
    <w:rsid w:val="D5FD87DC"/>
    <w:rsid w:val="D7FBA92B"/>
    <w:rsid w:val="DBFED19F"/>
    <w:rsid w:val="DCAD7AD4"/>
    <w:rsid w:val="DD769163"/>
    <w:rsid w:val="DEFA436D"/>
    <w:rsid w:val="DEFFBB83"/>
    <w:rsid w:val="DF6DC6B2"/>
    <w:rsid w:val="DF9150BD"/>
    <w:rsid w:val="DFF61131"/>
    <w:rsid w:val="E5FD8EF4"/>
    <w:rsid w:val="E7D835E8"/>
    <w:rsid w:val="ED0FCED4"/>
    <w:rsid w:val="ED9D7853"/>
    <w:rsid w:val="EDAD6223"/>
    <w:rsid w:val="EDAEDA16"/>
    <w:rsid w:val="EDBE4D7E"/>
    <w:rsid w:val="EDD54142"/>
    <w:rsid w:val="EEEFE0B6"/>
    <w:rsid w:val="EEFD2220"/>
    <w:rsid w:val="EF7367F1"/>
    <w:rsid w:val="EFF75531"/>
    <w:rsid w:val="F25BBAA7"/>
    <w:rsid w:val="F30DE6EC"/>
    <w:rsid w:val="F4B61483"/>
    <w:rsid w:val="F567BE00"/>
    <w:rsid w:val="F5FB1BB4"/>
    <w:rsid w:val="F677567B"/>
    <w:rsid w:val="F6BFE169"/>
    <w:rsid w:val="F6FF8E5C"/>
    <w:rsid w:val="F73A0C23"/>
    <w:rsid w:val="F76CC0A9"/>
    <w:rsid w:val="F786F340"/>
    <w:rsid w:val="F7E5519D"/>
    <w:rsid w:val="F7FEA767"/>
    <w:rsid w:val="F7FF7105"/>
    <w:rsid w:val="F9FCD002"/>
    <w:rsid w:val="F9FF3BC8"/>
    <w:rsid w:val="FAF72A23"/>
    <w:rsid w:val="FAF770F5"/>
    <w:rsid w:val="FB3E0A22"/>
    <w:rsid w:val="FB64639D"/>
    <w:rsid w:val="FB76A569"/>
    <w:rsid w:val="FBA71A75"/>
    <w:rsid w:val="FBD62AC0"/>
    <w:rsid w:val="FBDF739C"/>
    <w:rsid w:val="FBFEC22A"/>
    <w:rsid w:val="FBFEEDC3"/>
    <w:rsid w:val="FBFF959B"/>
    <w:rsid w:val="FCB618CA"/>
    <w:rsid w:val="FD4FFA24"/>
    <w:rsid w:val="FDB71971"/>
    <w:rsid w:val="FDD830FB"/>
    <w:rsid w:val="FDFEE633"/>
    <w:rsid w:val="FDFFEC2A"/>
    <w:rsid w:val="FEEF4C6B"/>
    <w:rsid w:val="FEFBF587"/>
    <w:rsid w:val="FEFF9F8B"/>
    <w:rsid w:val="FEFFBBC5"/>
    <w:rsid w:val="FF7FD8D1"/>
    <w:rsid w:val="FF964191"/>
    <w:rsid w:val="FF9DC150"/>
    <w:rsid w:val="FFBCCB29"/>
    <w:rsid w:val="FFBFD743"/>
    <w:rsid w:val="FFCDEED7"/>
    <w:rsid w:val="FFCF5BC9"/>
    <w:rsid w:val="FFD36FD2"/>
    <w:rsid w:val="FFDF9B25"/>
    <w:rsid w:val="FFDFFB12"/>
    <w:rsid w:val="FFE499A1"/>
    <w:rsid w:val="FFFDF8ED"/>
    <w:rsid w:val="FFFE0438"/>
    <w:rsid w:val="FFFFA6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Plain Text"/>
    <w:basedOn w:val="1"/>
    <w:next w:val="4"/>
    <w:qFormat/>
    <w:uiPriority w:val="0"/>
    <w:pPr>
      <w:widowControl w:val="0"/>
      <w:jc w:val="both"/>
    </w:pPr>
    <w:rPr>
      <w:rFonts w:ascii="宋体" w:hAnsi="Times New Roman" w:eastAsia="宋体" w:cs="Courier New"/>
      <w:kern w:val="2"/>
      <w:sz w:val="28"/>
      <w:szCs w:val="21"/>
      <w:lang w:val="en-US" w:eastAsia="zh-CN" w:bidi="ar-SA"/>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Date"/>
    <w:basedOn w:val="1"/>
    <w:next w:val="1"/>
    <w:link w:val="13"/>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
    <w:basedOn w:val="10"/>
    <w:link w:val="4"/>
    <w:semiHidden/>
    <w:uiPriority w:val="99"/>
    <w:rPr>
      <w:rFonts w:ascii="Calibri" w:hAnsi="Calibri" w:eastAsia="宋体" w:cs="Mongolian Baiti"/>
      <w:kern w:val="2"/>
      <w:sz w:val="18"/>
      <w:szCs w:val="22"/>
    </w:rPr>
  </w:style>
  <w:style w:type="character" w:customStyle="1" w:styleId="13">
    <w:name w:val=" Char Char2"/>
    <w:basedOn w:val="10"/>
    <w:link w:val="5"/>
    <w:uiPriority w:val="0"/>
    <w:rPr>
      <w:rFonts w:ascii="仿宋_GB2312" w:hAnsi="Times New Roman" w:eastAsia="仿宋_GB2312" w:cs="Times New Roman"/>
      <w:kern w:val="2"/>
      <w:sz w:val="32"/>
      <w:szCs w:val="24"/>
      <w:lang w:bidi="ar-SA"/>
    </w:rPr>
  </w:style>
  <w:style w:type="character" w:customStyle="1" w:styleId="14">
    <w:name w:val=" Char Char1"/>
    <w:basedOn w:val="10"/>
    <w:link w:val="7"/>
    <w:semiHidden/>
    <w:uiPriority w:val="99"/>
    <w:rPr>
      <w:rFonts w:ascii="Calibri" w:hAnsi="Calibri" w:eastAsia="宋体" w:cs="Mongolian Baiti"/>
      <w:kern w:val="2"/>
      <w:sz w:val="18"/>
      <w:szCs w:val="22"/>
    </w:rPr>
  </w:style>
  <w:style w:type="character" w:customStyle="1" w:styleId="15">
    <w:name w:val="font112"/>
    <w:qFormat/>
    <w:uiPriority w:val="0"/>
    <w:rPr>
      <w:rFonts w:ascii="CESI仿宋-GB2312" w:hAnsi="CESI仿宋-GB2312" w:eastAsia="CESI仿宋-GB2312" w:cs="CESI仿宋-GB2312"/>
      <w:color w:val="000000"/>
      <w:sz w:val="40"/>
      <w:szCs w:val="40"/>
      <w:u w:val="none"/>
    </w:rPr>
  </w:style>
  <w:style w:type="character" w:customStyle="1" w:styleId="16">
    <w:name w:val="font91"/>
    <w:qFormat/>
    <w:uiPriority w:val="0"/>
    <w:rPr>
      <w:rFonts w:hint="default" w:ascii="黑体" w:hAnsi="宋体" w:eastAsia="黑体" w:cs="黑体"/>
      <w:color w:val="000000"/>
      <w:sz w:val="40"/>
      <w:szCs w:val="40"/>
      <w:u w:val="none"/>
    </w:rPr>
  </w:style>
  <w:style w:type="character" w:customStyle="1" w:styleId="17">
    <w:name w:val="font21"/>
    <w:qFormat/>
    <w:uiPriority w:val="0"/>
    <w:rPr>
      <w:rFonts w:ascii="CESI仿宋-GB2312" w:hAnsi="CESI仿宋-GB2312" w:eastAsia="CESI仿宋-GB2312" w:cs="CESI仿宋-GB2312"/>
      <w:color w:val="000000"/>
      <w:sz w:val="24"/>
      <w:szCs w:val="24"/>
      <w:u w:val="none"/>
    </w:rPr>
  </w:style>
  <w:style w:type="character" w:customStyle="1" w:styleId="18">
    <w:name w:val="页脚 Char"/>
    <w:uiPriority w:val="99"/>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14</Pages>
  <Words>5265</Words>
  <Characters>5490</Characters>
  <Lines>1</Lines>
  <Paragraphs>1</Paragraphs>
  <TotalTime>1</TotalTime>
  <ScaleCrop>false</ScaleCrop>
  <LinksUpToDate>false</LinksUpToDate>
  <CharactersWithSpaces>5622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2025-04-27T10:09:35Z</cp:lastPrinted>
  <dcterms:modified xsi:type="dcterms:W3CDTF">2025-04-28T07:38:27Z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