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" w:hAnsi="仿宋" w:eastAsia="仿宋" w:cs="仿宋"/>
          <w:b/>
          <w:color w:val="FF0000"/>
          <w:spacing w:val="-20"/>
          <w:w w:val="5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2" w:name="_GoBack"/>
      <w:bookmarkStart w:id="0" w:name="标题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关于印发自治区遏制与防治艾滋病规划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（2025-2030年）的通知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60" w:firstLineChars="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内政办发〔2025〕10号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60" w:firstLineChars="5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bookmarkStart w:id="1" w:name="OLE_LINK1"/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各盟行政公署、市人民政府，自治区各委、办、厅、局，各大企业、事业单位：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16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lang w:val="en-US" w:eastAsia="zh-CN"/>
        </w:rPr>
        <w:t>经自治区人民政府同意，现将《内蒙古自治区遏制与防治艾滋病规划（2025-2030年）》印发给你们，请结合实际，认真贯彻落实。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238" w:firstLineChars="1637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2025年2月20日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</w:rPr>
        <w:t>内蒙古自治区遏制与防治艾滋病规划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u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u w:val="none"/>
        </w:rPr>
        <w:t>(2025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楷体" w:hAnsi="楷体" w:eastAsia="楷体" w:cs="楷体"/>
          <w:sz w:val="32"/>
          <w:szCs w:val="32"/>
          <w:highlight w:val="none"/>
          <w:u w:val="none"/>
        </w:rPr>
        <w:t>2030年)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艾滋病是严重危害人民群众身体健康的重大传染病。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为贯彻落实《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国务院办公厅关于印发〈中国遏制与防治艾滋病规划（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2024-2030年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的通知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（国办发〔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2024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51号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）精神，坚持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以铸牢中华民族共同体意识为工作主线，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进一步推进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艾滋病防治工作，维护人民群众身体健康，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结合自治区实际，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制定本规划。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一、防治目标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巩固阻断输血传播和控制注射吸毒传播成果，消除母婴传播，进一步遏制性传播上升势头，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降低艾滋病新发感染，减少相关死亡，将整体疫情持续控制在低流行水平。具体工作指标如下：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none"/>
          <w:u w:val="none"/>
          <w:lang w:val="en-US" w:eastAsia="zh-CN"/>
        </w:rPr>
        <w:t>提高社会防护意识。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2025年，居民艾滋病防治知识知晓率达90%以上，重点人群及易感染艾滋病危险行为人群防治知识知晓率达95%以上，感染者权利义务知晓率达95%以上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到2030年持续巩固提升。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（二）促进危险行为改变。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2025年和2030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/>
        </w:rPr>
        <w:t>年，男性同性性行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/>
        </w:rPr>
        <w:t>为人群艾滋病相关危险行为均较前5年减少10%以上；2025年，易感染艾滋病危险行为人群综合干预措施覆盖比例达95%以上，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参加戒毒药物维持治疗人员年新发感染率在0.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%以下，到2030年持续保持。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（三）预防家庭内传播。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2025年，艾滋病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/>
        </w:rPr>
        <w:t>母婴传播率在2%以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下，夫妻一方感染艾滋病家庭的配偶传播率在0.3%以下，到2030年持续保持。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  <w:t>（四）提升诊断治疗效果。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经诊断发现并知晓自身感染状况的感染者比例2025年达90%以上，2030年达95%以上。2025年，经诊断发现的感染者接受抗病毒治疗比例、接受抗病毒治疗的感染者病毒抑制比例均达95%以上，到2030年持续巩固提升。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  <w:t>（五）控制人群感染水平。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到2030年，全人群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/>
        </w:rPr>
        <w:t>感染率控制在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0.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%以下。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二、防治措施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（一）强化宣教干预和社会动员，增强公众防治意识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1.加大健康知识普及力度。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艾滋病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防治知识纳入“公民健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/>
        </w:rPr>
        <w:t>康素养”内容，发挥爱国卫生运动优势，促进防治知识进社区、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进企业、进医院、进校园、进家庭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。结合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世界艾滋病日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、国际禁毒日及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文化科技卫生“三下乡”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，充分运用主流媒体和新媒体平台，开展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集中性、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经常性宣传教育，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引导树立“每个人是自己健康第一责任人”的理念。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2.加强重点场所和重点人群宣传教育。在医疗卫生机构、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车站、机场、口岸、娱乐和洗浴等场所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通过开设宣传栏、摆放宣传品、播放宣传教育片等形式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广泛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开展宣传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。督促指导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流动人口集中的用工单位及劳动力转移培训机构开展警示性教育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和动员检测等工作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通过12320和12356等服务热线开展个体化的健康教育和心理咨询。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强化落实有效干预措施。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/>
          <w:lang w:eastAsia="zh-CN"/>
        </w:rPr>
        <w:t>促进安全套的推广和正确使用，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全面落实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宾馆等公共场所摆放安全套有关规定并加大检查力度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发挥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嘎查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村(居)民委员会公共卫生委员会作用。落实夫妻一方感染艾滋病家庭健康教育、检测治疗和生育指导等措施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完善药物预防策略，</w:t>
      </w:r>
      <w:r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积极推进暴露预防门诊规范化建设，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2025年底前</w:t>
      </w:r>
      <w:r>
        <w:rPr>
          <w:rFonts w:hint="eastAsia" w:ascii="仿宋" w:hAnsi="仿宋" w:eastAsia="仿宋" w:cs="仿宋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实现暴露预防门诊建设盟市级全覆盖。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继续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做好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临床用血艾滋病病毒核酸检测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。充分发挥“互联网+”作用，实施线上和线下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相结合的全链条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干预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动员社会力量广泛参与。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/>
        </w:rPr>
        <w:t>充分发挥工会、共青团、妇联、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红十字会、工商联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、计划生育协会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作用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，持续深入开展“职工红丝带健康行动”、“青春红丝带”、“妇女‘面对面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’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宣传教育”和“青春健康”等专项行动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。将社会力量参与防治纳入工作计划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过购买服务等方式，引导和支持社会组织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开展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防治工作。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动员和支持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社会组织、爱心企业、志愿者和公众人物参与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防治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公益活动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、履行社会责任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（二）加强检测和监测，促进病例早诊断、早发现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1.完善检测网络，提高检测服务质量。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完善艾滋病实验室检测网络，各盟市和重点旗县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（市、区）疾控中心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和传染病医院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具备抗体确证检测和核酸诊断能力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，鼓励支持苏木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乡镇卫生院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社区卫生服务中心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设立艾滋病检测点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。制定针对性筛查计划，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动员重点人群加强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自我检测和性伴检测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强化重点人群和医疗机构重点科室就诊者的艾滋病、病毒性肝炎和梅毒等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多病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共检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为性病就诊者提供规范化诊疗和艾滋病检测咨询服务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重点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将艾滋病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、丙肝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性病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检测咨询纳入婚前自愿医学检查和重点公共场所从业人员健康体检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，及时向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社会公布辖区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艾滋病检测机构信息，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推动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检测服务便利可及。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2.开展多渠道监测预警，加强数据分析利用。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利用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全区传染病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监测预警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与应急指挥信息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平台，建立艾滋病防控智慧化多元化监测预警系统。加强重点人群哨点监测和耐药监测，推进机构间信息交换，强化疫情研判及趋势分析。利用病毒基因测序、分子传播网络和新近感染分析等，深入开展新报告感染者流行病学调查和传播风险判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推进分类干预。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积极协调公安等部门，及时了解掌握失访病例信息，提高病例管理率。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（三）推进治疗和救助，提升抗病毒治疗效果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1.高质量开展抗病毒治疗。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全面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推广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检测、诊断、治疗“一站式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服务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，积极推进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医防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协同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、医防融合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试点。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健全转诊和会诊机制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，对新报告感染者尽早启动治疗，动员未治疗感染者接受治疗。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完善异地抗病毒治疗衔接机制，做好感染者治疗管理工作。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严格执行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有关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诊疗指南，加强治疗评估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、病情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和耐药监测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适时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/>
        </w:rPr>
        <w:t>优化成人及儿童治疗方案。落实机会性感染有关救治保障政策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做好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结核病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等机会性感染疾病的筛查、诊断和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治疗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。加强感染者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分类管理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提供针对性的随访干预服务，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督促其规范治疗并依法履行性伴告知及防止感染他人等义务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2.积极推进中医药（蒙医药）治疗。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健全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中医药（蒙医药）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参与艾滋病诊疗工作机制，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持续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推进试点项目，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总结治疗临床经验，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完善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（蒙）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医、中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（蒙）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u w:val="none"/>
        </w:rPr>
        <w:t>西医结合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诊疗方案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，进一步扩大治疗规模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/>
          <w:lang w:val="en-US" w:eastAsia="zh-CN"/>
        </w:rPr>
        <w:t>加强感染者关怀救助。落实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/>
          <w:lang w:eastAsia="zh-CN"/>
        </w:rPr>
        <w:t>感染者爱心帮扶、情感支持、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就业指导等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关怀措施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依法保障感染者及其家属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就医、就业、入学等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合法权益，减少社会歧视。强化医疗卫生机构首诊负责制，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对诊疗服务中发现的感染者，做好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诊疗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相关处置，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不得以任何理由推诿或者拒绝诊治。加强社会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保障相关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政策衔接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有效保障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感染者基本医疗、基本养老、基本生活等权益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艾滋病致孤儿童和艾滋病病毒感染儿童及时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、足额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发放基本生活费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充分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保障受艾滋病影响儿童合法权益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  <w:t>（四）实施分类指导，落实不同人群针对性防控措施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1.加快推进消除母婴传播。健全预防母婴传播五级联动服务体系，优化妇幼健康管理信息系统，加强传染病信息共享，健全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流动个案追踪随访和信息对接机制。完善“一站式”服务模式，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落实艾滋病感染孕产妇及所生儿童干预措施。加强专案管理和孕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情监测，完善早筛查、早诊断服务流程，缩短孕产妇检测确诊时间。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2.大力推动青少年预防艾滋病。落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实学校艾滋病疫情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部门间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通报和定期会商机制，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推进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实施校园抗艾防艾行动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。督促指导各类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学校将预防艾滋病纳入教育计划，普通高等学校、职业院校成立由校领导牵头的艾滋病防控领导小组，普通中学、中等职业学校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将艾滋病防治知识纳入健康教育内容。充分发挥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学校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团委、社团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志愿者的作用，将学生参与宣传艾滋病防治志愿活动纳入志愿者服务内容，各级疾控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机构提供技术支持。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加强青少年性健康教育，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促进校内外青少年养成健康文明的行为习惯，提高风险意识和自我防护能力。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3.积极推动中老年人预防性病艾滋病。将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老年人预防性病艾滋病纳入老年健康素养提升、老年健康宣传周、老年心理关爱等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工作内容，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结合敬老爱老活动开展健康教育。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依托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公共服务项目，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将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老年人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艾滋病检测纳入健康体检，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实施多病共检。加强对老龄感染者的社会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关怀，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鼓励社会力量和志愿者参与预防干预，减少中老年人不安全性行为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  <w:t>（五）强化示范引领，推动重点地区防治工作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1.发挥示范区创新引领作用。各示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范区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以遏制艾滋病性传播为主攻方向，着力解决男性同性性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行为者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等重点人群防治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制约诊断发现等重点环节难题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结合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自治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实际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推进多病共防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，探索不同流行水平、不同传播特点的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工作路径，形成有特色、可复制和可推广的防控模式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2.加强重点地区防治工作。研究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完善重点地区判定标准，定期综合分析研判，动态调整艾滋病防治重点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地区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。确定为重点地区的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盟市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旗县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（市、区）应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加大资源投入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“一地一案”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做好防治工作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健全联防联控机制，强化信息互通和区域协同，联合开展综合干预、检测治疗、社会共治等工作。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边境口岸地区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应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及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/>
        </w:rPr>
        <w:t>时了解毗邻国家和地区的艾滋病疫情进展，制定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/>
          <w:lang w:eastAsia="zh-CN"/>
        </w:rPr>
        <w:t>针对性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highlight w:val="none"/>
          <w:u w:val="none"/>
        </w:rPr>
        <w:t>防治措施。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楷体" w:hAnsi="楷体" w:eastAsia="楷体" w:cs="楷体"/>
          <w:smallCaps w:val="0"/>
          <w:color w:val="auto"/>
          <w:kern w:val="2"/>
          <w:sz w:val="32"/>
          <w:szCs w:val="32"/>
          <w:highlight w:val="none"/>
          <w:lang w:val="en-US" w:eastAsia="zh-CN" w:bidi="ar-SA"/>
        </w:rPr>
        <w:t>（六）深化综合治理，巩固提升防治成效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/>
          <w:lang w:val="en-US" w:eastAsia="zh-CN"/>
        </w:rPr>
        <w:t>依法开展社会综合治理。严厉打击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/>
        </w:rPr>
        <w:t>涉黄等违法犯罪活动，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依法打击处理涉及艾滋病传播的危险行为，对涉嫌故意传播艾滋病的案件及时依法立案侦查。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对抓获的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卖淫嫖娼、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聚众淫乱、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吸毒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贩毒人员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全部进行艾滋病检测，将感染者纳入重点管理范围并开展抗病毒治疗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加强社交媒体、网络平台和社交软件监管，督促相关企业配合疾控部门发布风险提示信息。严厉打击非法采供血液和组织他人出卖血液活动，加大打击非法行医力度。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2.强化监管场所艾滋病防治。落实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被监管人员艾滋病防治宣传教育，监管场所应当对监管期限在三个月以上或在被监管前有过卖淫嫖娼、吸毒等行为的被监管人员全部进行艾滋病病毒抗体检测，将感染者纳入重点管理范围并开展抗病毒治疗。监管场所应加强与地方疾控机构沟通协调，实现应检尽检。对解除监管的出所感染者，及时做好转介治疗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3.持续加强禁毒防艾工作。将禁毒工作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与艾滋病防治紧密结合，及时清理和打击从事毒品交易的社交媒体、网络平台和个人。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继续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做好药物滥用监测，特别是对非列管替代物的监测，及时调整麻醉药品和精神药品监控范围，依法打击滥用物质和非法催情剂的生产和流通。将戒毒药物维持治疗作为吸毒人员戒治的重要措施，优化戒毒药物维持治疗门诊布局，健全社区戒毒、强制隔离戒毒、社区康复和戒毒药物维持治疗衔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和信息共享机制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三、保障措施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加强组织领导，健全部门协作、社会动员、全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参与的工作机制，压实各级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政府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防治责任，发挥防治艾滋病工作协调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val="en-US" w:eastAsia="zh-CN"/>
        </w:rPr>
        <w:t>机制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作用，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强化“三医”协同发展，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形成防治工作合力。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完善艾滋病防</w:t>
      </w:r>
      <w:r>
        <w:rPr>
          <w:rFonts w:hint="eastAsia" w:ascii="仿宋" w:hAnsi="仿宋" w:eastAsia="仿宋" w:cs="仿宋"/>
          <w:color w:val="auto"/>
          <w:spacing w:val="6"/>
          <w:sz w:val="32"/>
          <w:szCs w:val="32"/>
          <w:highlight w:val="none"/>
          <w:u w:val="none"/>
        </w:rPr>
        <w:t>治体系，配齐配强防治专业人员，加大对防治人员的关心爱护，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按照国家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和自治区有关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规定落实防治相关投入政策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及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卫生防疫津贴补贴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政策。结合国家和自治区重点研发计划、科技重大专项和自然科学基金项目等，支持开展艾滋病防治核心技术和关键策略研究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，加快成果转化和推广应用。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</w:rPr>
        <w:t>、指导与评估</w:t>
      </w:r>
    </w:p>
    <w:p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自治区卫生健康委、疾控局按照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国务院防治艾滋病工作委员会办公室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要求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开展规划实施调研和指导，组织开展阶段性评估和终期评估。各地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区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各有关部门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对规划实施进展和成效进行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指导评估，确保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本规划各项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任务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  <w:lang w:eastAsia="zh-CN"/>
        </w:rPr>
        <w:t>得到贯彻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/>
        </w:rPr>
        <w:t>落实。</w:t>
      </w: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bookmarkEnd w:id="1"/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  <w:highlight w:val="none"/>
        </w:rPr>
      </w:pPr>
    </w:p>
    <w:tbl>
      <w:tblPr>
        <w:tblStyle w:val="8"/>
        <w:tblpPr w:leftFromText="180" w:rightFromText="180" w:vertAnchor="text" w:horzAnchor="page" w:tblpXSpec="center" w:tblpY="300"/>
        <w:tblOverlap w:val="never"/>
        <w:tblW w:w="9035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5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90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 xml:space="preserve">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3705225</wp:posOffset>
            </wp:positionH>
            <wp:positionV relativeFrom="paragraph">
              <wp:posOffset>1830070</wp:posOffset>
            </wp:positionV>
            <wp:extent cx="1790700" cy="551815"/>
            <wp:effectExtent l="0" t="0" r="0" b="635"/>
            <wp:wrapSquare wrapText="bothSides"/>
            <wp:docPr id="1" name="图片 6" descr="NZB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6" descr="NZBF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304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1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1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1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5991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B3"/>
    <w:rsid w:val="005D1611"/>
    <w:rsid w:val="005E0DCD"/>
    <w:rsid w:val="005E523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11B684E"/>
    <w:rsid w:val="023B43DC"/>
    <w:rsid w:val="02B31E8C"/>
    <w:rsid w:val="074D26E8"/>
    <w:rsid w:val="10AA3895"/>
    <w:rsid w:val="110F26B1"/>
    <w:rsid w:val="13404ED0"/>
    <w:rsid w:val="1A7D41CF"/>
    <w:rsid w:val="1FD3237E"/>
    <w:rsid w:val="21CE0EBF"/>
    <w:rsid w:val="24485B15"/>
    <w:rsid w:val="24DD397B"/>
    <w:rsid w:val="2BB96755"/>
    <w:rsid w:val="32E3C0ED"/>
    <w:rsid w:val="3BCE094F"/>
    <w:rsid w:val="3EAF2B7C"/>
    <w:rsid w:val="4224574B"/>
    <w:rsid w:val="456E4695"/>
    <w:rsid w:val="4A456A7E"/>
    <w:rsid w:val="4BB12688"/>
    <w:rsid w:val="51650C56"/>
    <w:rsid w:val="55FACFA5"/>
    <w:rsid w:val="5BAE3879"/>
    <w:rsid w:val="64B86B45"/>
    <w:rsid w:val="662933E5"/>
    <w:rsid w:val="66BF7AD9"/>
    <w:rsid w:val="6F159917"/>
    <w:rsid w:val="6F2C465B"/>
    <w:rsid w:val="6FFF9C25"/>
    <w:rsid w:val="7D0B85B6"/>
    <w:rsid w:val="7D164783"/>
    <w:rsid w:val="7E960D71"/>
    <w:rsid w:val="7FAEDEE0"/>
    <w:rsid w:val="7FB95B23"/>
    <w:rsid w:val="7FDF9EF4"/>
    <w:rsid w:val="97CE45F3"/>
    <w:rsid w:val="9FFB1B97"/>
    <w:rsid w:val="E6DFBF85"/>
    <w:rsid w:val="FABFE955"/>
    <w:rsid w:val="FDCE88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link w:val="13"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39"/>
    <w:pPr>
      <w:ind w:left="210"/>
      <w:jc w:val="left"/>
    </w:pPr>
    <w:rPr>
      <w:rFonts w:ascii="Calibri" w:hAnsi="Calibri" w:eastAsia="宋体" w:cs="Times New Roman"/>
      <w:smallCaps/>
      <w:sz w:val="20"/>
      <w:szCs w:val="20"/>
      <w:lang w:bidi="ar-SA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1">
    <w:name w:val="page number"/>
    <w:basedOn w:val="10"/>
    <w:uiPriority w:val="0"/>
  </w:style>
  <w:style w:type="paragraph" w:customStyle="1" w:styleId="12">
    <w:name w:val="局发文正文"/>
    <w:basedOn w:val="1"/>
    <w:qFormat/>
    <w:uiPriority w:val="0"/>
    <w:pPr>
      <w:adjustRightInd w:val="0"/>
      <w:spacing w:line="600" w:lineRule="exact"/>
      <w:ind w:firstLine="200" w:firstLineChars="200"/>
      <w:textAlignment w:val="baseline"/>
    </w:pPr>
    <w:rPr>
      <w:rFonts w:ascii="仿宋_GB2312" w:hAnsi="Times New Roman" w:eastAsia="仿宋_GB2312" w:cs="Times New Roman"/>
      <w:caps/>
      <w:spacing w:val="6"/>
      <w:kern w:val="0"/>
      <w:sz w:val="30"/>
      <w:szCs w:val="20"/>
      <w:lang w:bidi="ar-SA"/>
    </w:rPr>
  </w:style>
  <w:style w:type="character" w:customStyle="1" w:styleId="13">
    <w:name w:val=" Char Char2"/>
    <w:basedOn w:val="10"/>
    <w:link w:val="3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14">
    <w:name w:val=" Char Char"/>
    <w:basedOn w:val="10"/>
    <w:link w:val="5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5">
    <w:name w:val=" Char Char1"/>
    <w:basedOn w:val="10"/>
    <w:link w:val="6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tif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79</TotalTime>
  <ScaleCrop>false</ScaleCrop>
  <LinksUpToDate>false</LinksUpToDate>
  <CharactersWithSpaces>101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2012-09-19T12:59:00Z</dcterms:created>
  <dc:creator>阿拉善盟行政公署:打印</dc:creator>
  <cp:lastModifiedBy>哈斯高娃</cp:lastModifiedBy>
  <cp:lastPrinted>2025-02-20T19:09:59Z</cp:lastPrinted>
  <dcterms:modified xsi:type="dcterms:W3CDTF">2025-02-24T07:18:47Z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