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印发自治区节水行动实施方案的通知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内政发〔2025〕9号</w:t>
      </w:r>
    </w:p>
    <w:p>
      <w:pPr>
        <w:spacing w:line="600" w:lineRule="exact"/>
        <w:jc w:val="center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各盟行政公署、市人民政府，自治区各委、办、厅、局，</w:t>
      </w:r>
      <w:r>
        <w:rPr>
          <w:rFonts w:hint="eastAsia" w:ascii="仿宋" w:hAnsi="仿宋" w:eastAsia="仿宋" w:cs="仿宋"/>
          <w:sz w:val="32"/>
          <w:lang w:eastAsia="zh-CN"/>
        </w:rPr>
        <w:t>各大企业、事业单位</w:t>
      </w:r>
      <w:r>
        <w:rPr>
          <w:rFonts w:hint="eastAsia" w:ascii="仿宋" w:hAnsi="仿宋" w:eastAsia="仿宋" w:cs="仿宋"/>
          <w:sz w:val="32"/>
        </w:rPr>
        <w:t>：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00" w:lineRule="exact"/>
        <w:ind w:left="0" w:lef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现将《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内蒙古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自治区节水行动实施方案》印发给你们，请结合实际认真贯彻落实。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（此件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公开发布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）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黑体" w:eastAsia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黑体" w:eastAsia="方正小标宋简体"/>
          <w:b w:val="0"/>
          <w:bCs w:val="0"/>
          <w:color w:val="auto"/>
          <w:sz w:val="44"/>
          <w:szCs w:val="44"/>
        </w:rPr>
        <w:t>内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u w:val="none"/>
        </w:rPr>
        <w:t>蒙古自治区节水行动实施方案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7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为深入贯彻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0"/>
          <w:u w:val="none"/>
          <w:lang w:val="en-US" w:eastAsia="zh-CN"/>
        </w:rPr>
        <w:t>党的二十大和二十届二中、三中全会精神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，全面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贯彻“节水优先、空间均衡、系统治理、两手发力”的治水思路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认真落实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自治区党委十一届九次全会暨全区经济工作会议部署要求，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0"/>
          <w:u w:val="none"/>
          <w:lang w:val="en-US" w:eastAsia="zh-CN"/>
        </w:rPr>
        <w:t>紧紧围绕铸牢中华民族共同体意识工作主线，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大力实施节水行动，制定本方案。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一、主要目标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2025年，全区用水总量控制在196.3亿立方米以内，万元国内生产总值用水量较2020年下降12%以上。农业新增节水能力2.7亿立方米以上，农田灌溉水有效利用系数达到0.59以上；工业万元增加值用水量较2020年下降13%以上；城市公共供水管网漏损率力争控制在9%以内，再生水利用率达到48%以上；非常规水源利用量达到7.68亿立方米以上。全区水资源节约利用取得明显成效，水资源利用效率和效益显著提升，全社会节水意识进一步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二、强化水资源刚性约束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（一）强化节水约束性指标管理。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分行业确定节水指标，分盟市确定节水目标（详见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），各盟市要将节水目标任务分解到旗县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（市、区）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，因地制宜实施差别化管控措施，落实到具体行业和用水单元，加强监测监管，确保目标实现。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（责任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部门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：自治区水利厅、工业和信息化厅、农牧厅、住房城乡建设厅、能源局等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有关部门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，各盟行政公署、市人民政府；以下各项工作均需各盟行政公署、市人民政府落实，不再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单独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（二）完善用水计量体系。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按照“应装尽装、应测尽测”的要求，地表水灌区1万亩以上的渠首取水计量实现全覆盖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5万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亩以上的渠首取水实现在线计量，井灌区全面实行“以电折水”计量；非农用户年许可水量50万立方米以上的地表取水、5万立方米以上的地下取水全部实现在线计量。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</w:rPr>
        <w:t>（责任部门：自治区水利厅、农牧厅、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住房城乡建设厅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</w:rPr>
        <w:t>、工业和信息化厅、能源局等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有关部门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（三）严格落实限审限批。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对于取用水总量已经达到或者超过用水总量管控指标、地下水管理单元指标不合格的地区，除城乡居民生活用水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eastAsia="zh-CN"/>
        </w:rPr>
        <w:t>或者供热管网补水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等特殊情形外，暂停审批该地区新增取用水。各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盟市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应积极采取节水控水、水源置换等措施将用水量压减到管控指标范围内。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（责任部门：自治区水利厅）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三、突出抓好农业节水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</w:rPr>
        <w:t>）加强农业节水工程建设。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依托高标准农田建设项目，新增渠道衬砌灌溉工程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37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万亩，新增高效节水灌溉面积350万亩以上，其中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新建高效节水灌溉工程200万亩以上、实施管灌改滴灌等改造提升工程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150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万亩；加快推进河套、镫口等大中型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灌区续建配套与现代化改造，改善灌溉面积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万亩以上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新增农业节水能力2.5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立方米。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</w:rPr>
        <w:t>（责任部门：自治区农牧厅、水利厅）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</w:rPr>
        <w:t>统筹推进农艺节水技术。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调整优化种植结构，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压减高耗水作物37.6万亩，推广抗旱品种、覆盖保墒、抗旱保水新材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料等配套抗旱技术93.5万亩，创建节水增粮推进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旗县（市、区）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20个，新增节水能力0.2亿立方米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  <w:t>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u w:val="none"/>
        </w:rPr>
        <w:t>（责任部门：自治区农牧厅）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</w:rPr>
        <w:t>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深入解决“大水漫灌”问题。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科学评估、统筹安排秋浇和春汇非生育期灌溉用水量，河套灌区秋浇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水量控制在10亿立方米左右，其他引黄灌区压减非生育期灌溉用水量20%以上。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（责任部门：自治区水利厅）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</w:rPr>
        <w:t>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深化农业水价综合改革。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对已完成农业水价综合改革任务的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496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9万亩开展“回头看”，再新增农业水价综合改革面积1000万亩以上，全面实行按方收费、超用加价。加价收取的费用主要用于农业节水工程改造和节水奖补。逐步建立灌区内农户间水权交易机制。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（责任部门：自治区水利厅、发展改革委、财政厅、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农牧厅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四、加快推进工业节水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）推进能源领域节水改造。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加强火电机组源头管理，强化新建煤电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项目节水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规划约束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推动既有火电企业节水改造升级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重点在呼伦贝尔市、赤峰市、鄂尔多斯市等现役火电机组装机规模较大、老旧机组较多的区域实施一批节水改造项目；推动煤制油气、石油开采和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炼制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行业实施再生水置换和废水循环利用改造工作，进一步提升行业节水减排能力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新增节水能力200万立方米以上。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责任部门：自治区能源局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pacing w:val="-6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）推动其他重点行业节水技术改造。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征集推广先进成熟适用的节水技术、装备和产品，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发布工业领域绿色低碳先进技术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  <w:t>推广目录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在钢铁、有色、化工等领域，推动完成管网改造、工艺升级、设备更新等节水技术改造项目22个，新增节水213万立方米。加强工业废水循环利用，支持工业园区污水收集分流管网、污水集中处理、再生水回用等基础设施建设，规模以上工业用水重复利用率达到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95%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以上。</w:t>
      </w:r>
      <w:r>
        <w:rPr>
          <w:rFonts w:hint="eastAsia" w:ascii="仿宋_GB2312" w:eastAsia="仿宋_GB2312"/>
          <w:b w:val="0"/>
          <w:bCs w:val="0"/>
          <w:color w:val="auto"/>
          <w:spacing w:val="-6"/>
          <w:sz w:val="32"/>
          <w:szCs w:val="32"/>
          <w:u w:val="none"/>
        </w:rPr>
        <w:t>（</w:t>
      </w:r>
      <w:r>
        <w:rPr>
          <w:rFonts w:hint="eastAsia" w:ascii="楷体_GB2312" w:eastAsia="楷体_GB2312"/>
          <w:b w:val="0"/>
          <w:bCs w:val="0"/>
          <w:color w:val="auto"/>
          <w:spacing w:val="-6"/>
          <w:sz w:val="32"/>
          <w:szCs w:val="32"/>
          <w:u w:val="none"/>
        </w:rPr>
        <w:t>责任部门：自治区工业和信息化厅</w:t>
      </w:r>
      <w:r>
        <w:rPr>
          <w:rFonts w:hint="eastAsia" w:ascii="楷体_GB2312" w:eastAsia="楷体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、能源局</w:t>
      </w:r>
      <w:r>
        <w:rPr>
          <w:rFonts w:hint="eastAsia" w:ascii="仿宋_GB2312" w:eastAsia="仿宋_GB2312"/>
          <w:b w:val="0"/>
          <w:bCs w:val="0"/>
          <w:color w:val="auto"/>
          <w:spacing w:val="-6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）推进工业节水试点示范。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深入推进乌海市国家级水预算管理试点，组织开展自治区级工业水预算管理试点。聚焦钢铁、有色、化工、建材、食品和发酵等重点用水领域，创建节水型企业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户、节水标杆企业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户、节水型园区３个。完善工业节水标准体系，发布５项节水型企业评价相关标准。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责任部门：自治区工业和信息化厅、水利厅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五、促进城乡节约用水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（一）减少城市供水管网漏损。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实施公共供水管网漏损治理工程，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聚焦高漏损地区改造老旧破损供水管网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400公里以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上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；因地制宜更新完善供水计量设施，稳妥推进供水管网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分区计量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管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理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，建立精细化管理平台和漏损管控体系。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结合城市更新和老旧小区改造，更新庭院管道和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二次供水设施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推动包头市、赤峰市国家公共供水管网漏损治理重点城市建设。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责任部门：自治区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住房城乡建设厅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（二）推进节水型城市建设。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开展节水型城市评价工作，巩固提升包头市国家节水型城市建设成效，推动呼和浩特市、乌兰察布市、鄂尔多斯市、巴彦淖尔市和乌海市5座城市全部达到国家节水型城市评价标准。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因地制宜推进海绵城市建设，科学设置滞水渗水设施，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提高雨水资源就地消纳利用水平。呼和浩特市完成国家海绵示范城市建设。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责任部门：自治区住房城乡建设厅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发展改革委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、水利厅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（三）严控高耗水服务业和特种行业用水。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从严控制洗浴、洗车、人工滑雪场等行业计划用水管理，严格执行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超定额（超计划）累进加价制度，加大高耗水服务业再生水利用比例。严格管控城市环卫、建筑施工等行业用水，禁止道路、建筑工地使用自来水抑尘洒水。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责任部门：自治区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住房城乡建设厅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、水利厅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（四）加强农村牧区用水管控。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积极推进农村牧区集中供水工程建设，自来水普及率提升至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5%。全面推动农村牧区集中供水按方计量收费，加快计量设施安装，“千人以上”及供水紧张的工程实现村口、入户计量全覆盖，全区农村牧区集中供水工程到户计量率达到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65%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以上。对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农村牧区庭院浇灌和养殖用水造成农牧民饮水困难的，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相关地区负责统筹协调，优先保障农牧民饮水安全。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（责任部门：自治区水利厅、农牧厅）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（五）提高城乡供水保障能力。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加强水源地保护建设，开展水量水质评估，确保水源地水量充足、水质达标。实施城乡供水设施升级改造，着力解决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bidi="ar"/>
        </w:rPr>
        <w:t>处理工艺不完善、消毒设施不健全、出厂水质不达标等问题，加强供水水质检测，减少终端用户二次净水。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（责任部门：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自治区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住房城乡建设厅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、卫生健康委、生态环境厅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、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水利厅）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（六）</w:t>
      </w:r>
      <w:r>
        <w:rPr>
          <w:rFonts w:hint="eastAsia" w:ascii="楷体_GB2312" w:hAnsi="黑体" w:eastAsia="楷体_GB2312" w:cs="黑体"/>
          <w:b w:val="0"/>
          <w:bCs w:val="0"/>
          <w:color w:val="auto"/>
          <w:spacing w:val="-11"/>
          <w:sz w:val="32"/>
          <w:szCs w:val="32"/>
          <w:u w:val="none"/>
        </w:rPr>
        <w:t>健全城乡用水价格机制。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u w:val="none"/>
        </w:rPr>
        <w:t>完善城镇居民阶梯水价制度，合理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确定阶梯水量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，适当加大缺水地区水价价差，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定期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开展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居民用水阶梯价格运行情况评估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并动态调整。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健全城镇非居民用水超定额（超计划）累进加价制度，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进一步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调整水量分档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、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确定加价标准。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农村牧区探索实行村口总量控制、按户定额管理、超额累进加价制度，引导农牧民自主节水。</w:t>
      </w:r>
      <w:r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  <w:t>（责任部门：自治区发展改革委、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住房城乡建设厅</w:t>
      </w:r>
      <w:r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  <w:t>、水利厅）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积极推进生态节水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坚持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以水定绿。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统筹推进水源涵养、国土绿化、防沙治沙、湿地修复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等绿化措施，宜林则林、宜草则草，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科学恢复林草植被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年降水量400毫米以下的地区坚持自然恢复和人工修复相结合，以雨养、节水为导向，大力发展节水林草植被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种植。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具备供水保障条件的地区，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在开展水资源论证的前提下可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适当种植以乡土树种为主的乔木。</w:t>
      </w:r>
      <w:r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  <w:t>（责任部门：自治区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林草局</w:t>
      </w:r>
      <w:r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（二）推进国土绿化节水。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优先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选用节水耐旱型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树种草种，合理配置林草植被类型和密度。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加强林草节水灌溉基础设施建设和节水林草科技产品的推广应用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合理利用天然降水和再生水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（责任部门：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自治区林草局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加强城市绿化用水管理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城市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园林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绿化优先使用再生水，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推广高效节水灌溉方式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选用适合本地区的节水耐旱植被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，合理安排灌溉频次，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严控水面景观用水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，严禁取用地下水用于城市水景观、水上娱乐项目。依法依规处置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再生水管网覆盖范围内的绿化水源井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  <w:t>（责任部门：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自治区住房城乡建设厅</w:t>
      </w:r>
      <w:r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  <w:t>、水利厅）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、强化地下水超采区治理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）持续做好地下水超采区巩固治理。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通过实施高效节水灌溉、水源置换、种植结构调整、旱作雨养等措施，加快推动第二轮中央环境保护督察反馈的11个超采区（鄂托克旗棋盘井、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鄂托克前旗敖镇和三段地、乌审旗、乌拉特前旗、乌拉特中旗、元宝山区、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化德县、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阿拉善右旗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陈家井、海勃湾区、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土默特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右旗）巩固治理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确保呼和浩特市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乌拉特前旗、科尔沁区3个大型超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u w:val="none"/>
        </w:rPr>
        <w:t>采区达到采补平衡，水位达到控制水位以上并保持稳定。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u w:val="none"/>
          <w:lang w:eastAsia="zh-CN"/>
        </w:rPr>
        <w:t>统筹推进自治区党委巡视反馈问题整改销号工作。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pacing w:val="-11"/>
          <w:sz w:val="32"/>
          <w:szCs w:val="32"/>
          <w:u w:val="none"/>
        </w:rPr>
        <w:t>（责任部门：自治区水利厅）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）加快推进重点区域超载治理。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扎实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推进西辽河流域和鄂尔多斯台地等重点区域超载综合治理，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严厉打击违法取水行为，对未经批准擅自取水、超量取水、无计量取水等不符合取水许可要求的行为，责令限期改正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 w:bidi="ar"/>
        </w:rPr>
        <w:t>，逾期未改正的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依法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 w:bidi="ar"/>
        </w:rPr>
        <w:t>采取拆除或封闭取水设施等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处罚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 w:bidi="ar"/>
        </w:rPr>
        <w:t>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 w:bidi="ar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2025年底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累计压减超采水量3.3亿立方米以上。</w:t>
      </w: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u w:val="none"/>
        </w:rPr>
        <w:t>（责任部门：自治区水利厅）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、着力用好非常规水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  <w:color w:val="auto"/>
          <w:spacing w:val="-6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）推进再生水综合利用。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制定出台再生水综合利用若干措施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加快推进城镇和工业园区污水处理厂水质达标改造，力争满足再生水用户用水需求，对依托城镇污水处理厂处理工业废水的，积极推动建设独立工业废水处理厂或尾水深度净化工程；加大再生水配置管网建设力度，畅通再生水厂与用水户之间的输水通道；积极推进再生水就近利用，在工业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景观环境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、城市杂用、城市绿化等领域优先配置使用再生水；力争黄河流域再生水利用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率达到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%以上。加快建设呼和浩特市、包头市、赤峰市、通辽市、鄂尔多斯市、巴彦淖尔市6个再生水利用重点城市。</w:t>
      </w:r>
      <w:r>
        <w:rPr>
          <w:rFonts w:hint="eastAsia" w:ascii="楷体_GB2312" w:eastAsia="楷体_GB2312"/>
          <w:b w:val="0"/>
          <w:bCs w:val="0"/>
          <w:color w:val="auto"/>
          <w:spacing w:val="-6"/>
          <w:sz w:val="32"/>
          <w:szCs w:val="32"/>
          <w:u w:val="none"/>
        </w:rPr>
        <w:t>（责任部门：自治区</w:t>
      </w:r>
      <w:r>
        <w:rPr>
          <w:rFonts w:hint="eastAsia" w:ascii="楷体_GB2312" w:eastAsia="楷体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住房城乡建设厅</w:t>
      </w:r>
      <w:r>
        <w:rPr>
          <w:rFonts w:hint="eastAsia" w:ascii="楷体_GB2312" w:eastAsia="楷体_GB2312"/>
          <w:b w:val="0"/>
          <w:bCs w:val="0"/>
          <w:color w:val="auto"/>
          <w:spacing w:val="-6"/>
          <w:sz w:val="32"/>
          <w:szCs w:val="32"/>
          <w:u w:val="none"/>
        </w:rPr>
        <w:t>、发展改革委、工业和信息化厅、水利厅）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  <w:color w:val="auto"/>
          <w:spacing w:val="-6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（二）</w:t>
      </w:r>
      <w:r>
        <w:rPr>
          <w:rFonts w:hint="eastAsia" w:ascii="楷体_GB2312" w:hAnsi="黑体" w:eastAsia="楷体_GB2312" w:cs="黑体"/>
          <w:b w:val="0"/>
          <w:bCs w:val="0"/>
          <w:color w:val="auto"/>
          <w:spacing w:val="-6"/>
          <w:sz w:val="32"/>
          <w:szCs w:val="32"/>
          <w:u w:val="none"/>
        </w:rPr>
        <w:t>提升矿井水综合利用水平。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</w:rPr>
        <w:t>在黄河流域及呼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u w:val="none"/>
        </w:rPr>
        <w:t>伦贝尔市、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u w:val="none"/>
        </w:rPr>
        <w:t>锡林郭勒盟等矿井涌水量较大的地区，推广使用保水采煤工艺，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建设煤炭和矿井水双资源型矿井；煤矿所在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盟市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制定矿井水处理及综合利用方案，加快推进矿井水配置利用工程建设；新增用水优先配置矿井水，具备条件的地区加快推进矿井水置换地表水、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。到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2025年底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力争全区矿井水综合利用率达到60%以上，其中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黄河流域达到70%以上。（</w:t>
      </w:r>
      <w:r>
        <w:rPr>
          <w:rFonts w:hint="eastAsia" w:ascii="楷体_GB2312" w:eastAsia="楷体_GB2312"/>
          <w:b w:val="0"/>
          <w:bCs w:val="0"/>
          <w:color w:val="auto"/>
          <w:spacing w:val="-6"/>
          <w:sz w:val="32"/>
          <w:szCs w:val="32"/>
          <w:u w:val="none"/>
        </w:rPr>
        <w:t>责任部门：自治区能源局、水利厅）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、激发节水市场活力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）推进用水权市场化交易。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加快推进内蒙古黄河干流水权盟市间转让二期工程建设，基本完成节水工程，具备转让1.2亿立方米水量的能力。支持合法用水户将自主节水量进行水权交易。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（责任部门：自治区水利厅）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楷体_GB2312" w:eastAsia="楷体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（二）发挥水资源税杠杆调节作用。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严格执行水资源税改革试点要求，对同一用途取用水，地下水税额高于地表水；取用再生水不征收水资源税；疏干排水回收利用部分从低确定税额，外排部分从高确定税额；在水资源严重短缺和超载地区取用水的，税额标准按照同类型取用水标准的2倍征收；对超计划取用水的，按照超出计划的比例实行累进征收水资源税。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（责任部门：内蒙古税务局，自治区财政厅、水利厅）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）推动节水产业协同发展。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出台《加快发展节水产业的具体举措》，聚焦农牧业、工业、城镇生活节水以及节水服务等领域，在设备生产和技术服务方面，培育一批技术水平高、带动能力强的龙头企业。推动大规模节水设备更新，加快淘汰落后用水设备，推动节水装备升级换代，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城镇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老旧小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区开展用水器具改造，实现生活品质和节水效率双提升。积极推广合同节水管理模式，实施20个以上合同节水项目。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</w:rPr>
        <w:t>责任部门：自治区发展改革委、水利厅、工业和信息化厅、农牧厅、</w:t>
      </w:r>
      <w:r>
        <w:rPr>
          <w:rFonts w:hint="eastAsia" w:ascii="楷体_GB2312" w:eastAsia="楷体_GB2312"/>
          <w:b w:val="0"/>
          <w:bCs w:val="0"/>
          <w:color w:val="auto"/>
          <w:sz w:val="32"/>
          <w:szCs w:val="32"/>
          <w:u w:val="none"/>
          <w:lang w:eastAsia="zh-CN"/>
        </w:rPr>
        <w:t>住房城乡建设厅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）加强节水科技研发创新。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围绕行业节水技术难点，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加快关键技术和重大装备创新突破，积极推动节水、人工增雨等方面的新技术、新产品、新工艺的研发应用，做好节水关键核心及基础共性技术知识产权战略储备。加强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空中云水资源开发利用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和智能气象节水灌溉技术推广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，积极开展跨区域、空地联合增雨作业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。加强雨洪资源利用工程建设，提升工程性留水和雨洪资源利用能力，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助力农牧业抗旱和防沙治沙生态建设。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</w:rPr>
        <w:t>（责任部门：自治区科技厅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</w:rPr>
        <w:t>工业和信息化厅、农牧厅、水利厅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  <w:lang w:eastAsia="zh-CN"/>
        </w:rPr>
        <w:t>、住房城乡建设厅，内蒙古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</w:rPr>
        <w:t>气象局）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、加强组织保障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）加强组织领导。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自治区人民政府副主席代钦同志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负责统筹协调推进全区节水行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动。各地区各部门要坚持“管生产必须管节水、管行业必须管节水、管城乡必须管节水”的要求，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压实工作责任，加强协同配合，合力推进节水行动各项任务见行见效。建立跟踪、调度、通报、约谈机制，狠抓工作落实，对进度缓慢的予以通报，对问题严重的约谈相关负责人。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）加强财政金融支持。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统筹中央、自治区相关专项资金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、债券资金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支持水资源节约集约利用项目，加大水资源节约高效利用投资力度，重点在农业节水改造、再生水利用配置、节水载体建设等方面加大投入。用好自治区“节水贷”融资服务平台，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u w:val="none"/>
          <w:lang w:eastAsia="zh-CN"/>
        </w:rPr>
        <w:t>不新增地方政府隐性债务前提下，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拓展节水投融资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模式，鼓励和引导社会资本积极参与节水项目建设和运营，增强节水发展新动能。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（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黑体" w:eastAsia="楷体_GB2312" w:cs="黑体"/>
          <w:b w:val="0"/>
          <w:bCs w:val="0"/>
          <w:color w:val="auto"/>
          <w:sz w:val="32"/>
          <w:szCs w:val="32"/>
          <w:u w:val="none"/>
        </w:rPr>
        <w:t>）加强节水宣传教育。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各地区要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世界水日、中国水周、城市节水宣传周等重要节点，积极策划开展形式多样、具有地方和行业特色的节水主题宣传活动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打造节水科普展馆，建设节水教育基地，通过各类宣传教育载体，普及节水法律法规，传播节水理念知识，引导公众共同践行《公民节约用水行为规范》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开展节水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进校园、进机关、进企业、进社区、进农村“五进”活动,从娃娃抓起、从细节入手，促成全社会养成节约用水习惯。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附件：内蒙古自治区2025年节水行动目标分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/>
          <w:b w:val="0"/>
          <w:bCs w:val="0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after="0" w:line="580" w:lineRule="exact"/>
        <w:ind w:left="0" w:leftChars="0" w:firstLine="0" w:firstLineChars="0"/>
        <w:textAlignment w:val="auto"/>
        <w:rPr>
          <w:rFonts w:hint="eastAsia"/>
          <w:b w:val="0"/>
          <w:bCs w:val="0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01" w:left="1474" w:header="850" w:footer="1304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textAlignment w:val="auto"/>
        <w:rPr>
          <w:rFonts w:hint="eastAsia" w:eastAsia="宋体"/>
          <w:b w:val="0"/>
          <w:bCs w:val="0"/>
          <w:lang w:eastAsia="zh-CN"/>
        </w:rPr>
      </w:pPr>
      <w:r>
        <w:rPr>
          <w:rFonts w:hint="eastAsia" w:eastAsia="宋体"/>
          <w:b w:val="0"/>
          <w:bCs w:val="0"/>
          <w:lang w:eastAsia="zh-CN"/>
        </w:rPr>
        <w:drawing>
          <wp:inline distT="0" distB="0" distL="114300" distR="114300">
            <wp:extent cx="5687695" cy="8056880"/>
            <wp:effectExtent l="0" t="0" r="8255" b="1270"/>
            <wp:docPr id="3" name="图片 2" descr="内政发9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内政发9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0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1906" w:h="16838"/>
          <w:pgMar w:top="2098" w:right="1474" w:bottom="1701" w:left="1474" w:header="850" w:footer="1304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2"/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pStyle w:val="2"/>
      </w:pPr>
    </w:p>
    <w:p>
      <w:pPr>
        <w:rPr>
          <w:b w:val="0"/>
          <w:bCs w:val="0"/>
        </w:rPr>
      </w:pPr>
    </w:p>
    <w:p>
      <w:pPr>
        <w:pStyle w:val="2"/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pStyle w:val="2"/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pStyle w:val="2"/>
        <w:rPr>
          <w:b w:val="0"/>
          <w:bCs w:val="0"/>
        </w:rPr>
      </w:pPr>
    </w:p>
    <w:p>
      <w:pPr>
        <w:rPr>
          <w:rFonts w:hint="eastAsia" w:eastAsia="宋体"/>
          <w:b w:val="0"/>
          <w:bCs w:val="0"/>
          <w:lang w:eastAsia="zh-CN"/>
        </w:rPr>
      </w:pPr>
    </w:p>
    <w:p>
      <w:pPr>
        <w:pStyle w:val="2"/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pStyle w:val="2"/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tbl>
      <w:tblPr>
        <w:tblStyle w:val="17"/>
        <w:tblW w:w="89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9"/>
        <w:gridCol w:w="368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94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28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1" w:name="抄送单位"/>
            <w:bookmarkEnd w:id="1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532" w:right="210" w:rightChars="10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自治区人大常委会办公厅、政协办公厅，自治区监委，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20" w:firstLineChars="4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259" w:type="dxa"/>
            <w:tcBorders>
              <w:top w:val="single" w:color="auto" w:sz="4" w:space="0"/>
              <w:bottom w:val="single" w:color="auto" w:sz="12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210" w:rightChars="100" w:firstLine="280" w:firstLineChars="1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内蒙古自治区人民政府办公厅文电处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210" w:rightChars="100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2" w:name="印发日期"/>
            <w:bookmarkEnd w:id="2"/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2025年2月17日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eastAsia="宋体"/>
          <w:b w:val="0"/>
          <w:bCs w:val="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234315</wp:posOffset>
            </wp:positionV>
            <wp:extent cx="1536700" cy="425450"/>
            <wp:effectExtent l="0" t="0" r="6350" b="12700"/>
            <wp:wrapSquare wrapText="bothSides"/>
            <wp:docPr id="2" name="图片 5" descr="C:\Users\Administrator\Desktop\NZF9.jpgNZ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C:\Users\Administrator\Desktop\NZF9.jpgNZF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10" w:type="default"/>
      <w:footerReference r:id="rId11" w:type="even"/>
      <w:pgSz w:w="11906" w:h="16838"/>
      <w:pgMar w:top="2098" w:right="1474" w:bottom="1701" w:left="1474" w:header="850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sDS3r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f9NNT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HC9vWP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RuGyV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E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2AC8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1CE4F9E"/>
    <w:rsid w:val="088A1DB6"/>
    <w:rsid w:val="0E44598E"/>
    <w:rsid w:val="0EBF9B7D"/>
    <w:rsid w:val="0F6E701B"/>
    <w:rsid w:val="19FF9213"/>
    <w:rsid w:val="1A3A4DBC"/>
    <w:rsid w:val="1C8063EA"/>
    <w:rsid w:val="1DD11934"/>
    <w:rsid w:val="1DDF80D8"/>
    <w:rsid w:val="1ED24BFE"/>
    <w:rsid w:val="1EE5F92D"/>
    <w:rsid w:val="1F2D75B6"/>
    <w:rsid w:val="1F2F4728"/>
    <w:rsid w:val="1F48029C"/>
    <w:rsid w:val="21A948F9"/>
    <w:rsid w:val="28B640A0"/>
    <w:rsid w:val="291C0FED"/>
    <w:rsid w:val="2D713261"/>
    <w:rsid w:val="2E84799A"/>
    <w:rsid w:val="2EA7E3FE"/>
    <w:rsid w:val="307FD729"/>
    <w:rsid w:val="338A1A32"/>
    <w:rsid w:val="34D31BD2"/>
    <w:rsid w:val="34D50835"/>
    <w:rsid w:val="370A6D13"/>
    <w:rsid w:val="37A44436"/>
    <w:rsid w:val="3DD5464B"/>
    <w:rsid w:val="3EFD6628"/>
    <w:rsid w:val="3FEDD043"/>
    <w:rsid w:val="43F70BC6"/>
    <w:rsid w:val="44FD6DBE"/>
    <w:rsid w:val="493B0C38"/>
    <w:rsid w:val="499F0266"/>
    <w:rsid w:val="4B4F7E57"/>
    <w:rsid w:val="4C134A8D"/>
    <w:rsid w:val="4C9FD1FE"/>
    <w:rsid w:val="4FFFA298"/>
    <w:rsid w:val="52E33E92"/>
    <w:rsid w:val="554D26DE"/>
    <w:rsid w:val="569F6D08"/>
    <w:rsid w:val="59F18D1A"/>
    <w:rsid w:val="59F9294A"/>
    <w:rsid w:val="5CDE2C3F"/>
    <w:rsid w:val="5FD76663"/>
    <w:rsid w:val="5FE78BBF"/>
    <w:rsid w:val="6000604B"/>
    <w:rsid w:val="605C34B4"/>
    <w:rsid w:val="6294046E"/>
    <w:rsid w:val="64BC5D8A"/>
    <w:rsid w:val="697BD650"/>
    <w:rsid w:val="6A1C2667"/>
    <w:rsid w:val="6B723A4E"/>
    <w:rsid w:val="6DAF78C5"/>
    <w:rsid w:val="6DFA1037"/>
    <w:rsid w:val="6ECF23D3"/>
    <w:rsid w:val="6EE318E7"/>
    <w:rsid w:val="6FF121EB"/>
    <w:rsid w:val="7075016C"/>
    <w:rsid w:val="746333AE"/>
    <w:rsid w:val="75765346"/>
    <w:rsid w:val="75BFA77C"/>
    <w:rsid w:val="75F76549"/>
    <w:rsid w:val="768D435A"/>
    <w:rsid w:val="77D90201"/>
    <w:rsid w:val="77DF8490"/>
    <w:rsid w:val="79B9757D"/>
    <w:rsid w:val="79FDF772"/>
    <w:rsid w:val="7BF57B3C"/>
    <w:rsid w:val="7CEECD2D"/>
    <w:rsid w:val="7CFD03F5"/>
    <w:rsid w:val="7D465857"/>
    <w:rsid w:val="7DDFF0AA"/>
    <w:rsid w:val="7DFEC9F3"/>
    <w:rsid w:val="7DFFB998"/>
    <w:rsid w:val="7F6B9384"/>
    <w:rsid w:val="7F97BC10"/>
    <w:rsid w:val="7FD61D97"/>
    <w:rsid w:val="7FDEB0FC"/>
    <w:rsid w:val="7FEFCE0C"/>
    <w:rsid w:val="7FF9EEE2"/>
    <w:rsid w:val="8FFA0EF0"/>
    <w:rsid w:val="9B37145A"/>
    <w:rsid w:val="AE5E9E0F"/>
    <w:rsid w:val="AF3B2F0F"/>
    <w:rsid w:val="AF7E0D53"/>
    <w:rsid w:val="AFBF9E3A"/>
    <w:rsid w:val="AFDF79E7"/>
    <w:rsid w:val="B5B65CAA"/>
    <w:rsid w:val="B8FF0C7C"/>
    <w:rsid w:val="BAE3BF7E"/>
    <w:rsid w:val="BB4D7BA5"/>
    <w:rsid w:val="BBF3B650"/>
    <w:rsid w:val="BCF7F9CC"/>
    <w:rsid w:val="BEFBCA96"/>
    <w:rsid w:val="BF6FB983"/>
    <w:rsid w:val="BFF509A6"/>
    <w:rsid w:val="BFFB3164"/>
    <w:rsid w:val="CDBB4D6B"/>
    <w:rsid w:val="D4FFED4D"/>
    <w:rsid w:val="DAF6F496"/>
    <w:rsid w:val="DF3D8855"/>
    <w:rsid w:val="DF5D3D4C"/>
    <w:rsid w:val="DFFD10A9"/>
    <w:rsid w:val="DFFFE362"/>
    <w:rsid w:val="E56F9516"/>
    <w:rsid w:val="EF75BB3B"/>
    <w:rsid w:val="EFBE0B40"/>
    <w:rsid w:val="EFDE2A0A"/>
    <w:rsid w:val="F5BF279F"/>
    <w:rsid w:val="F7FF4519"/>
    <w:rsid w:val="FB770C69"/>
    <w:rsid w:val="FE7FA81D"/>
    <w:rsid w:val="FEFF7232"/>
    <w:rsid w:val="FF0EECE6"/>
    <w:rsid w:val="FF9F9931"/>
    <w:rsid w:val="FFA793AB"/>
    <w:rsid w:val="FFAD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uppressAutoHyphens/>
      <w:bidi w:val="0"/>
      <w:adjustRightInd w:val="0"/>
      <w:snapToGrid w:val="0"/>
      <w:spacing w:before="120" w:after="120" w:line="360" w:lineRule="auto"/>
      <w:ind w:firstLine="640" w:firstLineChars="200"/>
      <w:outlineLvl w:val="0"/>
    </w:pPr>
    <w:rPr>
      <w:rFonts w:ascii="黑体" w:hAnsi="黑体" w:eastAsia="黑体" w:cs="Times New Roman"/>
      <w:bCs/>
      <w:color w:val="auto"/>
      <w:kern w:val="44"/>
      <w:sz w:val="32"/>
      <w:szCs w:val="32"/>
      <w:lang w:bidi="ar-SA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4">
    <w:name w:val="Normal Indent"/>
    <w:basedOn w:val="1"/>
    <w:next w:val="1"/>
    <w:qFormat/>
    <w:uiPriority w:val="99"/>
    <w:pPr>
      <w:suppressAutoHyphens/>
      <w:bidi w:val="0"/>
      <w:ind w:firstLine="680"/>
    </w:pPr>
    <w:rPr>
      <w:rFonts w:ascii="Calibri" w:hAnsi="Calibri" w:eastAsia="文鼎CS仿宋体" w:cs="Times New Roman"/>
      <w:color w:val="auto"/>
      <w:sz w:val="32"/>
      <w:szCs w:val="32"/>
      <w:lang w:bidi="ar-SA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bidi w:val="0"/>
      <w:spacing w:before="120" w:after="120"/>
    </w:pPr>
    <w:rPr>
      <w:rFonts w:ascii="Calibri" w:hAnsi="Calibri" w:eastAsia="宋体" w:cs="Times New Roman"/>
      <w:i/>
      <w:iCs/>
      <w:color w:val="auto"/>
      <w:sz w:val="24"/>
      <w:szCs w:val="24"/>
      <w:lang w:bidi="ar-SA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next w:val="8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suppressAutoHyphens/>
      <w:bidi w:val="0"/>
      <w:spacing w:after="120"/>
      <w:ind w:left="420" w:leftChars="200"/>
    </w:pPr>
    <w:rPr>
      <w:rFonts w:ascii="Calibri" w:hAnsi="Calibri" w:eastAsia="宋体" w:cs="Times New Roman"/>
      <w:color w:val="auto"/>
      <w:szCs w:val="24"/>
      <w:lang w:bidi="ar-SA"/>
    </w:rPr>
  </w:style>
  <w:style w:type="paragraph" w:customStyle="1" w:styleId="10">
    <w:name w:val="样式 正文文本缩进 + 行距: 1.5 倍行距"/>
    <w:qFormat/>
    <w:uiPriority w:val="0"/>
    <w:pPr>
      <w:widowControl w:val="0"/>
      <w:spacing w:after="120" w:line="360" w:lineRule="auto"/>
      <w:ind w:left="90" w:leftChars="32" w:firstLine="56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11">
    <w:name w:val="Date"/>
    <w:basedOn w:val="1"/>
    <w:next w:val="1"/>
    <w:link w:val="23"/>
    <w:uiPriority w:val="0"/>
    <w:pPr>
      <w:ind w:left="100" w:leftChars="2500"/>
    </w:pPr>
    <w:rPr>
      <w:rFonts w:ascii="仿宋_GB2312" w:eastAsia="仿宋_GB2312"/>
      <w:sz w:val="32"/>
    </w:rPr>
  </w:style>
  <w:style w:type="paragraph" w:styleId="12">
    <w:name w:val="Balloon Text"/>
    <w:basedOn w:val="1"/>
    <w:semiHidden/>
    <w:uiPriority w:val="0"/>
    <w:rPr>
      <w:sz w:val="18"/>
      <w:szCs w:val="18"/>
    </w:rPr>
  </w:style>
  <w:style w:type="paragraph" w:styleId="13">
    <w:name w:val="footer"/>
    <w:basedOn w:val="1"/>
    <w:next w:val="1"/>
    <w:link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bidi w:val="0"/>
      <w:jc w:val="left"/>
    </w:pPr>
    <w:rPr>
      <w:rFonts w:hint="eastAsia" w:ascii="宋体" w:hAnsi="宋体" w:eastAsia="宋体" w:cs="宋体"/>
      <w:color w:val="auto"/>
      <w:kern w:val="0"/>
      <w:sz w:val="24"/>
      <w:szCs w:val="24"/>
      <w:lang w:val="en-US" w:eastAsia="zh-CN" w:bidi="ar"/>
    </w:rPr>
  </w:style>
  <w:style w:type="paragraph" w:styleId="16">
    <w:name w:val="Body Text First Indent 2"/>
    <w:basedOn w:val="9"/>
    <w:next w:val="1"/>
    <w:qFormat/>
    <w:uiPriority w:val="0"/>
    <w:pPr>
      <w:ind w:firstLine="420" w:firstLineChars="200"/>
      <w:jc w:val="left"/>
    </w:pPr>
    <w:rPr>
      <w:rFonts w:ascii="Times New Roman" w:hAnsi="Times New Roman" w:eastAsia="仿宋_GB2312" w:cs="Times New Roman"/>
      <w:sz w:val="32"/>
      <w:szCs w:val="22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0">
    <w:name w:val="page number"/>
    <w:basedOn w:val="19"/>
    <w:uiPriority w:val="0"/>
  </w:style>
  <w:style w:type="paragraph" w:customStyle="1" w:styleId="21">
    <w:name w:val="发文时间和印发时间"/>
    <w:qFormat/>
    <w:uiPriority w:val="0"/>
    <w:pPr>
      <w:widowControl w:val="0"/>
      <w:spacing w:line="600" w:lineRule="exact"/>
      <w:jc w:val="right"/>
    </w:pPr>
    <w:rPr>
      <w:rFonts w:ascii="Calibri" w:hAnsi="Calibri" w:eastAsia="仿宋_GB2312" w:cs="宋体"/>
      <w:kern w:val="2"/>
      <w:sz w:val="32"/>
      <w:szCs w:val="20"/>
      <w:lang w:val="en-US" w:eastAsia="zh-CN" w:bidi="ar-SA"/>
    </w:rPr>
  </w:style>
  <w:style w:type="paragraph" w:customStyle="1" w:styleId="22">
    <w:name w:val="公文抄送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宋体"/>
      <w:kern w:val="2"/>
      <w:sz w:val="32"/>
      <w:szCs w:val="20"/>
      <w:lang w:val="en-US" w:eastAsia="zh-CN" w:bidi="ar-SA"/>
    </w:rPr>
  </w:style>
  <w:style w:type="character" w:customStyle="1" w:styleId="23">
    <w:name w:val=" Char Char1"/>
    <w:basedOn w:val="19"/>
    <w:link w:val="11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4">
    <w:name w:val=" Char Char2"/>
    <w:basedOn w:val="19"/>
    <w:link w:val="13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5">
    <w:name w:val=" Char Char"/>
    <w:basedOn w:val="19"/>
    <w:link w:val="14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6">
    <w:name w:val="公文主题词"/>
    <w:qFormat/>
    <w:uiPriority w:val="0"/>
    <w:rPr>
      <w:rFonts w:ascii="黑体" w:hAnsi="黑体" w:eastAsia="宋体"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哈斯高娃</cp:lastModifiedBy>
  <cp:lastPrinted>2025-02-18T19:04:23Z</cp:lastPrinted>
  <dcterms:modified xsi:type="dcterms:W3CDTF">2025-02-20T01:40:32Z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