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eastAsia="宋体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支持工会推进全区工会驿站建设的通知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内政办发〔2025〕4号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bookmarkStart w:id="1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深入贯彻党的二十大和二十届二中、三中全会精神，认真落实党中央、国务院关于保障和改善民生的决策部署，紧紧围绕铸牢中华民族共同体意识工作主线，聚焦户外劳动者急难愁盼问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6"/>
          <w:kern w:val="0"/>
          <w:sz w:val="32"/>
          <w:szCs w:val="32"/>
          <w:shd w:val="clear" w:color="auto" w:fill="FFFFFF"/>
          <w:lang w:val="en-US" w:eastAsia="zh-CN" w:bidi="ar"/>
        </w:rPr>
        <w:t>题，进一步支持工会推进全区工会驿站（以下简称驿站）建设，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切实维护好广大户外劳动者的合法权益，经自治区人民政府同意，现就有关事宜通知如下。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一、大力支持工会加强驿站建设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驿站是由工会组织通过自建或共建方式，为广大户外劳动者（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快递员、外卖送餐员、货车司机等新就业形态劳动者和环卫工人、建筑工人、市政维修工、城管、绿化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、交警、辅警等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）提供一站式服务的站点，主要作用是帮助户外劳动者解决“休息难、饮水难、就餐难、如厕难”等现实问题。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自治区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政府将驿站建设作为民生项目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建立由自治区总工会牵头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自治区有关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单位参加的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联动机制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实现信息互通、资源共享、工作互动，协调推动驿站建设。公安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、住房城乡建设、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交通运输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市场监管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、通信管理、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邮政管理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、人民银行、金融监管等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单位要指导和鼓励本部门单位管理的具备条件的场所建设驿站；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财政部门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eastAsia="zh-CN"/>
        </w:rPr>
        <w:t>要根据地方财政承受能力，对驿站建设运维经费予以统筹考虑；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城管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部门要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指导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配合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做好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驿站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标识标牌设置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悬挂工作；其他相关部门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单位可根据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自身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实际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情况，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支持鼓励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管理和所属单位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参与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驿站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二、明确驿站建设的目标任务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进一步规范驿站建设管理，创新服务内容，提高服务品质。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全区驿站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数量动态保持在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3000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家以上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加强“最美驿站”和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无人值守智能化驿站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其中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不低于15%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建设为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“最美驿站”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不低于15%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驿站打造24小时无人值守智能化驿站，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各盟市主城区以及其他有条件的城市重点区域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基本实现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步行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15分钟服务圈交叉覆盖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拓展服务内容和服务载体，创新服务手段，力求社会效益最大化。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三、采取有力措施推进驿站建设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（一）建设方式。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驿站建设分为工会自建和共建两种方式。自建指由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县级及以上工会组织自筹资金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，依托自身资源条件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单独建立（设立）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共建指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县级及以上工会组织与政府、社会组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织（公益组织、基金会等）、爱心企事业单位及人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士共同建设、运营、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管理，突出共建共享。驿站主要以共建为主，实行“谁建设谁管理”的原则，也可以根据实际情况采取购买服务、服务对象自主管理、招募志愿者等多种形式进行日常管理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形式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包括但不限于：依托政务大厅、金融网点、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党群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服务中心、职工之家、通信（移动、联通、电信）、电力、广电营业厅等单位场所挂牌设立，也可在超市、酒店、临街企业、环卫休息站、机场、公交首末站、长途客运站、高速（国省干道）服务区、物流场站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、快递网站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、加油站、市政城管服务窗口、商贸中心等有条件的公共服务区域选点建设。各级工会组织对共建驿站给予工作指导。驿站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实行动态管理机制，按规定撤销和退出，报所在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地方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工会收回牌匾。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（二）建设标准。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驿站实际使用面积（服务区域面积）在5平方米以上的为标准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，5平方米以下的为微型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可根据需要设置流动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，按照“六有”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‌有统一标识、‌有固定场所、‌有完备设施、‌有工作制度、‌有管理人员、‌有地图可查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标准建设。新建驿站统一使用“工会驿站”名称，已建驿站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逐步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换成统一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“工会驿站”标识；全国性共建单位驿站可通过加挂“工会驿站”标识的方式，实现驿站名称标识的统一。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驿站建设服务功能要实现“ 15项+”（政策宣传、休息、饮水、热饭、如厕指引、手机充电、冰箱或制冰机、理发、应急药品、小维修工具、针线包、雨具、一键入会、爱心互献、法律援</w:t>
      </w: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助指引等15项基本服务内容），在具备条件的驿站增加优惠餐、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电动车充换电等服务。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建设投入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自治区总工会通过自筹设立全区驿站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建设运维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补助资金。各地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单位要通过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多渠道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筹措资金、提供场所设施等方式加大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驿站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建设投入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力度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四、形成推动驿站建设的工作合力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级工会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积极争取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党委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支持，推动将驿站建设工作纳入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地方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保障和改善民生工作统一安排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整体推进。及时了解驿站建设进度和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运行情况，查摆问题不足并提出建议意见，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坚决杜绝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形式主义、官僚主义。进一步树立“工作即宣传”理念，充分利用主流媒体、宣传阵地、各类新媒体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，广泛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宣传驿站功能作用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驿站建设运行管理工作中的好经验好做法，形成全方位、多角度的宣传矩阵，不断提升群众知晓度，扩大社会影响力，树立驿站良好品牌形象。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spacing w:line="58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2025年1月13日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（此件公开发布）</w:t>
      </w:r>
    </w:p>
    <w:bookmarkEnd w:id="1"/>
    <w:p>
      <w:pPr>
        <w:rPr>
          <w:rFonts w:hint="eastAsia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8"/>
        <w:tblW w:w="9022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175260</wp:posOffset>
            </wp:positionV>
            <wp:extent cx="1695450" cy="533400"/>
            <wp:effectExtent l="0" t="0" r="0" b="0"/>
            <wp:wrapSquare wrapText="bothSides"/>
            <wp:docPr id="1" name="图片 5" descr="NZ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NZB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FD0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10AA3895"/>
    <w:rsid w:val="110F26B1"/>
    <w:rsid w:val="13404ED0"/>
    <w:rsid w:val="1A7D41CF"/>
    <w:rsid w:val="1FD3237E"/>
    <w:rsid w:val="21B86B3F"/>
    <w:rsid w:val="21CE0EBF"/>
    <w:rsid w:val="24485B15"/>
    <w:rsid w:val="2CAC25B0"/>
    <w:rsid w:val="3E5B63E3"/>
    <w:rsid w:val="456E4695"/>
    <w:rsid w:val="4A456A7E"/>
    <w:rsid w:val="4BB12688"/>
    <w:rsid w:val="4DA13CE0"/>
    <w:rsid w:val="51650C56"/>
    <w:rsid w:val="54420AEC"/>
    <w:rsid w:val="5AEC40B3"/>
    <w:rsid w:val="5BAE3879"/>
    <w:rsid w:val="5C8F37AF"/>
    <w:rsid w:val="5DBC7A3B"/>
    <w:rsid w:val="5FDD7D8D"/>
    <w:rsid w:val="5FFDFBFA"/>
    <w:rsid w:val="64B86B45"/>
    <w:rsid w:val="662933E5"/>
    <w:rsid w:val="67FF1AF6"/>
    <w:rsid w:val="6A054CAB"/>
    <w:rsid w:val="6AED4A46"/>
    <w:rsid w:val="6E576BD4"/>
    <w:rsid w:val="6EEE8EF5"/>
    <w:rsid w:val="6F2C465B"/>
    <w:rsid w:val="7760505D"/>
    <w:rsid w:val="77E7FD07"/>
    <w:rsid w:val="7B7DF5E6"/>
    <w:rsid w:val="7BAFCDDA"/>
    <w:rsid w:val="7D164783"/>
    <w:rsid w:val="7DED1D18"/>
    <w:rsid w:val="7E5BB6E3"/>
    <w:rsid w:val="7E960D71"/>
    <w:rsid w:val="7EDE53D5"/>
    <w:rsid w:val="7FFE00C2"/>
    <w:rsid w:val="BEDEF768"/>
    <w:rsid w:val="BFFB120F"/>
    <w:rsid w:val="D7E4F21A"/>
    <w:rsid w:val="EBF9AAA9"/>
    <w:rsid w:val="EBFAA1B3"/>
    <w:rsid w:val="EFFF71BE"/>
    <w:rsid w:val="F4B5B990"/>
    <w:rsid w:val="FA57EED0"/>
    <w:rsid w:val="FB7DF816"/>
    <w:rsid w:val="FD8EE302"/>
    <w:rsid w:val="FD8FAC75"/>
    <w:rsid w:val="FFDDCD94"/>
    <w:rsid w:val="FFDFD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Date"/>
    <w:basedOn w:val="1"/>
    <w:next w:val="1"/>
    <w:link w:val="12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character" w:customStyle="1" w:styleId="12">
    <w:name w:val=" Char Char2"/>
    <w:basedOn w:val="10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3">
    <w:name w:val=" Char Char"/>
    <w:basedOn w:val="10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4">
    <w:name w:val=" Char Char1"/>
    <w:basedOn w:val="10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</cp:lastModifiedBy>
  <cp:lastPrinted>2025-01-15T09:41:52Z</cp:lastPrinted>
  <dcterms:modified xsi:type="dcterms:W3CDTF">2025-01-17T07:25:30Z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