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220" w:firstLineChars="200"/>
        <w:textAlignment w:val="auto"/>
        <w:rPr>
          <w:rFonts w:hint="eastAsia" w:ascii="仿宋" w:hAnsi="仿宋" w:eastAsia="仿宋" w:cs="仿宋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生产安全事故分级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220" w:firstLineChars="200"/>
        <w:textAlignment w:val="auto"/>
        <w:rPr>
          <w:rFonts w:hint="eastAsia" w:ascii="仿宋" w:hAnsi="仿宋" w:eastAsia="仿宋" w:cs="仿宋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一般事故（Ⅳ级）：造成3人以下死亡，或者10人以下重伤，或者1000万元以下直接经济损失的事故。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较大事故（Ⅲ级）：造成3人以上10人以下死亡，或者10人以上50人以下重伤，或者1000万元以上5000万元以下直接经济损失的事故。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重大事故（Ⅱ级）：造成10人以上30人以下死亡，或者50人以上100人以下重伤，或者5000万元以上1亿元以下直接经济损失的事故。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特别重大事故（Ⅰ级）：造成30人以上死亡，或者100人以上重伤，或者1亿元以上直接经济损失的事故。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有关数量表述中“以上”含本数，“以下”不含本数。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214AB"/>
    <w:rsid w:val="3C62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2025-01-07T03:45:00Z</dcterms:created>
  <dc:creator>哈斯高娃</dc:creator>
  <cp:lastModifiedBy>哈斯高娃</cp:lastModifiedBy>
  <dcterms:modified xsi:type="dcterms:W3CDTF">2025-01-07T03:59:18Z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