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印发《内蒙古自治区生态环境厅审批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环境影响评价文件的建设项目目录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（2024年版）》的通知</w:t>
      </w:r>
    </w:p>
    <w:p>
      <w:pPr>
        <w:pStyle w:val="2"/>
        <w:rPr>
          <w:rFonts w:hint="eastAsia"/>
          <w:lang w:eastAsia="zh-CN"/>
        </w:rPr>
      </w:pPr>
    </w:p>
    <w:p>
      <w:pPr>
        <w:pStyle w:val="2"/>
        <w:jc w:val="center"/>
        <w:rPr>
          <w:rFonts w:hint="eastAsia"/>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238</w:t>
      </w:r>
      <w:r>
        <w:rPr>
          <w:rFonts w:hint="eastAsia" w:ascii="仿宋_GB2312" w:eastAsia="仿宋_GB2312"/>
          <w:sz w:val="32"/>
          <w:szCs w:val="32"/>
        </w:rPr>
        <w:t>号</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color w:val="000000"/>
          <w:sz w:val="32"/>
          <w:szCs w:val="32"/>
        </w:rPr>
      </w:pPr>
      <w:bookmarkStart w:id="2" w:name="_GoBack"/>
      <w:r>
        <w:rPr>
          <w:rFonts w:hint="eastAsia" w:ascii="楷体" w:hAnsi="楷体" w:eastAsia="楷体" w:cs="楷体"/>
          <w:color w:val="000000"/>
          <w:sz w:val="32"/>
          <w:szCs w:val="32"/>
        </w:rPr>
        <w:t>各盟行政公署、市人民政府，自治区各委、办、厅、局，各大企业、事业单位：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现将</w:t>
      </w:r>
      <w:r>
        <w:rPr>
          <w:rFonts w:hint="eastAsia" w:ascii="楷体" w:hAnsi="楷体" w:eastAsia="楷体" w:cs="楷体"/>
          <w:color w:val="000000"/>
          <w:sz w:val="32"/>
          <w:szCs w:val="32"/>
        </w:rPr>
        <w:t>《内蒙古自治区生态环境厅审批环境影响评价文件的建设项目目录（2024年版）》</w:t>
      </w:r>
      <w:r>
        <w:rPr>
          <w:rFonts w:hint="eastAsia" w:ascii="楷体" w:hAnsi="楷体" w:eastAsia="楷体" w:cs="楷体"/>
          <w:color w:val="000000"/>
          <w:sz w:val="32"/>
          <w:szCs w:val="32"/>
          <w:lang w:eastAsia="zh-CN"/>
        </w:rPr>
        <w:t>（以下简称《目录》）印发给你们，并提出以下要求，请一并贯彻落实。</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《目录》</w:t>
      </w:r>
      <w:r>
        <w:rPr>
          <w:rFonts w:hint="eastAsia" w:ascii="楷体" w:hAnsi="楷体" w:eastAsia="楷体" w:cs="楷体"/>
          <w:color w:val="000000"/>
          <w:sz w:val="32"/>
          <w:szCs w:val="32"/>
        </w:rPr>
        <w:t>自2025年1月1日起施行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《内蒙古自治区人民政府关于调整乌海及周边地区相关建设项目环境影响评价文件</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非辐射类</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分级审批权限</w:t>
      </w:r>
      <w:r>
        <w:rPr>
          <w:rFonts w:hint="eastAsia" w:ascii="楷体" w:hAnsi="楷体" w:eastAsia="楷体" w:cs="楷体"/>
          <w:color w:val="000000"/>
          <w:spacing w:val="-6"/>
          <w:sz w:val="32"/>
          <w:szCs w:val="32"/>
        </w:rPr>
        <w:t>有关事宜的通知》</w:t>
      </w:r>
      <w:r>
        <w:rPr>
          <w:rFonts w:hint="eastAsia" w:ascii="楷体" w:hAnsi="楷体" w:eastAsia="楷体" w:cs="楷体"/>
          <w:color w:val="000000"/>
          <w:spacing w:val="-6"/>
          <w:sz w:val="32"/>
          <w:szCs w:val="32"/>
          <w:lang w:eastAsia="zh-CN"/>
        </w:rPr>
        <w:t>（</w:t>
      </w:r>
      <w:r>
        <w:rPr>
          <w:rFonts w:hint="eastAsia" w:ascii="楷体" w:hAnsi="楷体" w:eastAsia="楷体" w:cs="楷体"/>
          <w:color w:val="000000"/>
          <w:spacing w:val="-6"/>
          <w:sz w:val="32"/>
          <w:szCs w:val="32"/>
        </w:rPr>
        <w:t>内政字〔2021〕</w:t>
      </w:r>
      <w:r>
        <w:rPr>
          <w:rFonts w:hint="eastAsia" w:ascii="楷体" w:hAnsi="楷体" w:eastAsia="楷体" w:cs="楷体"/>
          <w:color w:val="000000"/>
          <w:sz w:val="32"/>
          <w:szCs w:val="32"/>
        </w:rPr>
        <w:t>29号</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《内蒙古自治区人民政府关于印发</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内蒙古自治区生态环境厅审批环境影响评价文件的建设项目目录（非辐射类）</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的通知》（内政字〔2021〕94号）同时废止。</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color w:val="000000"/>
          <w:sz w:val="32"/>
          <w:szCs w:val="32"/>
        </w:rPr>
        <w:sectPr>
          <w:headerReference r:id="rId3" w:type="first"/>
          <w:footerReference r:id="rId4" w:type="first"/>
          <w:pgSz w:w="11906" w:h="16838"/>
          <w:pgMar w:top="2098" w:right="1474" w:bottom="1701" w:left="1474" w:header="851" w:footer="1304" w:gutter="0"/>
          <w:paperSrc/>
          <w:pgNumType w:fmt="numberInDash"/>
          <w:cols w:space="720" w:num="1"/>
          <w:titlePg/>
          <w:rtlGutter w:val="0"/>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《目录》中未列出的</w:t>
      </w:r>
      <w:r>
        <w:rPr>
          <w:rFonts w:hint="eastAsia" w:ascii="楷体" w:hAnsi="楷体" w:eastAsia="楷体" w:cs="楷体"/>
          <w:color w:val="000000"/>
          <w:sz w:val="32"/>
          <w:szCs w:val="32"/>
        </w:rPr>
        <w:t>其</w:t>
      </w:r>
      <w:r>
        <w:rPr>
          <w:rFonts w:hint="eastAsia" w:ascii="楷体" w:hAnsi="楷体" w:eastAsia="楷体" w:cs="楷体"/>
          <w:color w:val="000000"/>
          <w:sz w:val="32"/>
          <w:szCs w:val="32"/>
          <w:lang w:eastAsia="zh-CN"/>
        </w:rPr>
        <w:t>他</w:t>
      </w:r>
      <w:r>
        <w:rPr>
          <w:rFonts w:hint="eastAsia" w:ascii="楷体" w:hAnsi="楷体" w:eastAsia="楷体" w:cs="楷体"/>
          <w:color w:val="000000"/>
          <w:sz w:val="32"/>
          <w:szCs w:val="32"/>
        </w:rPr>
        <w:t>建设项目环境影响评价文件，由各盟市生态环境局提出分级审批意见，于202</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rPr>
        <w:t>年</w:t>
      </w:r>
      <w:r>
        <w:rPr>
          <w:rFonts w:hint="eastAsia" w:ascii="楷体" w:hAnsi="楷体" w:eastAsia="楷体" w:cs="楷体"/>
          <w:color w:val="000000"/>
          <w:sz w:val="32"/>
          <w:szCs w:val="32"/>
          <w:lang w:val="en-US" w:eastAsia="zh-CN"/>
        </w:rPr>
        <w:t>3</w:t>
      </w:r>
      <w:r>
        <w:rPr>
          <w:rFonts w:hint="eastAsia" w:ascii="楷体" w:hAnsi="楷体" w:eastAsia="楷体" w:cs="楷体"/>
          <w:color w:val="000000"/>
          <w:sz w:val="32"/>
          <w:szCs w:val="32"/>
        </w:rPr>
        <w:t>月底前报所在盟行政公署、市人民政府批准后实施，其中</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核与辐射建设项目和编制环境影响报告书的一般建设项目原则上全部由盟市生态环境局审批。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Style w:val="12"/>
          <w:rFonts w:hint="eastAsia" w:ascii="楷体" w:hAnsi="楷体" w:eastAsia="楷体" w:cs="楷体"/>
          <w:kern w:val="0"/>
          <w:sz w:val="32"/>
          <w:szCs w:val="32"/>
        </w:rPr>
      </w:pPr>
      <w:r>
        <w:rPr>
          <w:rFonts w:hint="eastAsia" w:ascii="楷体" w:hAnsi="楷体" w:eastAsia="楷体" w:cs="楷体"/>
          <w:color w:val="000000"/>
          <w:sz w:val="32"/>
          <w:szCs w:val="32"/>
          <w:lang w:eastAsia="zh-CN"/>
        </w:rPr>
        <w:t>三、《目录》</w:t>
      </w:r>
      <w:r>
        <w:rPr>
          <w:rFonts w:hint="eastAsia" w:ascii="楷体" w:hAnsi="楷体" w:eastAsia="楷体" w:cs="楷体"/>
          <w:color w:val="000000"/>
          <w:sz w:val="32"/>
          <w:szCs w:val="32"/>
        </w:rPr>
        <w:t>执行过程中</w:t>
      </w:r>
      <w:r>
        <w:rPr>
          <w:rFonts w:hint="eastAsia" w:ascii="楷体" w:hAnsi="楷体" w:eastAsia="楷体" w:cs="楷体"/>
          <w:color w:val="000000"/>
          <w:sz w:val="32"/>
          <w:szCs w:val="32"/>
          <w:lang w:eastAsia="zh-CN"/>
        </w:rPr>
        <w:t>遇</w:t>
      </w:r>
      <w:r>
        <w:rPr>
          <w:rFonts w:hint="eastAsia" w:ascii="楷体" w:hAnsi="楷体" w:eastAsia="楷体" w:cs="楷体"/>
          <w:color w:val="000000"/>
          <w:sz w:val="32"/>
          <w:szCs w:val="32"/>
        </w:rPr>
        <w:t>有问题，由自治区生态环境厅负责解释。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ascii="楷体" w:hAnsi="楷体" w:eastAsia="楷体" w:cs="楷体"/>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ascii="楷体" w:hAnsi="楷体" w:eastAsia="楷体" w:cs="楷体"/>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 w:hAnsi="楷体" w:eastAsia="楷体" w:cs="楷体"/>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12"/>
          <w:rFonts w:hint="eastAsia" w:ascii="楷体" w:hAnsi="楷体" w:eastAsia="楷体" w:cs="楷体"/>
          <w:kern w:val="0"/>
          <w:sz w:val="32"/>
          <w:szCs w:val="32"/>
        </w:rPr>
      </w:pPr>
      <w:r>
        <w:rPr>
          <w:rStyle w:val="12"/>
          <w:rFonts w:hint="eastAsia" w:ascii="楷体" w:hAnsi="楷体" w:eastAsia="楷体" w:cs="楷体"/>
          <w:kern w:val="0"/>
          <w:sz w:val="32"/>
          <w:szCs w:val="32"/>
        </w:rPr>
        <w:t xml:space="preserve">                    </w:t>
      </w:r>
    </w:p>
    <w:p>
      <w:pPr>
        <w:keepNext w:val="0"/>
        <w:keepLines w:val="0"/>
        <w:pageBreakBefore w:val="0"/>
        <w:widowControl w:val="0"/>
        <w:tabs>
          <w:tab w:val="left" w:pos="7560"/>
        </w:tabs>
        <w:kinsoku/>
        <w:wordWrap/>
        <w:overflowPunct/>
        <w:topLinePunct w:val="0"/>
        <w:autoSpaceDE/>
        <w:autoSpaceDN/>
        <w:bidi w:val="0"/>
        <w:adjustRightInd/>
        <w:snapToGrid/>
        <w:spacing w:line="580" w:lineRule="exact"/>
        <w:ind w:right="1298" w:rightChars="618" w:firstLine="4960" w:firstLineChars="1550"/>
        <w:textAlignment w:val="auto"/>
        <w:rPr>
          <w:rStyle w:val="12"/>
          <w:rFonts w:hint="eastAsia" w:ascii="楷体" w:hAnsi="楷体" w:eastAsia="楷体" w:cs="楷体"/>
          <w:kern w:val="0"/>
          <w:sz w:val="32"/>
          <w:szCs w:val="32"/>
        </w:rPr>
      </w:pPr>
      <w:r>
        <w:rPr>
          <w:rStyle w:val="12"/>
          <w:rFonts w:hint="eastAsia" w:ascii="楷体" w:hAnsi="楷体" w:eastAsia="楷体" w:cs="楷体"/>
          <w:kern w:val="0"/>
          <w:sz w:val="32"/>
          <w:szCs w:val="32"/>
        </w:rPr>
        <w:t>2024年</w:t>
      </w:r>
      <w:r>
        <w:rPr>
          <w:rStyle w:val="12"/>
          <w:rFonts w:hint="eastAsia" w:ascii="楷体" w:hAnsi="楷体" w:eastAsia="楷体" w:cs="楷体"/>
          <w:kern w:val="0"/>
          <w:sz w:val="32"/>
          <w:szCs w:val="32"/>
          <w:lang w:val="en-US" w:eastAsia="zh-CN"/>
        </w:rPr>
        <w:t>12</w:t>
      </w:r>
      <w:r>
        <w:rPr>
          <w:rStyle w:val="12"/>
          <w:rFonts w:hint="eastAsia" w:ascii="楷体" w:hAnsi="楷体" w:eastAsia="楷体" w:cs="楷体"/>
          <w:kern w:val="0"/>
          <w:sz w:val="32"/>
          <w:szCs w:val="32"/>
        </w:rPr>
        <w:t>月</w:t>
      </w:r>
      <w:r>
        <w:rPr>
          <w:rStyle w:val="12"/>
          <w:rFonts w:hint="eastAsia" w:ascii="楷体" w:hAnsi="楷体" w:eastAsia="楷体" w:cs="楷体"/>
          <w:kern w:val="0"/>
          <w:sz w:val="32"/>
          <w:szCs w:val="32"/>
          <w:lang w:val="en-US" w:eastAsia="zh-CN"/>
        </w:rPr>
        <w:t>17</w:t>
      </w:r>
      <w:r>
        <w:rPr>
          <w:rStyle w:val="12"/>
          <w:rFonts w:hint="eastAsia" w:ascii="楷体" w:hAnsi="楷体" w:eastAsia="楷体" w:cs="楷体"/>
          <w:kern w:val="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lang w:eastAsia="zh-CN"/>
        </w:rPr>
        <w:sectPr>
          <w:footerReference r:id="rId7" w:type="first"/>
          <w:footerReference r:id="rId5" w:type="default"/>
          <w:footerReference r:id="rId6" w:type="even"/>
          <w:pgSz w:w="11906" w:h="16838"/>
          <w:pgMar w:top="2098" w:right="1474" w:bottom="1701" w:left="1474" w:header="851" w:footer="1304" w:gutter="0"/>
          <w:paperSrc/>
          <w:pgNumType w:fmt="numberInDash" w:start="2"/>
          <w:cols w:space="720" w:num="1"/>
          <w:rtlGutter w:val="0"/>
          <w:docGrid w:type="lines" w:linePitch="312" w:charSpace="0"/>
        </w:sectPr>
      </w:pPr>
      <w:r>
        <w:rPr>
          <w:rStyle w:val="12"/>
          <w:rFonts w:hint="eastAsia" w:ascii="楷体" w:hAnsi="楷体" w:eastAsia="楷体" w:cs="楷体"/>
          <w:kern w:val="0"/>
          <w:sz w:val="32"/>
          <w:szCs w:val="32"/>
          <w:lang w:eastAsia="zh-CN"/>
        </w:rPr>
        <w:t>（此件公开发布）</w:t>
      </w:r>
    </w:p>
    <w:p>
      <w:pPr>
        <w:pStyle w:val="2"/>
        <w:spacing w:line="560" w:lineRule="exact"/>
        <w:ind w:firstLine="0" w:firstLineChars="0"/>
        <w:jc w:val="center"/>
        <w:rPr>
          <w:rFonts w:hint="eastAsia" w:ascii="方正小标宋简体" w:hAnsi="方正小标宋简体" w:eastAsia="方正小标宋简体" w:cs="方正小标宋简体"/>
          <w:bCs/>
          <w:spacing w:val="7"/>
          <w:sz w:val="44"/>
          <w:szCs w:val="44"/>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Cs/>
          <w:spacing w:val="7"/>
          <w:sz w:val="44"/>
          <w:szCs w:val="44"/>
        </w:rPr>
      </w:pPr>
      <w:r>
        <w:rPr>
          <w:rFonts w:hint="eastAsia" w:ascii="方正小标宋_GBK" w:hAnsi="方正小标宋_GBK" w:eastAsia="方正小标宋_GBK" w:cs="方正小标宋_GBK"/>
          <w:bCs/>
          <w:spacing w:val="7"/>
          <w:sz w:val="44"/>
          <w:szCs w:val="44"/>
        </w:rPr>
        <w:t>内蒙古自治区生态环境厅审批环境</w:t>
      </w:r>
    </w:p>
    <w:p>
      <w:pPr>
        <w:pStyle w:val="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Cs/>
          <w:spacing w:val="7"/>
          <w:sz w:val="44"/>
          <w:szCs w:val="44"/>
        </w:rPr>
      </w:pPr>
      <w:r>
        <w:rPr>
          <w:rFonts w:hint="eastAsia" w:ascii="方正小标宋_GBK" w:hAnsi="方正小标宋_GBK" w:eastAsia="方正小标宋_GBK" w:cs="方正小标宋_GBK"/>
          <w:bCs/>
          <w:spacing w:val="7"/>
          <w:sz w:val="44"/>
          <w:szCs w:val="44"/>
        </w:rPr>
        <w:t>影响评价文件的建设项目目录（2024年版）</w:t>
      </w:r>
    </w:p>
    <w:p>
      <w:pPr>
        <w:spacing w:line="560" w:lineRule="exact"/>
        <w:ind w:firstLine="668" w:firstLineChars="200"/>
        <w:rPr>
          <w:rFonts w:hint="eastAsia" w:ascii="方正仿宋_GBK" w:hAnsi="方正仿宋_GBK" w:eastAsia="方正仿宋_GBK" w:cs="方正仿宋_GBK"/>
          <w:spacing w:val="7"/>
          <w:sz w:val="32"/>
          <w:szCs w:val="32"/>
        </w:rPr>
      </w:pP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一、一般建设项目</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除生态环境部负责审批环境影响评价文件的一般建设项目外，跨盟市的一般建设项目和以下编制环境影响报告书的一般建设项目由自治区生态环境厅负责审批。</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（一）水利</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水库：新建库容1000万立方米及以上的项目。</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引调水工程：新建项目。</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（二）能源</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燃煤电站（含热电）：新建、改</w:t>
      </w:r>
      <w:r>
        <w:rPr>
          <w:rFonts w:hint="eastAsia" w:ascii="仿宋" w:hAnsi="仿宋" w:eastAsia="仿宋" w:cs="仿宋"/>
          <w:b w:val="0"/>
          <w:bCs w:val="0"/>
          <w:spacing w:val="-6"/>
          <w:sz w:val="32"/>
          <w:szCs w:val="32"/>
        </w:rPr>
        <w:t>建、扩建项目（含燃煤掺烧</w:t>
      </w:r>
      <w:r>
        <w:rPr>
          <w:rFonts w:hint="eastAsia" w:ascii="仿宋" w:hAnsi="仿宋" w:eastAsia="仿宋" w:cs="仿宋"/>
          <w:b w:val="0"/>
          <w:bCs w:val="0"/>
          <w:spacing w:val="0"/>
          <w:sz w:val="32"/>
          <w:szCs w:val="32"/>
        </w:rPr>
        <w:t>废弃物；不含背压机组）。</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风电、光伏电站：新增装机容量50万千瓦及以上的项目。</w:t>
      </w:r>
    </w:p>
    <w:p>
      <w:pPr>
        <w:keepNext w:val="0"/>
        <w:keepLines w:val="0"/>
        <w:pageBreakBefore w:val="0"/>
        <w:widowControl w:val="0"/>
        <w:kinsoku/>
        <w:wordWrap/>
        <w:overflowPunct/>
        <w:topLinePunct/>
        <w:autoSpaceDE/>
        <w:autoSpaceDN/>
        <w:bidi w:val="0"/>
        <w:adjustRightInd/>
        <w:snapToGrid/>
        <w:spacing w:line="590" w:lineRule="exact"/>
        <w:ind w:firstLine="64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水电站：新建的常规水电</w:t>
      </w:r>
      <w:r>
        <w:rPr>
          <w:rFonts w:hint="eastAsia" w:ascii="仿宋" w:hAnsi="仿宋" w:eastAsia="仿宋" w:cs="仿宋"/>
          <w:b w:val="0"/>
          <w:bCs w:val="0"/>
          <w:spacing w:val="-6"/>
          <w:sz w:val="32"/>
          <w:szCs w:val="32"/>
        </w:rPr>
        <w:t>站项目</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新增装机容量5万千瓦</w:t>
      </w:r>
      <w:r>
        <w:rPr>
          <w:rFonts w:hint="eastAsia" w:ascii="仿宋" w:hAnsi="仿宋" w:eastAsia="仿宋" w:cs="仿宋"/>
          <w:b w:val="0"/>
          <w:bCs w:val="0"/>
          <w:spacing w:val="0"/>
          <w:sz w:val="32"/>
          <w:szCs w:val="32"/>
        </w:rPr>
        <w:t>以上的常规水电站项目</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涉及环境敏感区的抽水蓄能电站项目</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新增装机容量30万千瓦以上的抽水蓄能电站项目。</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（三）矿产资源开发</w:t>
      </w:r>
    </w:p>
    <w:p>
      <w:pPr>
        <w:keepNext w:val="0"/>
        <w:keepLines w:val="0"/>
        <w:pageBreakBefore w:val="0"/>
        <w:widowControl w:val="0"/>
        <w:kinsoku/>
        <w:wordWrap/>
        <w:overflowPunct/>
        <w:topLinePunct/>
        <w:autoSpaceDE/>
        <w:autoSpaceDN/>
        <w:bidi w:val="0"/>
        <w:adjustRightInd/>
        <w:snapToGrid/>
        <w:spacing w:line="59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煤炭开采和洗选业：新增规模90万吨/年及以上的新建、扩建煤炭开采项目。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黑色金属矿采选业：新增规模30万吨/年及以上的新建、扩建铁矿采选一体项目。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有色金属矿采选业：新建、扩建稀土采选一体项目；新建、扩建铜、铅锌、镍钴、锡、锑、汞矿采选一体项目。</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尾矿库：新建、扩建含尾矿库的矿山采选项目；新建、扩建单独尾矿库建设项目。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（四）交通运输</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港口码头：新建煤炭、矿石、油气专用泊位项目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新建涉及危险品堆场的集装箱专用码头项目。</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机场：新建、迁建以及增加航空业务量的扩建运输机场项目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新建、迁建通用机场项目。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（五）制造业</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石化：全部炼油项目</w:t>
      </w:r>
      <w:r>
        <w:rPr>
          <w:rStyle w:val="12"/>
          <w:rFonts w:hint="eastAsia" w:ascii="仿宋" w:hAnsi="仿宋" w:eastAsia="仿宋" w:cs="仿宋"/>
          <w:b w:val="0"/>
          <w:bCs w:val="0"/>
          <w:spacing w:val="0"/>
          <w:sz w:val="32"/>
          <w:szCs w:val="32"/>
        </w:rPr>
        <w:t>（2511）</w:t>
      </w:r>
      <w:r>
        <w:rPr>
          <w:rFonts w:hint="eastAsia" w:ascii="仿宋" w:hAnsi="仿宋" w:eastAsia="仿宋" w:cs="仿宋"/>
          <w:b w:val="0"/>
          <w:bCs w:val="0"/>
          <w:spacing w:val="0"/>
          <w:kern w:val="0"/>
          <w:sz w:val="32"/>
          <w:szCs w:val="32"/>
        </w:rPr>
        <w:t>；全部乙烯项目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新建对二甲苯项目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新建二苯基甲烷二异氰酸酯项目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新建废轮胎生产再生油项目。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化工：全部煤化工项目（2522、2523，含煤制氮肥、低阶煤分质利用）</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全部化学农药原药制造项目（2631，含主要用于化学农药原药合成的中间体生产项目，不含化学农药制剂项目）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全部铬盐</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全部氰化物生产项目。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Style w:val="12"/>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水泥熟料：全部项目（含水泥窑协同处置危险废物）。</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Style w:val="12"/>
          <w:rFonts w:hint="eastAsia" w:ascii="仿宋" w:hAnsi="仿宋" w:eastAsia="仿宋" w:cs="仿宋"/>
          <w:b w:val="0"/>
          <w:bCs w:val="0"/>
          <w:spacing w:val="-6"/>
          <w:kern w:val="0"/>
          <w:sz w:val="32"/>
          <w:szCs w:val="32"/>
        </w:rPr>
      </w:pPr>
      <w:r>
        <w:rPr>
          <w:rStyle w:val="12"/>
          <w:rFonts w:hint="eastAsia" w:ascii="仿宋" w:hAnsi="仿宋" w:eastAsia="仿宋" w:cs="仿宋"/>
          <w:b w:val="0"/>
          <w:bCs w:val="0"/>
          <w:spacing w:val="0"/>
          <w:kern w:val="0"/>
          <w:sz w:val="32"/>
          <w:szCs w:val="32"/>
        </w:rPr>
        <w:t>玻璃：全部涉及玻璃熔窑设</w:t>
      </w:r>
      <w:r>
        <w:rPr>
          <w:rStyle w:val="12"/>
          <w:rFonts w:hint="eastAsia" w:ascii="仿宋" w:hAnsi="仿宋" w:eastAsia="仿宋" w:cs="仿宋"/>
          <w:b w:val="0"/>
          <w:bCs w:val="0"/>
          <w:spacing w:val="-6"/>
          <w:kern w:val="0"/>
          <w:sz w:val="32"/>
          <w:szCs w:val="32"/>
        </w:rPr>
        <w:t>备的项目（304，电熔窑除外）。</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钢铁：全部</w:t>
      </w:r>
      <w:r>
        <w:rPr>
          <w:rStyle w:val="12"/>
          <w:rFonts w:hint="eastAsia" w:ascii="仿宋" w:hAnsi="仿宋" w:eastAsia="仿宋" w:cs="仿宋"/>
          <w:b w:val="0"/>
          <w:bCs w:val="0"/>
          <w:spacing w:val="0"/>
          <w:sz w:val="32"/>
          <w:szCs w:val="32"/>
        </w:rPr>
        <w:t>以精矿为原料的炼铁项目（含烧结、球团）</w:t>
      </w:r>
      <w:r>
        <w:rPr>
          <w:rStyle w:val="12"/>
          <w:rFonts w:hint="eastAsia" w:ascii="仿宋" w:hAnsi="仿宋" w:eastAsia="仿宋" w:cs="仿宋"/>
          <w:b w:val="0"/>
          <w:bCs w:val="0"/>
          <w:spacing w:val="0"/>
          <w:sz w:val="32"/>
          <w:szCs w:val="32"/>
          <w:lang w:eastAsia="zh-CN"/>
        </w:rPr>
        <w:t>，</w:t>
      </w:r>
      <w:r>
        <w:rPr>
          <w:rStyle w:val="12"/>
          <w:rFonts w:hint="eastAsia" w:ascii="仿宋" w:hAnsi="仿宋" w:eastAsia="仿宋" w:cs="仿宋"/>
          <w:b w:val="0"/>
          <w:bCs w:val="0"/>
          <w:spacing w:val="0"/>
          <w:sz w:val="32"/>
          <w:szCs w:val="32"/>
        </w:rPr>
        <w:t>全部以生铁为原料的</w:t>
      </w:r>
      <w:r>
        <w:rPr>
          <w:rFonts w:hint="eastAsia" w:ascii="仿宋" w:hAnsi="仿宋" w:eastAsia="仿宋" w:cs="仿宋"/>
          <w:b w:val="0"/>
          <w:bCs w:val="0"/>
          <w:spacing w:val="0"/>
          <w:kern w:val="0"/>
          <w:sz w:val="32"/>
          <w:szCs w:val="32"/>
        </w:rPr>
        <w:t>炼钢项目（短流程炼钢除外）</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新建、扩建钢铁含锌尘泥等含锌二次资源生产（次）氧化锌的项目。</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Style w:val="12"/>
          <w:rFonts w:hint="eastAsia" w:ascii="仿宋" w:hAnsi="仿宋" w:eastAsia="仿宋" w:cs="仿宋"/>
          <w:b w:val="0"/>
          <w:bCs w:val="0"/>
          <w:spacing w:val="0"/>
          <w:sz w:val="32"/>
          <w:szCs w:val="32"/>
        </w:rPr>
      </w:pPr>
      <w:r>
        <w:rPr>
          <w:rFonts w:hint="eastAsia" w:ascii="仿宋" w:hAnsi="仿宋" w:eastAsia="仿宋" w:cs="仿宋"/>
          <w:b w:val="0"/>
          <w:bCs w:val="0"/>
          <w:spacing w:val="0"/>
          <w:kern w:val="0"/>
          <w:sz w:val="32"/>
          <w:szCs w:val="32"/>
        </w:rPr>
        <w:t>焦化：全部项目（2521，不含干熄焦、煤气净化、煤气</w:t>
      </w:r>
      <w:r>
        <w:rPr>
          <w:rStyle w:val="12"/>
          <w:rFonts w:hint="eastAsia" w:ascii="仿宋" w:hAnsi="仿宋" w:eastAsia="仿宋" w:cs="仿宋"/>
          <w:b w:val="0"/>
          <w:bCs w:val="0"/>
          <w:spacing w:val="0"/>
          <w:sz w:val="32"/>
          <w:szCs w:val="32"/>
        </w:rPr>
        <w:t>综合利用等不涉及焦炉/炭化炉的改造项目</w:t>
      </w:r>
      <w:r>
        <w:rPr>
          <w:rFonts w:hint="eastAsia" w:ascii="仿宋" w:hAnsi="仿宋" w:eastAsia="仿宋" w:cs="仿宋"/>
          <w:b w:val="0"/>
          <w:bCs w:val="0"/>
          <w:spacing w:val="0"/>
          <w:kern w:val="0"/>
          <w:sz w:val="32"/>
          <w:szCs w:val="32"/>
        </w:rPr>
        <w:t>）。</w:t>
      </w:r>
    </w:p>
    <w:p>
      <w:pPr>
        <w:keepNext w:val="0"/>
        <w:keepLines w:val="0"/>
        <w:pageBreakBefore w:val="0"/>
        <w:widowControl w:val="0"/>
        <w:kinsoku/>
        <w:wordWrap/>
        <w:overflowPunct/>
        <w:topLinePunct/>
        <w:autoSpaceDE/>
        <w:autoSpaceDN/>
        <w:bidi w:val="0"/>
        <w:adjustRightInd/>
        <w:snapToGrid/>
        <w:spacing w:line="612" w:lineRule="exact"/>
        <w:ind w:firstLine="64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有色金属冶炼：全部</w:t>
      </w:r>
      <w:r>
        <w:rPr>
          <w:rStyle w:val="12"/>
          <w:rFonts w:hint="eastAsia" w:ascii="仿宋" w:hAnsi="仿宋" w:eastAsia="仿宋" w:cs="仿宋"/>
          <w:b w:val="0"/>
          <w:bCs w:val="0"/>
          <w:spacing w:val="0"/>
          <w:kern w:val="0"/>
          <w:sz w:val="32"/>
          <w:szCs w:val="32"/>
        </w:rPr>
        <w:t>以精矿为原料的有色金属</w:t>
      </w:r>
      <w:r>
        <w:rPr>
          <w:rFonts w:hint="eastAsia" w:ascii="仿宋" w:hAnsi="仿宋" w:eastAsia="仿宋" w:cs="仿宋"/>
          <w:b w:val="0"/>
          <w:bCs w:val="0"/>
          <w:spacing w:val="0"/>
          <w:kern w:val="0"/>
          <w:sz w:val="32"/>
          <w:szCs w:val="32"/>
        </w:rPr>
        <w:t>冶炼项目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全部再生有色金属冶炼项目。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铸造：全部铸造用生铁项目</w:t>
      </w:r>
      <w:r>
        <w:rPr>
          <w:rFonts w:hint="eastAsia" w:ascii="仿宋" w:hAnsi="仿宋" w:eastAsia="仿宋" w:cs="仿宋"/>
          <w:b w:val="0"/>
          <w:bCs w:val="0"/>
          <w:spacing w:val="0"/>
          <w:kern w:val="0"/>
          <w:sz w:val="32"/>
          <w:szCs w:val="32"/>
          <w:lang w:eastAsia="zh-CN"/>
        </w:rPr>
        <w:t>，</w:t>
      </w:r>
      <w:r>
        <w:rPr>
          <w:rFonts w:hint="eastAsia" w:ascii="仿宋" w:hAnsi="仿宋" w:eastAsia="仿宋" w:cs="仿宋"/>
          <w:b w:val="0"/>
          <w:bCs w:val="0"/>
          <w:spacing w:val="0"/>
          <w:kern w:val="0"/>
          <w:sz w:val="32"/>
          <w:szCs w:val="32"/>
        </w:rPr>
        <w:t>新建、扩建采用冲天炉为熔化设备的铸造项目。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kern w:val="0"/>
          <w:sz w:val="32"/>
          <w:szCs w:val="32"/>
        </w:rPr>
        <w:t>碳素制品：新建</w:t>
      </w:r>
      <w:r>
        <w:rPr>
          <w:rFonts w:hint="eastAsia" w:ascii="仿宋" w:hAnsi="仿宋" w:eastAsia="仿宋" w:cs="仿宋"/>
          <w:b w:val="0"/>
          <w:bCs w:val="0"/>
          <w:spacing w:val="0"/>
          <w:sz w:val="32"/>
          <w:szCs w:val="32"/>
        </w:rPr>
        <w:t>以石油焦为</w:t>
      </w:r>
      <w:r>
        <w:rPr>
          <w:rStyle w:val="12"/>
          <w:rFonts w:hint="eastAsia" w:ascii="仿宋" w:hAnsi="仿宋" w:eastAsia="仿宋" w:cs="仿宋"/>
          <w:b w:val="0"/>
          <w:bCs w:val="0"/>
          <w:spacing w:val="0"/>
          <w:sz w:val="32"/>
          <w:szCs w:val="32"/>
        </w:rPr>
        <w:t>原料生产碳素制品项目（3091）。</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（六）社会事业</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Style w:val="12"/>
          <w:rFonts w:hint="eastAsia" w:ascii="仿宋" w:hAnsi="仿宋" w:eastAsia="仿宋" w:cs="仿宋"/>
          <w:b w:val="0"/>
          <w:bCs w:val="0"/>
          <w:spacing w:val="0"/>
          <w:sz w:val="32"/>
          <w:szCs w:val="32"/>
        </w:rPr>
      </w:pPr>
      <w:r>
        <w:rPr>
          <w:rStyle w:val="12"/>
          <w:rFonts w:hint="eastAsia" w:ascii="仿宋" w:hAnsi="仿宋" w:eastAsia="仿宋" w:cs="仿宋"/>
          <w:b w:val="0"/>
          <w:bCs w:val="0"/>
          <w:spacing w:val="0"/>
          <w:sz w:val="32"/>
          <w:szCs w:val="32"/>
        </w:rPr>
        <w:t>公园：新建特大型主题公园；新建大型主题公园。</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u w:val="single"/>
        </w:rPr>
      </w:pPr>
      <w:r>
        <w:rPr>
          <w:rFonts w:hint="eastAsia" w:ascii="仿宋" w:hAnsi="仿宋" w:eastAsia="仿宋" w:cs="仿宋"/>
          <w:b w:val="0"/>
          <w:bCs w:val="0"/>
          <w:spacing w:val="0"/>
          <w:sz w:val="32"/>
          <w:szCs w:val="32"/>
        </w:rPr>
        <w:t>人工湖、人工湿地：单独立项编制环境影响报告书的人工湖或人工湿地项目</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所包含的人工湖、人工湿地容积在500万立方米及以上</w:t>
      </w:r>
      <w:r>
        <w:rPr>
          <w:rFonts w:hint="eastAsia" w:ascii="仿宋" w:hAnsi="仿宋" w:eastAsia="仿宋" w:cs="仿宋"/>
          <w:b w:val="0"/>
          <w:bCs w:val="0"/>
          <w:spacing w:val="0"/>
          <w:sz w:val="32"/>
          <w:szCs w:val="32"/>
          <w:lang w:eastAsia="zh-CN"/>
        </w:rPr>
        <w:t>，或者</w:t>
      </w:r>
      <w:r>
        <w:rPr>
          <w:rFonts w:hint="eastAsia" w:ascii="仿宋" w:hAnsi="仿宋" w:eastAsia="仿宋" w:cs="仿宋"/>
          <w:b w:val="0"/>
          <w:bCs w:val="0"/>
          <w:spacing w:val="0"/>
          <w:sz w:val="32"/>
          <w:szCs w:val="32"/>
        </w:rPr>
        <w:t>容积在5万至500万立方米之间且涉及环境敏感区</w:t>
      </w:r>
      <w:r>
        <w:rPr>
          <w:rFonts w:hint="eastAsia" w:ascii="仿宋" w:hAnsi="仿宋" w:eastAsia="仿宋" w:cs="仿宋"/>
          <w:b w:val="0"/>
          <w:bCs w:val="0"/>
          <w:spacing w:val="0"/>
          <w:sz w:val="32"/>
          <w:szCs w:val="32"/>
          <w:lang w:eastAsia="zh-CN"/>
        </w:rPr>
        <w:t>，或者</w:t>
      </w:r>
      <w:r>
        <w:rPr>
          <w:rFonts w:hint="eastAsia" w:ascii="仿宋" w:hAnsi="仿宋" w:eastAsia="仿宋" w:cs="仿宋"/>
          <w:b w:val="0"/>
          <w:bCs w:val="0"/>
          <w:spacing w:val="0"/>
          <w:sz w:val="32"/>
          <w:szCs w:val="32"/>
        </w:rPr>
        <w:t>年补水量占引水河道引水断面天然年径流量25%及以上的相关项目（不包括单纯利用城市雨洪水、再生水、矿井水等非常规水源的人工湖或人工湿地项目，以及不引用黄河干流及各级支流水量且主要用于污水深度处理的相关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（七）环境治理业</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kern w:val="0"/>
          <w:sz w:val="32"/>
          <w:szCs w:val="32"/>
        </w:rPr>
      </w:pPr>
      <w:r>
        <w:rPr>
          <w:rStyle w:val="12"/>
          <w:rFonts w:hint="eastAsia" w:ascii="仿宋" w:hAnsi="仿宋" w:eastAsia="仿宋" w:cs="仿宋"/>
          <w:b w:val="0"/>
          <w:bCs w:val="0"/>
          <w:spacing w:val="0"/>
          <w:sz w:val="32"/>
          <w:szCs w:val="32"/>
        </w:rPr>
        <w:t>危险废物处置：新建、改建、扩建危险废物集中焚烧、</w:t>
      </w:r>
      <w:r>
        <w:rPr>
          <w:rStyle w:val="12"/>
          <w:rFonts w:hint="eastAsia" w:ascii="仿宋" w:hAnsi="仿宋" w:eastAsia="仿宋" w:cs="仿宋"/>
          <w:b w:val="0"/>
          <w:bCs w:val="0"/>
          <w:spacing w:val="6"/>
          <w:sz w:val="32"/>
          <w:szCs w:val="32"/>
        </w:rPr>
        <w:t>集中填埋处置项目（不含医疗废物集中处置项目）</w:t>
      </w:r>
      <w:r>
        <w:rPr>
          <w:rStyle w:val="12"/>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kern w:val="0"/>
          <w:sz w:val="32"/>
          <w:szCs w:val="32"/>
        </w:rPr>
        <w:t>产生危险废物单位新建的单独危险废物焚烧或填埋处置自用设施项目。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（八）研究和试验发展</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kern w:val="0"/>
          <w:sz w:val="32"/>
          <w:szCs w:val="32"/>
        </w:rPr>
      </w:pPr>
      <w:r>
        <w:rPr>
          <w:rFonts w:hint="eastAsia" w:ascii="仿宋" w:hAnsi="仿宋" w:eastAsia="仿宋" w:cs="仿宋"/>
          <w:b w:val="0"/>
          <w:bCs w:val="0"/>
          <w:spacing w:val="0"/>
          <w:kern w:val="0"/>
          <w:sz w:val="32"/>
          <w:szCs w:val="32"/>
        </w:rPr>
        <w:t>专业实验室：新建、扩建P3、P4生物安全实验室项目。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二、核与辐射建设项目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除生态环境部负责审批环境影响评价文件的建设项目外，跨盟市的建设项目和以下核与辐射建设项目由自治区生态环境厅负责审批。</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放射性同位素：全部项目。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射线装置：全部项目。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达到伴生放射性矿鉴定标准的16类矿产资源开发利用：稀土、锆及氧化锆、铌/钽、锡、铝、铅/锌、铜、铁、钒、钼、镍、锗、钛、金矿开采、选矿、冶炼项目</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磷酸盐开采、选矿和直接以磷酸盐为原料的加工活动项目</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煤开采、选矿项目。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输变电工程：220千伏及以上的全部项目。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广播电台、差转台、电视塔台、卫星地球上行站、雷达：全部项目。</w:t>
      </w:r>
    </w:p>
    <w:p>
      <w:pPr>
        <w:keepNext w:val="0"/>
        <w:keepLines w:val="0"/>
        <w:pageBreakBefore w:val="0"/>
        <w:widowControl w:val="0"/>
        <w:kinsoku/>
        <w:wordWrap/>
        <w:overflowPunct/>
        <w:topLinePunct/>
        <w:autoSpaceDE/>
        <w:autoSpaceDN/>
        <w:bidi w:val="0"/>
        <w:adjustRightInd/>
        <w:snapToGrid/>
        <w:spacing w:line="612"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放射性污染治理项目：核技术利用的放射性污染治理项目；伴生放射性矿开发利用的放射性污染治理项目。</w:t>
      </w:r>
    </w:p>
    <w:p>
      <w:pPr>
        <w:keepNext w:val="0"/>
        <w:keepLines w:val="0"/>
        <w:pageBreakBefore w:val="0"/>
        <w:widowControl w:val="0"/>
        <w:kinsoku/>
        <w:wordWrap/>
        <w:overflowPunct/>
        <w:topLinePunct/>
        <w:autoSpaceDE/>
        <w:autoSpaceDN/>
        <w:bidi w:val="0"/>
        <w:adjustRightInd/>
        <w:snapToGrid/>
        <w:spacing w:line="610" w:lineRule="exact"/>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核设施内新建、改建、扩建不涉核的建设项目。</w:t>
      </w:r>
    </w:p>
    <w:p>
      <w:pPr>
        <w:keepNext w:val="0"/>
        <w:keepLines w:val="0"/>
        <w:pageBreakBefore w:val="0"/>
        <w:widowControl w:val="0"/>
        <w:kinsoku/>
        <w:wordWrap/>
        <w:overflowPunct/>
        <w:topLinePunct/>
        <w:autoSpaceDE/>
        <w:autoSpaceDN/>
        <w:bidi w:val="0"/>
        <w:adjustRightInd/>
        <w:snapToGrid/>
        <w:spacing w:line="610" w:lineRule="exact"/>
        <w:ind w:firstLine="640"/>
        <w:textAlignment w:val="auto"/>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三、有关说明</w:t>
      </w:r>
    </w:p>
    <w:p>
      <w:pPr>
        <w:keepNext w:val="0"/>
        <w:keepLines w:val="0"/>
        <w:pageBreakBefore w:val="0"/>
        <w:widowControl w:val="0"/>
        <w:kinsoku/>
        <w:wordWrap/>
        <w:overflowPunct/>
        <w:topLinePunct/>
        <w:autoSpaceDE/>
        <w:autoSpaceDN/>
        <w:bidi w:val="0"/>
        <w:adjustRightInd/>
        <w:snapToGrid/>
        <w:spacing w:line="610" w:lineRule="exact"/>
        <w:ind w:firstLine="668"/>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（一）一般建设项目类别后的3位或4位数字为《国民经济行业分类》</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GB</w:t>
      </w:r>
      <w:r>
        <w:rPr>
          <w:rFonts w:hint="eastAsia" w:ascii="仿宋" w:hAnsi="仿宋" w:eastAsia="仿宋" w:cs="仿宋"/>
          <w:b w:val="0"/>
          <w:bCs w:val="0"/>
          <w:spacing w:val="0"/>
          <w:sz w:val="32"/>
          <w:szCs w:val="32"/>
          <w:lang w:val="en-US" w:eastAsia="zh-CN"/>
        </w:rPr>
        <w:t>/</w:t>
      </w:r>
      <w:r>
        <w:rPr>
          <w:rFonts w:hint="eastAsia" w:ascii="仿宋" w:hAnsi="仿宋" w:eastAsia="仿宋" w:cs="仿宋"/>
          <w:b w:val="0"/>
          <w:bCs w:val="0"/>
          <w:spacing w:val="0"/>
          <w:sz w:val="32"/>
          <w:szCs w:val="32"/>
        </w:rPr>
        <w:t>T4754-2017</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rPr>
        <w:t>及第1号修改单行业代码。</w:t>
      </w:r>
    </w:p>
    <w:p>
      <w:pPr>
        <w:pStyle w:val="2"/>
        <w:keepNext w:val="0"/>
        <w:keepLines w:val="0"/>
        <w:pageBreakBefore w:val="0"/>
        <w:widowControl w:val="0"/>
        <w:kinsoku/>
        <w:wordWrap/>
        <w:overflowPunct/>
        <w:topLinePunct/>
        <w:autoSpaceDE/>
        <w:autoSpaceDN/>
        <w:bidi w:val="0"/>
        <w:adjustRightInd/>
        <w:snapToGrid/>
        <w:spacing w:line="610" w:lineRule="exact"/>
        <w:ind w:firstLine="668"/>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（二）“全部”指建设性质为新建、改建、扩建、技术改造的各类建设项目。</w:t>
      </w:r>
    </w:p>
    <w:p>
      <w:pPr>
        <w:pStyle w:val="2"/>
        <w:keepNext w:val="0"/>
        <w:keepLines w:val="0"/>
        <w:pageBreakBefore w:val="0"/>
        <w:widowControl w:val="0"/>
        <w:kinsoku/>
        <w:wordWrap/>
        <w:overflowPunct/>
        <w:topLinePunct/>
        <w:autoSpaceDE/>
        <w:autoSpaceDN/>
        <w:bidi w:val="0"/>
        <w:adjustRightInd/>
        <w:snapToGrid/>
        <w:spacing w:line="610" w:lineRule="exact"/>
        <w:ind w:left="0" w:leftChars="0" w:firstLine="640" w:firstLineChars="200"/>
        <w:textAlignment w:val="auto"/>
        <w:rPr>
          <w:rFonts w:hint="eastAsia" w:ascii="仿宋" w:hAnsi="仿宋" w:eastAsia="仿宋" w:cs="仿宋"/>
          <w:b w:val="0"/>
          <w:bCs w:val="0"/>
          <w:color w:val="000000"/>
          <w:spacing w:val="0"/>
          <w:sz w:val="32"/>
          <w:szCs w:val="32"/>
        </w:rPr>
      </w:pPr>
      <w:r>
        <w:rPr>
          <w:rFonts w:hint="eastAsia" w:ascii="仿宋" w:hAnsi="仿宋" w:eastAsia="仿宋" w:cs="仿宋"/>
          <w:b w:val="0"/>
          <w:bCs w:val="0"/>
          <w:spacing w:val="0"/>
          <w:sz w:val="32"/>
          <w:szCs w:val="32"/>
        </w:rPr>
        <w:t>（三）《生态环境</w:t>
      </w:r>
      <w:r>
        <w:rPr>
          <w:rFonts w:hint="eastAsia" w:ascii="仿宋" w:hAnsi="仿宋" w:eastAsia="仿宋" w:cs="仿宋"/>
          <w:b w:val="0"/>
          <w:bCs w:val="0"/>
          <w:spacing w:val="-6"/>
          <w:sz w:val="32"/>
          <w:szCs w:val="32"/>
        </w:rPr>
        <w:t>部审批环境影响评价文件的建设项目目录》</w:t>
      </w:r>
      <w:r>
        <w:rPr>
          <w:rFonts w:hint="eastAsia" w:ascii="仿宋" w:hAnsi="仿宋" w:eastAsia="仿宋" w:cs="仿宋"/>
          <w:b w:val="0"/>
          <w:bCs w:val="0"/>
          <w:spacing w:val="0"/>
          <w:sz w:val="32"/>
          <w:szCs w:val="32"/>
        </w:rPr>
        <w:t>有最新调整的，从其规定执行。</w:t>
      </w:r>
    </w:p>
    <w:bookmarkEnd w:id="2"/>
    <w:p>
      <w:pPr>
        <w:pStyle w:val="2"/>
        <w:rPr>
          <w:rFonts w:hint="eastAsia" w:ascii="仿宋_GB2312"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5" w:firstLineChars="2"/>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34" w:firstLineChars="405"/>
        <w:textAlignment w:val="auto"/>
        <w:rPr>
          <w:rFonts w:hint="eastAsia"/>
        </w:rPr>
      </w:pPr>
      <w:r>
        <w:rPr>
          <w:rFonts w:hint="eastAsia" w:ascii="仿宋" w:hAnsi="仿宋" w:eastAsia="仿宋" w:cs="仿宋"/>
          <w:sz w:val="28"/>
          <w:szCs w:val="28"/>
        </w:rPr>
        <w:t>各人民团体，新闻单位。</w:t>
      </w:r>
      <w:bookmarkStart w:id="0" w:name="印章"/>
      <w:bookmarkEnd w:id="0"/>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71320" cy="520700"/>
                                  <wp:effectExtent l="0" t="0" r="5080" b="12700"/>
                                  <wp:docPr id="2" name="图片 3" descr="C:\Users\Administrator\Desktop\NZZ238.jpgNZZ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38.jpgNZZ238"/>
                                          <pic:cNvPicPr>
                                            <a:picLocks noChangeAspect="1"/>
                                          </pic:cNvPicPr>
                                        </pic:nvPicPr>
                                        <pic:blipFill>
                                          <a:blip r:embed="rId15"/>
                                          <a:stretch>
                                            <a:fillRect/>
                                          </a:stretch>
                                        </pic:blipFill>
                                        <pic:spPr>
                                          <a:xfrm>
                                            <a:off x="0" y="0"/>
                                            <a:ext cx="1671320" cy="52070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71320" cy="520700"/>
                            <wp:effectExtent l="0" t="0" r="5080" b="12700"/>
                            <wp:docPr id="2" name="图片 3" descr="C:\Users\Administrator\Desktop\NZZ238.jpgNZZ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Z238.jpgNZZ238"/>
                                    <pic:cNvPicPr>
                                      <a:picLocks noChangeAspect="1"/>
                                    </pic:cNvPicPr>
                                  </pic:nvPicPr>
                                  <pic:blipFill>
                                    <a:blip r:embed="rId15"/>
                                    <a:stretch>
                                      <a:fillRect/>
                                    </a:stretch>
                                  </pic:blipFill>
                                  <pic:spPr>
                                    <a:xfrm>
                                      <a:off x="0" y="0"/>
                                      <a:ext cx="1671320" cy="520700"/>
                                    </a:xfrm>
                                    <a:prstGeom prst="rect">
                                      <a:avLst/>
                                    </a:prstGeom>
                                    <a:noFill/>
                                    <a:ln>
                                      <a:noFill/>
                                    </a:ln>
                                  </pic:spPr>
                                </pic:pic>
                              </a:graphicData>
                            </a:graphic>
                          </wp:inline>
                        </w:drawing>
                      </w:r>
                    </w:p>
                  </w:txbxContent>
                </v:textbox>
              </v:shape>
            </w:pict>
          </mc:Fallback>
        </mc:AlternateContent>
      </w:r>
    </w:p>
    <w:sectPr>
      <w:headerReference r:id="rId10" w:type="first"/>
      <w:footerReference r:id="rId13" w:type="first"/>
      <w:headerReference r:id="rId8" w:type="default"/>
      <w:footerReference r:id="rId11" w:type="default"/>
      <w:headerReference r:id="rId9" w:type="even"/>
      <w:footerReference r:id="rId12" w:type="even"/>
      <w:pgSz w:w="11906" w:h="16838"/>
      <w:pgMar w:top="2041" w:right="1935" w:bottom="1871"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UbQ2q8BAABMAwAADgAAAGRycy9lMm9Eb2MueG1srVPNahsxEL4H+g5C&#10;91prQ4N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PPKXHc4oj2D3/2j8/7p99k+iX3pw+xxrTbgIlp+OYHnPPoj+jMsgcFNn9R&#10;EME4dnp36q4cEhH50Xw2n1cYEhgbL4jPXp8HiOm79JZko6GA4ytd5dubmA6pY0qu5vyVNqaM0Lh3&#10;DsTMHpa5HzhmKw2r4Sho5dsd6ulx8g11uJqUmGuHjc1LMhowGqvR2ATQ665sUa4Xw9dNQhKFW65w&#10;gD0WxpEVdcf1yjvx9l6yXn+C5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UbQ2q8BAABM&#10;AwAADgAAAAAAAAABACAAAAAeAQAAZHJzL2Uyb0RvYy54bWxQSwUGAAAAAAYABgBZAQAAP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6+zPa8BAABMAwAADgAAAGRycy9lMm9Eb2MueG1srVNLbtswEN0HyB0I&#10;7mvKXqSGYDlIEKQIUDQFkhyApkiLAH/g0JZ8geYGXXXTfc/lc2RIW07S7IpuqOHM8M17M6PF5WAN&#10;2coI2ruGTicVJdIJ32q3bujT4+2nOSWQuGu58U42dCeBXi7PzxZ9qOXMd960MhIEcVD3oaFdSqFm&#10;DEQnLYeJD9JhUPloecJrXLM28h7RrWGzqrpgvY9tiF5IAPTeHIJ0WfCVkiLdKwUyEdNQ5JbKGcu5&#10;yidbLni9jjx0Whxp8H9gYbl2WPQEdcMTJ5uoP0BZLaIHr9JEeMu8UlrIogHVTKu/1Dx0PMiiBZsD&#10;4dQm+H+w4tv2eyS6behnShy3OKL9z+f9rz/73z/I9CL3pw9QY9pDwMQ0XPsB5zz6AZ1Z9qCizV8U&#10;RDCOnd6duiuHRER+NJ/N5xWGBMbGC+Kz1+chQvoivSXZaGjE8ZWu8u1XSIfUMSVXc/5WG1NGaNw7&#10;B2JmD8vcDxyzlYbVcBS08u0O9fQ4+YY6XE1KzJ3DxuYlGY04GqvR2ISo113ZolwPwtUmIYnCLVc4&#10;wB4L48iKuuN65Z14ey9Zrz/B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96+zPa8BAABM&#10;AwAADgAAAAAAAAABACAAAAAeAQAAZHJzL2Uyb0RvYy54bWxQSwUGAAAAAAYABgBZAQAAPwU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ascii="Calibri" w:hAnsi="Calibri" w:cs="黑体"/>
        <w:sz w:val="21"/>
        <w:szCs w:val="24"/>
      </w:rPr>
      <w:drawing>
        <wp:inline distT="0" distB="0" distL="114300" distR="114300">
          <wp:extent cx="5628005" cy="76200"/>
          <wp:effectExtent l="0" t="0" r="1079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tretch>
                    <a:fillRect/>
                  </a:stretch>
                </pic:blipFill>
                <pic:spPr>
                  <a:xfrm>
                    <a:off x="0" y="0"/>
                    <a:ext cx="5628005" cy="76200"/>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5207635</wp:posOffset>
              </wp:positionH>
              <wp:positionV relativeFrom="paragraph">
                <wp:posOffset>-228600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left:410.05pt;margin-top:-18pt;height:144pt;width:144pt;mso-position-horizontal-relative:margin;mso-wrap-style:none;z-index:251658240;mso-width-relative:page;mso-height-relative:page;" filled="f" stroked="f" coordsize="21600,21600" o:gfxdata="UEsDBAoAAAAAAIdO4kAAAAAAAAAAAAAAAAAEAAAAZHJzL1BLAwQUAAAACACHTuJA5Wqy9tcAAAAM&#10;AQAADwAAAGRycy9kb3ducmV2LnhtbE2PPU/DMBCGdyT+g3WV2Fo7QZQo5NKhEgsbBSF1c+NrHNUf&#10;ke2myb/HnWC8u0fvPW+zm61hE4U4eIdQbAQwcp1Xg+sRvr/e1xWwmKRT0nhHCAtF2LWPD42slb+5&#10;T5oOqWc5xMVaIuiUxprz2GmyMm78SC7fzj5YmfIYeq6CvOVwa3gpxJZbObj8QcuR9pq6y+FqEV7n&#10;H09jpD0dz1MX9LBU5mNBfFoV4g1Yojn9wXDXz+rQZqeTvzoVmUGoSlFkFGH9vM2l7kQhqrw6IZQv&#10;pQDeNvx/ifYXUEsDBBQAAAAIAIdO4kAvpi/swwEAAHEDAAAOAAAAZHJzL2Uyb0RvYy54bWytU0tu&#10;2zAQ3RfoHQjua8kuUBiC6SBpkCBAkRZIewCaIi0C/GFIW3IO0N6gq26677l8jg4py+5nV3RDDWeG&#10;M2/ePK2uBmvIXkLU3jE6n9WUSCd8q92W0U8f714tKYmJu5Yb7ySjBxnp1frli1UfGrnwnTetBIJF&#10;XGz6wGiXUmiqKopOWh5nPkiHQeXB8oRX2FYt8B6rW1Mt6vpN1XtoA3ghY0Tv7Rik61JfKSnSe6Wi&#10;TMQwithSOaGcm3xW6xVvtsBDp8UJBv8HFJZrh03PpW554mQH+q9SVgvw0as0E95WXiktZJkBp5nX&#10;f0zz1PEgyyxITgxnmuL/Kyse9x+A6JbR15Q4bnFFx69fjt9+HL9/JvPCTx9ig2lPARPTcOMH3HPm&#10;LfsjOvPYgwKbvzgQwTgyfTizK4dERH60XCyXNYYExqYL1qkuzwPEdC+9JdlgFHB9hVW+fxfTmDql&#10;5G7O32ljygqN+82BNbOnumDMVho2wwn4xrcHnAeVi306D8+U9KgCRh3KlBLz4JDkLJjJgMnYTAZ3&#10;Ah8ymigZzbdpFNYugN52RWoZVAzXu4RIywAZxtj7hA73Wig4aTAL59d7ybr8K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5Wqy9tcAAAAMAQAADwAAAAAAAAABACAAAAAiAAAAZHJzL2Rvd25yZXYu&#10;eG1sUEsBAhQAFAAAAAgAh07iQC+mL+zDAQAAcQMAAA4AAAAAAAAAAQAgAAAAJgEAAGRycy9lMm9E&#10;b2MueG1sUEsFBgAAAAAGAAYAWQEAAFsFAAAAAA==&#10;">
              <v:fill on="f" focussize="0,0"/>
              <v:stroke on="f"/>
              <v:imagedata o:title=""/>
              <o:lock v:ext="edit" aspectratio="f"/>
              <v:textbox inset="0mm,0mm,0mm,0mm" style="mso-fit-shape-to-text:t;">
                <w:txbxContent>
                  <w:p>
                    <w:pPr>
                      <w:pStyle w:val="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-194310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left:0pt;margin-top:-15.3pt;height:144pt;width:144pt;mso-position-horizontal-relative:margin;mso-wrap-style:none;z-index:251659264;mso-width-relative:page;mso-height-relative:page;" filled="f" stroked="f" coordsize="21600,21600" o:gfxdata="UEsDBAoAAAAAAIdO4kAAAAAAAAAAAAAAAAAEAAAAZHJzL1BLAwQUAAAACACHTuJAs4MY29UAAAAI&#10;AQAADwAAAGRycy9kb3ducmV2LnhtbE2PMU/DMBCFdyT+g3VIbK3dAm2UxulQiYWNgpDY3PgaR7XP&#10;Ueymyb/nmGC7u/f07nvVfgpejDikLpKG1VKBQGqi7ajV8PnxuihApGzIGh8JNcyYYF/f31WmtPFG&#10;7zgecys4hFJpNLic+1LK1DgMJi1jj8TaOQ7BZF6HVtrB3Dg8eLlWaiOD6Yg/ONPjwWFzOV6Dhu30&#10;FbFPeMDv89gMrpsL/zZr/fiwUjsQGaf8Z4ZffEaHmplO8Uo2Ca+Bi2QNiye1AcHyuij4cuLhZfsM&#10;sq7k/wL1D1BLAwQUAAAACACHTuJAqEA0i8MBAABxAwAADgAAAGRycy9lMm9Eb2MueG1srVNNrhMx&#10;DN4jcYcoe5pphVA1avoEPD2EhADpwQHSTNKJlMRRknamHABuwIoNe87Vc+BkOn387BCbjGM79vfZ&#10;32xuRmfJUcVkwHO6XDSUKC+hM37P6ccPd0/WlKQsfCcseMXpSSV6s338aDOEVq2gB9upSLCIT+0Q&#10;OO1zDi1jSfbKibSAoDwGNUQnMl7jnnVRDFjdWbZqmmdsgNiFCFKlhN7bKUi3tb7WSuZ3WieVieUU&#10;seV6xnruysm2G9Huowi9kRcY4h9QOGE8Nr2WuhVZkEM0f5VyRkZIoPNCgmOgtZGqckA2y+YPNve9&#10;CKpyweGkcB1T+n9l5dvj+0hMx+lTSrxwuKLz1y/nbz/O3z+T5bLMZwipxbT7gIl5fAEj7nn2J3QW&#10;2qOOrnyREME4Tvp0na4aM5Hl0Xq1XjcYkhibL1ifPTwPMeVXChwpBqcR11enKo5vUp5S55TSzcOd&#10;sbau0PrfHFizeFjBPmEsVh5344XQDroT8kHlYp8e4idKBlQBpx5lSol97XHIRTCzEWdjNxvCS3zI&#10;aaZkMl/mSViHEM2+r1IroFJ4fsiItBIoMKbeF3S41zqCiwaLcH6916yHP2X7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ODGNvVAAAACAEAAA8AAAAAAAAAAQAgAAAAIgAAAGRycy9kb3ducmV2Lnht&#10;bFBLAQIUABQAAAAIAIdO4kCoQDSLwwEAAHEDAAAOAAAAAAAAAAEAIAAAACQBAABkcnMvZTJvRG9j&#10;LnhtbFBLBQYAAAAABgAGAFkBAABZBQ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-240030</wp:posOffset>
              </wp:positionV>
              <wp:extent cx="1828800"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18.9pt;height:144pt;width:144pt;mso-position-horizontal:outside;mso-position-horizontal-relative:margin;mso-wrap-style:none;z-index:251663360;mso-width-relative:page;mso-height-relative:page;" filled="f" stroked="f" coordsize="21600,21600" o:gfxdata="UEsDBAoAAAAAAIdO4kAAAAAAAAAAAAAAAAAEAAAAZHJzL1BLAwQUAAAACACHTuJAoQC82dQAAAAI&#10;AQAADwAAAGRycy9kb3ducmV2LnhtbE2PMU/DMBCFdyT+g3WV2Fq7QdAoxOlQiYWNgpDY3PgaR43P&#10;ke2myb/nmGC7u/f07nv1fvaDmDCmPpCG7UaBQGqD7anT8Pnxui5BpGzImiEQalgwwb65v6tNZcON&#10;3nE65k5wCKXKaHA5j5WUqXXoTdqEEYm1c4jeZF5jJ200Nw73gyyUepbe9MQfnBnx4LC9HK9ew27+&#10;CjgmPOD3eWqj65dyeFu0flht1QuIjHP+M8MvPqNDw0yncCWbxKCBi2QN68cdF2C5KEu+nHh4UgXI&#10;ppb/CzQ/UEsDBBQAAAAIAIdO4kChs5HNwQEAAHEDAAAOAAAAZHJzL2Uyb0RvYy54bWytU0Gu0zAQ&#10;3SNxB8t76vwuUBXV/QK+PkJCgPThAK5jN5Zsj2W7TcoB4Aas2LDnXD0HY6dpP7BDbJzxzHjmzZuX&#10;9e3oLDmomAx4Tm8WDSXKS+iM33H66eP9sxUlKQvfCQtecXpUid5unj5ZD6FVS+jBdioSLOJTOwRO&#10;+5xDy1iSvXIiLSAoj0EN0YmM17hjXRQDVneWLZvmORsgdiGCVCmh924K0k2tr7WS+b3WSWViOUVs&#10;uZ6xnttyss1atLsoQm/kGYb4BxROGI9NL6XuRBZkH81fpZyRERLovJDgGGhtpKoz4DQ3zR/TPPQi&#10;qDoLkpPChab0/8rKd4cPkZiOU1yUFw5XdPr29fT95+nHF7Ks/AwhtZj2EDAxjy9hxD0X3oo/obOM&#10;PeroyhcHIhhHpo8XdtWYiSyPVsvVqsGQxNh8wTrs+jzElF8rcKQYnEZcX2VVHN6mPKXOKaWbh3tj&#10;bV2h9b85sGbxsCvGYuVxO56Bb6E74jyoXOzTQ/xMyYAq4NSjTCmxbzySXAQzG3E2trMhvMSHnGZK&#10;JvNVnoS1D9Hs+iq1AiqFF/uMSOsABcbU+4wO91opOGuwCOfxvWZd/5TN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EAvNnUAAAACAEAAA8AAAAAAAAAAQAgAAAAIgAAAGRycy9kb3ducmV2LnhtbFBL&#10;AQIUABQAAAAIAIdO4kChs5HNwQEAAHEDAAAOAAAAAAAAAAEAIAAAACMBAABkcnMvZTJvRG9jLnht&#10;bFBLBQYAAAAABgAGAFkBAABW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C1AA3"/>
    <w:multiLevelType w:val="singleLevel"/>
    <w:tmpl w:val="FF3C1A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7D4A"/>
    <w:rsid w:val="0004114A"/>
    <w:rsid w:val="00057363"/>
    <w:rsid w:val="00062727"/>
    <w:rsid w:val="00074695"/>
    <w:rsid w:val="00085F06"/>
    <w:rsid w:val="00086644"/>
    <w:rsid w:val="00090C56"/>
    <w:rsid w:val="000B3848"/>
    <w:rsid w:val="000C19E6"/>
    <w:rsid w:val="000C67FC"/>
    <w:rsid w:val="00104FD5"/>
    <w:rsid w:val="00105B76"/>
    <w:rsid w:val="0011471C"/>
    <w:rsid w:val="00124049"/>
    <w:rsid w:val="00143AE0"/>
    <w:rsid w:val="00146EE3"/>
    <w:rsid w:val="0017443C"/>
    <w:rsid w:val="00176277"/>
    <w:rsid w:val="001774E2"/>
    <w:rsid w:val="001B074F"/>
    <w:rsid w:val="001B7709"/>
    <w:rsid w:val="00201952"/>
    <w:rsid w:val="00203445"/>
    <w:rsid w:val="002134C2"/>
    <w:rsid w:val="00220CB1"/>
    <w:rsid w:val="002347A2"/>
    <w:rsid w:val="00246C99"/>
    <w:rsid w:val="00247D67"/>
    <w:rsid w:val="002725EA"/>
    <w:rsid w:val="00275388"/>
    <w:rsid w:val="00277BD5"/>
    <w:rsid w:val="002856B5"/>
    <w:rsid w:val="002C5ABA"/>
    <w:rsid w:val="002D4B7D"/>
    <w:rsid w:val="002D79E5"/>
    <w:rsid w:val="00302982"/>
    <w:rsid w:val="00305DF9"/>
    <w:rsid w:val="00307989"/>
    <w:rsid w:val="00322404"/>
    <w:rsid w:val="00323128"/>
    <w:rsid w:val="003238DF"/>
    <w:rsid w:val="00330F66"/>
    <w:rsid w:val="00337358"/>
    <w:rsid w:val="003404B0"/>
    <w:rsid w:val="003410AF"/>
    <w:rsid w:val="00341F6C"/>
    <w:rsid w:val="00351C78"/>
    <w:rsid w:val="00351DB4"/>
    <w:rsid w:val="003549D0"/>
    <w:rsid w:val="0035706E"/>
    <w:rsid w:val="00365B2B"/>
    <w:rsid w:val="003725D7"/>
    <w:rsid w:val="00376B4C"/>
    <w:rsid w:val="00381DD7"/>
    <w:rsid w:val="00385B36"/>
    <w:rsid w:val="003B35B7"/>
    <w:rsid w:val="003B7E04"/>
    <w:rsid w:val="00401A07"/>
    <w:rsid w:val="00414203"/>
    <w:rsid w:val="00415546"/>
    <w:rsid w:val="00425576"/>
    <w:rsid w:val="004272C2"/>
    <w:rsid w:val="00434CD2"/>
    <w:rsid w:val="00444154"/>
    <w:rsid w:val="00463DDD"/>
    <w:rsid w:val="00483E09"/>
    <w:rsid w:val="00492129"/>
    <w:rsid w:val="004932B4"/>
    <w:rsid w:val="004B1A44"/>
    <w:rsid w:val="004B2561"/>
    <w:rsid w:val="004C119D"/>
    <w:rsid w:val="004E1CA8"/>
    <w:rsid w:val="004E201A"/>
    <w:rsid w:val="004F5932"/>
    <w:rsid w:val="00504176"/>
    <w:rsid w:val="005163A1"/>
    <w:rsid w:val="00541514"/>
    <w:rsid w:val="00553A08"/>
    <w:rsid w:val="00554135"/>
    <w:rsid w:val="00561030"/>
    <w:rsid w:val="0056162A"/>
    <w:rsid w:val="005815D3"/>
    <w:rsid w:val="005A2951"/>
    <w:rsid w:val="005B2184"/>
    <w:rsid w:val="005B5732"/>
    <w:rsid w:val="005D2741"/>
    <w:rsid w:val="005D2D65"/>
    <w:rsid w:val="005D457C"/>
    <w:rsid w:val="005D6C7E"/>
    <w:rsid w:val="005D6DD1"/>
    <w:rsid w:val="005E0597"/>
    <w:rsid w:val="006000F7"/>
    <w:rsid w:val="006048D6"/>
    <w:rsid w:val="006114C2"/>
    <w:rsid w:val="00615AB4"/>
    <w:rsid w:val="00623AAB"/>
    <w:rsid w:val="00652FDA"/>
    <w:rsid w:val="006532FE"/>
    <w:rsid w:val="00657861"/>
    <w:rsid w:val="006634B2"/>
    <w:rsid w:val="006817FD"/>
    <w:rsid w:val="006A6EAF"/>
    <w:rsid w:val="006B7C15"/>
    <w:rsid w:val="006C6EF2"/>
    <w:rsid w:val="006C787C"/>
    <w:rsid w:val="00722390"/>
    <w:rsid w:val="0073079B"/>
    <w:rsid w:val="00732340"/>
    <w:rsid w:val="00755D27"/>
    <w:rsid w:val="00784776"/>
    <w:rsid w:val="00794744"/>
    <w:rsid w:val="007A24EA"/>
    <w:rsid w:val="007D3596"/>
    <w:rsid w:val="007E2AC1"/>
    <w:rsid w:val="007F516F"/>
    <w:rsid w:val="00824892"/>
    <w:rsid w:val="00825CE1"/>
    <w:rsid w:val="00826F14"/>
    <w:rsid w:val="00837E9D"/>
    <w:rsid w:val="008408A0"/>
    <w:rsid w:val="00855F79"/>
    <w:rsid w:val="00861E84"/>
    <w:rsid w:val="00895CD0"/>
    <w:rsid w:val="008A02A1"/>
    <w:rsid w:val="008B7BB4"/>
    <w:rsid w:val="008D1DD0"/>
    <w:rsid w:val="008E482C"/>
    <w:rsid w:val="008E4FB0"/>
    <w:rsid w:val="00914A6B"/>
    <w:rsid w:val="0091691F"/>
    <w:rsid w:val="00935914"/>
    <w:rsid w:val="00943325"/>
    <w:rsid w:val="00946637"/>
    <w:rsid w:val="0097243D"/>
    <w:rsid w:val="00981219"/>
    <w:rsid w:val="00983324"/>
    <w:rsid w:val="009958DA"/>
    <w:rsid w:val="00995BF2"/>
    <w:rsid w:val="009966F3"/>
    <w:rsid w:val="009B551A"/>
    <w:rsid w:val="009C253A"/>
    <w:rsid w:val="009C7DC5"/>
    <w:rsid w:val="009D26AC"/>
    <w:rsid w:val="009D5E5D"/>
    <w:rsid w:val="009E408C"/>
    <w:rsid w:val="009F4D6D"/>
    <w:rsid w:val="00A03890"/>
    <w:rsid w:val="00A15138"/>
    <w:rsid w:val="00A37C72"/>
    <w:rsid w:val="00A4158C"/>
    <w:rsid w:val="00A565C3"/>
    <w:rsid w:val="00A82698"/>
    <w:rsid w:val="00AB4480"/>
    <w:rsid w:val="00AC3BB4"/>
    <w:rsid w:val="00AD5330"/>
    <w:rsid w:val="00AE3288"/>
    <w:rsid w:val="00AF4A06"/>
    <w:rsid w:val="00B32830"/>
    <w:rsid w:val="00B33ED2"/>
    <w:rsid w:val="00B52F22"/>
    <w:rsid w:val="00B558E6"/>
    <w:rsid w:val="00B60C52"/>
    <w:rsid w:val="00B67AA2"/>
    <w:rsid w:val="00B703B5"/>
    <w:rsid w:val="00B8542C"/>
    <w:rsid w:val="00B90258"/>
    <w:rsid w:val="00BA673F"/>
    <w:rsid w:val="00BA688B"/>
    <w:rsid w:val="00BA7D46"/>
    <w:rsid w:val="00BC2012"/>
    <w:rsid w:val="00BC5D13"/>
    <w:rsid w:val="00BE1E84"/>
    <w:rsid w:val="00BE41F1"/>
    <w:rsid w:val="00C113E5"/>
    <w:rsid w:val="00C17D51"/>
    <w:rsid w:val="00C20E96"/>
    <w:rsid w:val="00C2394D"/>
    <w:rsid w:val="00C27E82"/>
    <w:rsid w:val="00C3225F"/>
    <w:rsid w:val="00C45BDE"/>
    <w:rsid w:val="00C4759B"/>
    <w:rsid w:val="00C61F9D"/>
    <w:rsid w:val="00C675E6"/>
    <w:rsid w:val="00C809B3"/>
    <w:rsid w:val="00CB0B2B"/>
    <w:rsid w:val="00CB4FFE"/>
    <w:rsid w:val="00CB6919"/>
    <w:rsid w:val="00CB780D"/>
    <w:rsid w:val="00CC1415"/>
    <w:rsid w:val="00CC7BEA"/>
    <w:rsid w:val="00CD2899"/>
    <w:rsid w:val="00CD5F4C"/>
    <w:rsid w:val="00CE3E35"/>
    <w:rsid w:val="00D02728"/>
    <w:rsid w:val="00D15A21"/>
    <w:rsid w:val="00D20B6D"/>
    <w:rsid w:val="00D24FF7"/>
    <w:rsid w:val="00D3538A"/>
    <w:rsid w:val="00D3579F"/>
    <w:rsid w:val="00D4467C"/>
    <w:rsid w:val="00D47771"/>
    <w:rsid w:val="00D661F4"/>
    <w:rsid w:val="00D8726D"/>
    <w:rsid w:val="00DA31E0"/>
    <w:rsid w:val="00DB33AC"/>
    <w:rsid w:val="00DC2EBB"/>
    <w:rsid w:val="00DD4FCD"/>
    <w:rsid w:val="00DD700A"/>
    <w:rsid w:val="00DF62D9"/>
    <w:rsid w:val="00E00204"/>
    <w:rsid w:val="00E10413"/>
    <w:rsid w:val="00E2150F"/>
    <w:rsid w:val="00E257B7"/>
    <w:rsid w:val="00E32829"/>
    <w:rsid w:val="00E4444A"/>
    <w:rsid w:val="00E479D1"/>
    <w:rsid w:val="00E751C2"/>
    <w:rsid w:val="00E8606B"/>
    <w:rsid w:val="00EC2E25"/>
    <w:rsid w:val="00EC7062"/>
    <w:rsid w:val="00ED1E83"/>
    <w:rsid w:val="00ED450A"/>
    <w:rsid w:val="00EE261F"/>
    <w:rsid w:val="00EF2903"/>
    <w:rsid w:val="00EF58E6"/>
    <w:rsid w:val="00EF62B6"/>
    <w:rsid w:val="00F02695"/>
    <w:rsid w:val="00F029CB"/>
    <w:rsid w:val="00F13DA5"/>
    <w:rsid w:val="00F148B7"/>
    <w:rsid w:val="00F24422"/>
    <w:rsid w:val="00F261C0"/>
    <w:rsid w:val="00F27145"/>
    <w:rsid w:val="00F332D4"/>
    <w:rsid w:val="00F71128"/>
    <w:rsid w:val="00F73BD5"/>
    <w:rsid w:val="00F92861"/>
    <w:rsid w:val="00F94438"/>
    <w:rsid w:val="00F95A50"/>
    <w:rsid w:val="00FA185B"/>
    <w:rsid w:val="00FC3CB4"/>
    <w:rsid w:val="00FD29FB"/>
    <w:rsid w:val="00FD74CD"/>
    <w:rsid w:val="00FF7C87"/>
    <w:rsid w:val="031A556A"/>
    <w:rsid w:val="03F32506"/>
    <w:rsid w:val="04AA0D99"/>
    <w:rsid w:val="05BD7255"/>
    <w:rsid w:val="07056611"/>
    <w:rsid w:val="082E6590"/>
    <w:rsid w:val="0839301D"/>
    <w:rsid w:val="08B90D15"/>
    <w:rsid w:val="08E635FF"/>
    <w:rsid w:val="096B5EE5"/>
    <w:rsid w:val="09B44ACE"/>
    <w:rsid w:val="0A1149A8"/>
    <w:rsid w:val="0B0D2D51"/>
    <w:rsid w:val="0B882F93"/>
    <w:rsid w:val="0C1F674A"/>
    <w:rsid w:val="101D4F46"/>
    <w:rsid w:val="10A0343D"/>
    <w:rsid w:val="10AD75F5"/>
    <w:rsid w:val="13021A3C"/>
    <w:rsid w:val="17EEBE54"/>
    <w:rsid w:val="18960B5F"/>
    <w:rsid w:val="18FC4FCB"/>
    <w:rsid w:val="193A15E5"/>
    <w:rsid w:val="19B05857"/>
    <w:rsid w:val="1B0A0FAB"/>
    <w:rsid w:val="1CA71082"/>
    <w:rsid w:val="1F779FAC"/>
    <w:rsid w:val="1FDFAD49"/>
    <w:rsid w:val="200F4EAF"/>
    <w:rsid w:val="20455AAF"/>
    <w:rsid w:val="20B71572"/>
    <w:rsid w:val="20C22A3D"/>
    <w:rsid w:val="212F5750"/>
    <w:rsid w:val="217D23BA"/>
    <w:rsid w:val="245F58D5"/>
    <w:rsid w:val="25F53D01"/>
    <w:rsid w:val="27355263"/>
    <w:rsid w:val="27E04077"/>
    <w:rsid w:val="29255FCE"/>
    <w:rsid w:val="29340AB0"/>
    <w:rsid w:val="29851E6F"/>
    <w:rsid w:val="298E7245"/>
    <w:rsid w:val="29F00CC2"/>
    <w:rsid w:val="2A1E3217"/>
    <w:rsid w:val="2BB7150B"/>
    <w:rsid w:val="2C4E4819"/>
    <w:rsid w:val="2D6B7680"/>
    <w:rsid w:val="2E8567B2"/>
    <w:rsid w:val="30277111"/>
    <w:rsid w:val="34C81EFF"/>
    <w:rsid w:val="35775AFB"/>
    <w:rsid w:val="35798AD0"/>
    <w:rsid w:val="36193767"/>
    <w:rsid w:val="369026AE"/>
    <w:rsid w:val="3AA062AB"/>
    <w:rsid w:val="3B661F59"/>
    <w:rsid w:val="3BBD1B4B"/>
    <w:rsid w:val="3BF05289"/>
    <w:rsid w:val="3C3C26A9"/>
    <w:rsid w:val="3CA50283"/>
    <w:rsid w:val="3E78309A"/>
    <w:rsid w:val="3E8003A9"/>
    <w:rsid w:val="3F66B6EB"/>
    <w:rsid w:val="3FE0737E"/>
    <w:rsid w:val="3FFD2657"/>
    <w:rsid w:val="403F41DE"/>
    <w:rsid w:val="421552B7"/>
    <w:rsid w:val="42A33635"/>
    <w:rsid w:val="42DB7D5B"/>
    <w:rsid w:val="4343407E"/>
    <w:rsid w:val="437F309C"/>
    <w:rsid w:val="46AB2884"/>
    <w:rsid w:val="4B1D4D3A"/>
    <w:rsid w:val="4D904494"/>
    <w:rsid w:val="4DBC12BA"/>
    <w:rsid w:val="4DE930A5"/>
    <w:rsid w:val="4FC3731F"/>
    <w:rsid w:val="4FD33F1F"/>
    <w:rsid w:val="51106180"/>
    <w:rsid w:val="51B3397E"/>
    <w:rsid w:val="527D5010"/>
    <w:rsid w:val="534C7A6D"/>
    <w:rsid w:val="538B13CD"/>
    <w:rsid w:val="55B6104E"/>
    <w:rsid w:val="5A7B0E1A"/>
    <w:rsid w:val="5B77571F"/>
    <w:rsid w:val="5D413BC7"/>
    <w:rsid w:val="5FBD9DFE"/>
    <w:rsid w:val="5FC47C57"/>
    <w:rsid w:val="612A5090"/>
    <w:rsid w:val="63343419"/>
    <w:rsid w:val="6343530B"/>
    <w:rsid w:val="641225CF"/>
    <w:rsid w:val="651824F2"/>
    <w:rsid w:val="65F76D94"/>
    <w:rsid w:val="66BE452C"/>
    <w:rsid w:val="66E25E4A"/>
    <w:rsid w:val="67187B53"/>
    <w:rsid w:val="67C742AE"/>
    <w:rsid w:val="68C13D1E"/>
    <w:rsid w:val="692C3C2C"/>
    <w:rsid w:val="69AA7AA3"/>
    <w:rsid w:val="6ADE316A"/>
    <w:rsid w:val="6BEF12F9"/>
    <w:rsid w:val="6CFFDCF0"/>
    <w:rsid w:val="6D2B064A"/>
    <w:rsid w:val="6D9C62DE"/>
    <w:rsid w:val="6ECA521C"/>
    <w:rsid w:val="7087695B"/>
    <w:rsid w:val="71865C4E"/>
    <w:rsid w:val="723A7396"/>
    <w:rsid w:val="730A77FA"/>
    <w:rsid w:val="74386812"/>
    <w:rsid w:val="74FFC83E"/>
    <w:rsid w:val="753A46EC"/>
    <w:rsid w:val="75565234"/>
    <w:rsid w:val="75F20303"/>
    <w:rsid w:val="75FB8A7A"/>
    <w:rsid w:val="76073D53"/>
    <w:rsid w:val="76167F2F"/>
    <w:rsid w:val="76240541"/>
    <w:rsid w:val="76EE3139"/>
    <w:rsid w:val="770A462A"/>
    <w:rsid w:val="78807F9A"/>
    <w:rsid w:val="7A3D5649"/>
    <w:rsid w:val="7AFB466B"/>
    <w:rsid w:val="7BAD8CEB"/>
    <w:rsid w:val="7C445D56"/>
    <w:rsid w:val="7C7734A3"/>
    <w:rsid w:val="7CE73F90"/>
    <w:rsid w:val="7CEF13AD"/>
    <w:rsid w:val="7D1850A2"/>
    <w:rsid w:val="7D705487"/>
    <w:rsid w:val="7D8F4ED6"/>
    <w:rsid w:val="7DDA296D"/>
    <w:rsid w:val="7DDFF85D"/>
    <w:rsid w:val="7EFEC519"/>
    <w:rsid w:val="7F2265C1"/>
    <w:rsid w:val="97FFAF99"/>
    <w:rsid w:val="D7B7CA34"/>
    <w:rsid w:val="D7F6F5D7"/>
    <w:rsid w:val="DFFF1C9C"/>
    <w:rsid w:val="EAFF5D21"/>
    <w:rsid w:val="EFAF0B1C"/>
    <w:rsid w:val="F8F56BAE"/>
    <w:rsid w:val="F9DFAAD2"/>
    <w:rsid w:val="FABCA060"/>
    <w:rsid w:val="FDB62B4D"/>
    <w:rsid w:val="FF3F22CB"/>
    <w:rsid w:val="FF8FE887"/>
    <w:rsid w:val="FFFF15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customStyle="1" w:styleId="2">
    <w:name w:val="列出段落1"/>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styleId="9">
    <w:name w:val="Emphasis"/>
    <w:qFormat/>
    <w:uiPriority w:val="0"/>
    <w:rPr>
      <w:rFonts w:ascii="Times New Roman" w:hAnsi="Times New Roman" w:eastAsia="宋体" w:cs="Times New Roman"/>
      <w:i/>
    </w:rPr>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 w:type="character" w:customStyle="1" w:styleId="12">
    <w:name w:val="fontstyle31"/>
    <w:qFormat/>
    <w:uiPriority w:val="0"/>
    <w:rPr>
      <w:rFonts w:hint="default" w:ascii="仿宋" w:hAnsi="仿宋" w:eastAsia="宋体"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9</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dcterms:modified xsi:type="dcterms:W3CDTF">2024-12-23T07:02:16Z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