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2088"/>
        </w:tabs>
        <w:spacing w:line="240" w:lineRule="auto"/>
        <w:jc w:val="left"/>
        <w:rPr>
          <w:rFonts w:ascii="方正小标宋简体" w:hAnsi="宋体" w:eastAsia="方正小标宋简体" w:cs="仿宋"/>
          <w:sz w:val="44"/>
          <w:szCs w:val="44"/>
        </w:rPr>
      </w:pPr>
      <w:r>
        <w:rPr>
          <w:rFonts w:hint="eastAsia" w:ascii="方正小标宋简体" w:hAnsi="宋体" w:eastAsia="方正小标宋简体" w:cs="仿宋"/>
          <w:sz w:val="44"/>
          <w:szCs w:val="44"/>
        </w:rPr>
        <w:drawing>
          <wp:anchor distT="0" distB="0" distL="114300" distR="114300" simplePos="0" relativeHeight="251666432" behindDoc="0" locked="0" layoutInCell="1" allowOverlap="1">
            <wp:simplePos x="0" y="0"/>
            <wp:positionH relativeFrom="column">
              <wp:posOffset>-972185</wp:posOffset>
            </wp:positionH>
            <wp:positionV relativeFrom="paragraph">
              <wp:posOffset>-1331595</wp:posOffset>
            </wp:positionV>
            <wp:extent cx="7933055" cy="10704830"/>
            <wp:effectExtent l="0" t="0" r="17145" b="13970"/>
            <wp:wrapSquare wrapText="bothSides"/>
            <wp:docPr id="13" name="图片 47" descr="/Users/lianbo/Desktop/2821680256002_.pic.jpg2821680256002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7" descr="/Users/lianbo/Desktop/2821680256002_.pic.jpg2821680256002_.pic"/>
                    <pic:cNvPicPr>
                      <a:picLocks noChangeAspect="1"/>
                    </pic:cNvPicPr>
                  </pic:nvPicPr>
                  <pic:blipFill>
                    <a:blip r:embed="rId14"/>
                    <a:srcRect/>
                    <a:stretch>
                      <a:fillRect/>
                    </a:stretch>
                  </pic:blipFill>
                  <pic:spPr>
                    <a:xfrm>
                      <a:off x="0" y="0"/>
                      <a:ext cx="7933055" cy="10704830"/>
                    </a:xfrm>
                    <a:prstGeom prst="rect">
                      <a:avLst/>
                    </a:prstGeom>
                    <a:noFill/>
                    <a:ln>
                      <a:noFill/>
                    </a:ln>
                  </pic:spPr>
                </pic:pic>
              </a:graphicData>
            </a:graphic>
          </wp:anchor>
        </w:drawing>
      </w:r>
    </w:p>
    <w:p>
      <w:pPr>
        <w:ind w:firstLine="640" w:firstLineChars="200"/>
        <w:rPr>
          <w:rFonts w:ascii="仿宋_GB2312" w:eastAsia="仿宋_GB2312"/>
          <w:szCs w:val="32"/>
        </w:rPr>
        <w:sectPr>
          <w:headerReference r:id="rId6" w:type="first"/>
          <w:footerReference r:id="rId8" w:type="first"/>
          <w:headerReference r:id="rId5" w:type="default"/>
          <w:footerReference r:id="rId7" w:type="default"/>
          <w:pgSz w:w="11906" w:h="16838"/>
          <w:pgMar w:top="2098" w:right="1531" w:bottom="1985" w:left="1531" w:header="851" w:footer="992" w:gutter="0"/>
          <w:cols w:space="720" w:num="1"/>
          <w:titlePg/>
          <w:docGrid w:type="lines" w:linePitch="435" w:charSpace="0"/>
        </w:sectPr>
      </w:pPr>
    </w:p>
    <w:p>
      <w:pPr>
        <w:topLinePunct/>
        <w:autoSpaceDE w:val="0"/>
        <w:ind w:firstLine="640" w:firstLineChars="200"/>
        <w:rPr>
          <w:rFonts w:ascii="方正仿宋简体" w:eastAsia="方正仿宋简体" w:cs="仿宋"/>
          <w:szCs w:val="32"/>
        </w:rPr>
      </w:pPr>
      <w:r>
        <w:rPr>
          <w:rFonts w:hint="eastAsia" w:ascii="仿宋_GB2312" w:hAnsi="等线" w:eastAsia="仿宋_GB2312"/>
          <w:szCs w:val="32"/>
        </w:rPr>
        <w:t>本年度报告根据《中华人民共和国政府信息公开条例》《国务院办公厅政府信息与政务公开办公室关于印发&lt;中华人民共和国政府信息公开工作年度报告格式&gt;的通知》（国办公开办函〔2021〕30号）要求制作。报告内容包括内蒙古自治区各级行政机关202</w:t>
      </w:r>
      <w:r>
        <w:rPr>
          <w:rFonts w:ascii="仿宋_GB2312" w:hAnsi="等线" w:eastAsia="仿宋_GB2312"/>
          <w:szCs w:val="32"/>
        </w:rPr>
        <w:t>2</w:t>
      </w:r>
      <w:r>
        <w:rPr>
          <w:rFonts w:hint="eastAsia" w:ascii="仿宋_GB2312" w:hAnsi="等线" w:eastAsia="仿宋_GB2312"/>
          <w:szCs w:val="32"/>
        </w:rPr>
        <w:t>年政府信息公开总体情况，主动公开政府信息情况，收到和处理政府信息公开申请情况，政府信息公开行政复议、行政诉讼情况，存在的问题及改进情况，其他需要报告的事项。所列数据统计期限为202</w:t>
      </w:r>
      <w:r>
        <w:rPr>
          <w:rFonts w:ascii="仿宋_GB2312" w:hAnsi="等线" w:eastAsia="仿宋_GB2312"/>
          <w:szCs w:val="32"/>
        </w:rPr>
        <w:t>2</w:t>
      </w:r>
      <w:r>
        <w:rPr>
          <w:rFonts w:hint="eastAsia" w:ascii="仿宋_GB2312" w:hAnsi="等线" w:eastAsia="仿宋_GB2312"/>
          <w:szCs w:val="32"/>
        </w:rPr>
        <w:t>年1月1日至202</w:t>
      </w:r>
      <w:r>
        <w:rPr>
          <w:rFonts w:ascii="仿宋_GB2312" w:hAnsi="等线" w:eastAsia="仿宋_GB2312"/>
          <w:szCs w:val="32"/>
        </w:rPr>
        <w:t>2</w:t>
      </w:r>
      <w:r>
        <w:rPr>
          <w:rFonts w:hint="eastAsia" w:ascii="仿宋_GB2312" w:hAnsi="等线" w:eastAsia="仿宋_GB2312"/>
          <w:szCs w:val="32"/>
        </w:rPr>
        <w:t>年12月31日。本年度报告电子版可以从内蒙古自治区政府门户网站（http://www.nmg.gov.cn）下载。如对本年度报告有疑问，请与内蒙古自治区人民政府办公厅联系（电话：0471-4825916）</w:t>
      </w:r>
      <w:r>
        <w:rPr>
          <w:rFonts w:hint="eastAsia" w:ascii="仿宋_GB2312" w:eastAsia="仿宋_GB2312"/>
          <w:szCs w:val="32"/>
        </w:rPr>
        <w:t>。</w:t>
      </w:r>
    </w:p>
    <w:p>
      <w:pPr>
        <w:ind w:firstLine="640" w:firstLineChars="200"/>
        <w:rPr>
          <w:rFonts w:ascii="黑体" w:hAnsi="黑体" w:eastAsia="黑体" w:cs="黑体"/>
          <w:color w:val="FFFFFF"/>
          <w:szCs w:val="32"/>
        </w:rPr>
      </w:pPr>
      <w:r>
        <w:drawing>
          <wp:anchor distT="0" distB="0" distL="114300" distR="114300" simplePos="0" relativeHeight="251660288" behindDoc="1" locked="0" layoutInCell="1" allowOverlap="1">
            <wp:simplePos x="0" y="0"/>
            <wp:positionH relativeFrom="margin">
              <wp:posOffset>43815</wp:posOffset>
            </wp:positionH>
            <wp:positionV relativeFrom="paragraph">
              <wp:posOffset>29845</wp:posOffset>
            </wp:positionV>
            <wp:extent cx="5574030" cy="362585"/>
            <wp:effectExtent l="0" t="0" r="7620" b="18415"/>
            <wp:wrapNone/>
            <wp:docPr id="2" name="图片 14" descr="E:\工作文件夹\✍\Z_自治区\自治区\网站年度工作报告、信息公开年报\政府信息工作年报\一、总体概况.jpg一、总体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E:\工作文件夹\✍\Z_自治区\自治区\网站年度工作报告、信息公开年报\政府信息工作年报\一、总体概况.jpg一、总体概况"/>
                    <pic:cNvPicPr>
                      <a:picLocks noChangeAspect="1"/>
                    </pic:cNvPicPr>
                  </pic:nvPicPr>
                  <pic:blipFill>
                    <a:blip r:embed="rId15"/>
                    <a:srcRect/>
                    <a:stretch>
                      <a:fillRect/>
                    </a:stretch>
                  </pic:blipFill>
                  <pic:spPr>
                    <a:xfrm>
                      <a:off x="0" y="0"/>
                      <a:ext cx="5574030" cy="362585"/>
                    </a:xfrm>
                    <a:prstGeom prst="rect">
                      <a:avLst/>
                    </a:prstGeom>
                    <a:solidFill>
                      <a:srgbClr val="FF0000"/>
                    </a:solidFill>
                    <a:ln>
                      <a:noFill/>
                    </a:ln>
                  </pic:spPr>
                </pic:pic>
              </a:graphicData>
            </a:graphic>
          </wp:anchor>
        </w:drawing>
      </w:r>
      <w:r>
        <w:rPr>
          <w:rFonts w:hint="eastAsia" w:ascii="黑体" w:hAnsi="黑体" w:eastAsia="黑体" w:cs="黑体"/>
          <w:color w:val="FFFFFF"/>
          <w:szCs w:val="32"/>
        </w:rPr>
        <w:t>一、总体情况</w:t>
      </w:r>
    </w:p>
    <w:p>
      <w:pPr>
        <w:ind w:firstLine="640" w:firstLineChars="200"/>
        <w:rPr>
          <w:rFonts w:ascii="仿宋_GB2312" w:eastAsia="仿宋_GB2312"/>
          <w:szCs w:val="32"/>
        </w:rPr>
      </w:pPr>
      <w:r>
        <w:rPr>
          <w:rFonts w:hint="eastAsia" w:ascii="仿宋_GB2312" w:eastAsia="仿宋_GB2312"/>
          <w:szCs w:val="32"/>
        </w:rPr>
        <w:t>2022年，内蒙古自治区政府信息公开工作坚持以习近平新时代中国特色社会主义思想为指导，全区各级行政机关围绕努力完成习近平总书记交给内蒙古的五大任务，全方位建设“模范自治区”，切实提升公开质量、不断夯实公开基础，充分发挥政府信息公开在助力经济平稳健康发展、保持社会和谐稳定方面的积极作用，主动解疑释惑，积极引导舆论，有效管理预期，各项工作取得了积极成效。</w:t>
      </w:r>
    </w:p>
    <w:p>
      <w:pPr>
        <w:topLinePunct/>
        <w:autoSpaceDE w:val="0"/>
        <w:ind w:firstLine="640" w:firstLineChars="200"/>
        <w:rPr>
          <w:rFonts w:ascii="仿宋_GB2312" w:hAnsi="等线" w:eastAsia="仿宋_GB2312"/>
          <w:strike/>
          <w:color w:val="FF0000"/>
          <w:szCs w:val="32"/>
        </w:rPr>
      </w:pPr>
      <w:r>
        <w:rPr>
          <w:rFonts w:hint="eastAsia" w:ascii="楷体" w:hAnsi="楷体" w:eastAsia="楷体"/>
          <w:szCs w:val="32"/>
        </w:rPr>
        <w:t>（一）主动公开情况。</w:t>
      </w:r>
      <w:r>
        <w:rPr>
          <w:rFonts w:hint="eastAsia" w:ascii="仿宋_GB2312" w:hAnsi="等线" w:eastAsia="仿宋_GB2312"/>
          <w:szCs w:val="32"/>
        </w:rPr>
        <w:t>以政府网站“政府信息公开”专栏为依托，加强“法定主动公开内容”公开的同时，进一步加大对涉及市场主体、减税降费、扩大有效投资及就业、养老、医疗、教育等方面信息的公开力度。自治区政府及部门通过政府网站“政府信息公开”专栏公开政府规章、行政规范性文件、机构职能等“法定主动公开内容”</w:t>
      </w:r>
      <w:r>
        <w:rPr>
          <w:rFonts w:ascii="仿宋_GB2312" w:hAnsi="等线" w:eastAsia="仿宋_GB2312"/>
          <w:szCs w:val="32"/>
        </w:rPr>
        <w:t>1608</w:t>
      </w:r>
      <w:r>
        <w:rPr>
          <w:rFonts w:hint="eastAsia" w:ascii="仿宋_GB2312" w:hAnsi="等线" w:eastAsia="仿宋_GB2312"/>
          <w:szCs w:val="32"/>
        </w:rPr>
        <w:t>条；自治区政府网站集约化平台发布信息2</w:t>
      </w:r>
      <w:r>
        <w:rPr>
          <w:rFonts w:ascii="仿宋_GB2312" w:hAnsi="等线" w:eastAsia="仿宋_GB2312"/>
          <w:szCs w:val="32"/>
        </w:rPr>
        <w:t>0.6</w:t>
      </w:r>
      <w:r>
        <w:rPr>
          <w:rFonts w:hint="eastAsia" w:ascii="仿宋_GB2312" w:hAnsi="等线" w:eastAsia="仿宋_GB2312"/>
          <w:szCs w:val="32"/>
        </w:rPr>
        <w:t>万条，发布政策解读1</w:t>
      </w:r>
      <w:r>
        <w:rPr>
          <w:rFonts w:ascii="仿宋_GB2312" w:hAnsi="等线" w:eastAsia="仿宋_GB2312"/>
          <w:szCs w:val="32"/>
        </w:rPr>
        <w:t>400</w:t>
      </w:r>
      <w:r>
        <w:rPr>
          <w:rFonts w:hint="eastAsia" w:ascii="仿宋_GB2312" w:hAnsi="等线" w:eastAsia="仿宋_GB2312"/>
          <w:szCs w:val="32"/>
        </w:rPr>
        <w:t>余件，回应市场主体和人民群众关切1</w:t>
      </w:r>
      <w:r>
        <w:rPr>
          <w:rFonts w:ascii="仿宋_GB2312" w:hAnsi="等线" w:eastAsia="仿宋_GB2312"/>
          <w:szCs w:val="32"/>
        </w:rPr>
        <w:t>090</w:t>
      </w:r>
      <w:r>
        <w:rPr>
          <w:rFonts w:hint="eastAsia" w:ascii="仿宋_GB2312" w:hAnsi="等线" w:eastAsia="仿宋_GB2312"/>
          <w:szCs w:val="32"/>
        </w:rPr>
        <w:t>次，开展征集调查6</w:t>
      </w:r>
      <w:r>
        <w:rPr>
          <w:rFonts w:ascii="仿宋_GB2312" w:hAnsi="等线" w:eastAsia="仿宋_GB2312"/>
          <w:szCs w:val="32"/>
        </w:rPr>
        <w:t>10</w:t>
      </w:r>
      <w:r>
        <w:rPr>
          <w:rFonts w:hint="eastAsia" w:ascii="仿宋_GB2312" w:hAnsi="等线" w:eastAsia="仿宋_GB2312"/>
          <w:szCs w:val="32"/>
        </w:rPr>
        <w:t>期，收到意见建议1</w:t>
      </w:r>
      <w:r>
        <w:rPr>
          <w:rFonts w:ascii="仿宋_GB2312" w:hAnsi="等线" w:eastAsia="仿宋_GB2312"/>
          <w:szCs w:val="32"/>
        </w:rPr>
        <w:t>.2</w:t>
      </w:r>
      <w:r>
        <w:rPr>
          <w:rFonts w:hint="eastAsia" w:ascii="仿宋_GB2312" w:hAnsi="等线" w:eastAsia="仿宋_GB2312"/>
          <w:szCs w:val="32"/>
        </w:rPr>
        <w:t>万条；各级政府网站围绕优化营商环境、减税降费、助企纾困、疫情防控、创业就业等工作新开设栏目近4</w:t>
      </w:r>
      <w:r>
        <w:rPr>
          <w:rFonts w:ascii="仿宋_GB2312" w:hAnsi="等线" w:eastAsia="仿宋_GB2312"/>
          <w:szCs w:val="32"/>
        </w:rPr>
        <w:t>00</w:t>
      </w:r>
      <w:r>
        <w:rPr>
          <w:rFonts w:hint="eastAsia" w:ascii="仿宋_GB2312" w:hAnsi="等线" w:eastAsia="仿宋_GB2312"/>
          <w:szCs w:val="32"/>
        </w:rPr>
        <w:t>个。</w:t>
      </w:r>
    </w:p>
    <w:p>
      <w:pPr>
        <w:topLinePunct/>
        <w:autoSpaceDE w:val="0"/>
        <w:ind w:firstLine="640" w:firstLineChars="200"/>
        <w:rPr>
          <w:rFonts w:ascii="楷体" w:hAnsi="楷体" w:eastAsia="楷体"/>
          <w:szCs w:val="32"/>
        </w:rPr>
      </w:pPr>
      <w:r>
        <w:rPr>
          <w:rFonts w:hint="eastAsia" w:ascii="楷体" w:hAnsi="楷体" w:eastAsia="楷体"/>
          <w:szCs w:val="32"/>
        </w:rPr>
        <w:t>（二）依申请公开情况。</w:t>
      </w:r>
      <w:r>
        <w:rPr>
          <w:rFonts w:hint="eastAsia" w:ascii="仿宋_GB2312" w:hAnsi="等线" w:eastAsia="仿宋_GB2312"/>
          <w:szCs w:val="32"/>
        </w:rPr>
        <w:t>全面推进政府信息依申请公开“一网统管”，自治区、盟市、旗县（市、区）政府及部门共4557个单位接入“自治区政府信息依申请公开”系统，依申请公开网办率达到8</w:t>
      </w:r>
      <w:r>
        <w:rPr>
          <w:rFonts w:ascii="仿宋_GB2312" w:hAnsi="等线" w:eastAsia="仿宋_GB2312"/>
          <w:szCs w:val="32"/>
        </w:rPr>
        <w:t>0</w:t>
      </w:r>
      <w:r>
        <w:rPr>
          <w:rFonts w:hint="eastAsia" w:ascii="仿宋_GB2312" w:hAnsi="等线" w:eastAsia="仿宋_GB2312"/>
          <w:szCs w:val="32"/>
        </w:rPr>
        <w:t>％。各级政府信息公开工作主管部门使用系统开展巡查检查5</w:t>
      </w:r>
      <w:r>
        <w:rPr>
          <w:rFonts w:ascii="仿宋_GB2312" w:hAnsi="等线" w:eastAsia="仿宋_GB2312"/>
          <w:szCs w:val="32"/>
        </w:rPr>
        <w:t>00</w:t>
      </w:r>
      <w:r>
        <w:rPr>
          <w:rFonts w:hint="eastAsia" w:ascii="仿宋_GB2312" w:hAnsi="等线" w:eastAsia="仿宋_GB2312"/>
          <w:szCs w:val="32"/>
        </w:rPr>
        <w:t>余次，通过系统发送办理政府信息公开申请提示</w:t>
      </w:r>
      <w:r>
        <w:rPr>
          <w:rFonts w:ascii="仿宋_GB2312" w:hAnsi="等线" w:eastAsia="仿宋_GB2312"/>
          <w:szCs w:val="32"/>
        </w:rPr>
        <w:t>3000</w:t>
      </w:r>
      <w:r>
        <w:rPr>
          <w:rFonts w:hint="eastAsia" w:ascii="仿宋_GB2312" w:hAnsi="等线" w:eastAsia="仿宋_GB2312"/>
          <w:szCs w:val="32"/>
        </w:rPr>
        <w:t>余条（次）。</w:t>
      </w:r>
    </w:p>
    <w:p>
      <w:pPr>
        <w:topLinePunct/>
        <w:autoSpaceDE w:val="0"/>
        <w:ind w:firstLine="640" w:firstLineChars="200"/>
        <w:rPr>
          <w:rFonts w:ascii="仿宋_GB2312" w:hAnsi="等线" w:eastAsia="仿宋_GB2312"/>
          <w:szCs w:val="32"/>
        </w:rPr>
      </w:pPr>
      <w:r>
        <w:rPr>
          <w:rFonts w:hint="eastAsia" w:ascii="楷体" w:hAnsi="楷体" w:eastAsia="楷体"/>
          <w:szCs w:val="32"/>
        </w:rPr>
        <w:t>（三）政府信息管理情况。</w:t>
      </w:r>
      <w:r>
        <w:rPr>
          <w:rFonts w:hint="eastAsia" w:ascii="仿宋_GB2312" w:hAnsi="等线" w:eastAsia="仿宋_GB2312"/>
          <w:szCs w:val="32"/>
        </w:rPr>
        <w:t>持续做好政府规章和行政规范性文件的公开和动态更新，已制定政府规章的自治区人民政府，呼和浩特市人民政府、包头市人民政府、呼伦贝尔市人民政府、赤峰市人民政府、鄂尔多斯市人民政府、乌海市人民政府按照规范的网络文本格式，在本地区政府门户网站集中公开现行有效的政府规章1</w:t>
      </w:r>
      <w:r>
        <w:rPr>
          <w:rFonts w:ascii="仿宋_GB2312" w:hAnsi="等线" w:eastAsia="仿宋_GB2312"/>
          <w:szCs w:val="32"/>
        </w:rPr>
        <w:t>33</w:t>
      </w:r>
      <w:r>
        <w:rPr>
          <w:rFonts w:hint="eastAsia" w:ascii="仿宋_GB2312" w:hAnsi="等线" w:eastAsia="仿宋_GB2312"/>
          <w:szCs w:val="32"/>
        </w:rPr>
        <w:t>部，并根据其立、改、废情况进行动态更新。各地区各部门结合实际对现行有效行政规范性文件进行分类公开，进一步提升企业群众查询、获取行政规范性文件的便利性。</w:t>
      </w:r>
    </w:p>
    <w:p>
      <w:pPr>
        <w:topLinePunct/>
        <w:autoSpaceDE w:val="0"/>
        <w:ind w:firstLine="640" w:firstLineChars="200"/>
        <w:rPr>
          <w:rFonts w:hint="eastAsia" w:ascii="仿宋_GB2312" w:eastAsia="仿宋_GB2312"/>
          <w:szCs w:val="32"/>
          <w:lang w:val="en-US" w:eastAsia="zh-CN"/>
        </w:rPr>
      </w:pPr>
      <w:r>
        <w:rPr>
          <w:rFonts w:hint="eastAsia" w:ascii="楷体" w:hAnsi="楷体" w:eastAsia="楷体"/>
          <w:szCs w:val="32"/>
        </w:rPr>
        <w:t>（四）平台建设情况。</w:t>
      </w:r>
      <w:r>
        <w:rPr>
          <w:rFonts w:hint="eastAsia" w:ascii="仿宋_GB2312" w:eastAsia="仿宋_GB2312"/>
          <w:szCs w:val="32"/>
        </w:rPr>
        <w:t>有序推动各盟市政府网站集约化工作，已有8个盟市完成政府网站集约化平台升级改造，实现辖区内政府网站向盟市级政府网站集约化平台迁移；3个盟市完成与自治区政府网站集约化平台统一信息资源库的数据对接，自治区政府网站集约化平台汇聚自治区本级、盟市政府网站数据3</w:t>
      </w:r>
      <w:r>
        <w:rPr>
          <w:rFonts w:ascii="仿宋_GB2312" w:eastAsia="仿宋_GB2312"/>
          <w:szCs w:val="32"/>
        </w:rPr>
        <w:t>35</w:t>
      </w:r>
      <w:r>
        <w:rPr>
          <w:rFonts w:hint="eastAsia" w:ascii="仿宋_GB2312" w:eastAsia="仿宋_GB2312"/>
          <w:szCs w:val="32"/>
        </w:rPr>
        <w:t>万条。继续改进升级自治区政府网站集约化平台的信息发布、解读回应、办事服务、互动交流等功能，进行三次版本升级，完善改进功能</w:t>
      </w:r>
      <w:r>
        <w:rPr>
          <w:rFonts w:ascii="仿宋_GB2312" w:eastAsia="仿宋_GB2312"/>
          <w:szCs w:val="32"/>
        </w:rPr>
        <w:t>50</w:t>
      </w:r>
      <w:r>
        <w:rPr>
          <w:rFonts w:hint="eastAsia" w:ascii="仿宋_GB2312" w:eastAsia="仿宋_GB2312"/>
          <w:szCs w:val="32"/>
        </w:rPr>
        <w:t>余项。自治区政府门户网站在清华大学公共管理学院、国家治理研究院、计算社会科学与国家治理实验室联合发布的《202</w:t>
      </w:r>
      <w:r>
        <w:rPr>
          <w:rFonts w:ascii="仿宋_GB2312" w:eastAsia="仿宋_GB2312"/>
          <w:szCs w:val="32"/>
        </w:rPr>
        <w:t>2</w:t>
      </w:r>
      <w:r>
        <w:rPr>
          <w:rFonts w:hint="eastAsia" w:ascii="仿宋_GB2312" w:eastAsia="仿宋_GB2312"/>
          <w:szCs w:val="32"/>
        </w:rPr>
        <w:t>年中国政府网站绩效评估报告》中位列省级政府门户网站第八名。</w:t>
      </w:r>
      <w:r>
        <w:rPr>
          <w:rFonts w:hint="eastAsia" w:ascii="仿宋_GB2312" w:eastAsia="仿宋_GB2312"/>
          <w:szCs w:val="32"/>
          <w:lang w:val="en-US" w:eastAsia="zh-CN"/>
        </w:rPr>
        <w:t xml:space="preserve">  </w:t>
      </w:r>
    </w:p>
    <w:p>
      <w:pPr>
        <w:topLinePunct/>
        <w:autoSpaceDE w:val="0"/>
        <w:ind w:firstLine="640" w:firstLineChars="200"/>
        <w:rPr>
          <w:rFonts w:ascii="仿宋_GB2312" w:eastAsia="仿宋_GB2312"/>
          <w:szCs w:val="32"/>
        </w:rPr>
      </w:pPr>
      <w:r>
        <w:rPr>
          <w:rFonts w:hint="eastAsia" w:ascii="楷体" w:hAnsi="楷体" w:eastAsia="楷体"/>
          <w:szCs w:val="32"/>
        </w:rPr>
        <w:t>（五）监督保障情况。</w:t>
      </w:r>
      <w:r>
        <w:rPr>
          <w:rFonts w:hint="eastAsia" w:ascii="仿宋_GB2312" w:eastAsia="仿宋_GB2312"/>
          <w:szCs w:val="32"/>
        </w:rPr>
        <w:t>坚持以评促改、评改并重，充分发挥评估考核的指挥棒作用。在评估考核中充分考虑盟市和自治区部门工作差异，提高指标设计的针对性，差异化设计评估指标，指标差异率达到</w:t>
      </w:r>
      <w:r>
        <w:rPr>
          <w:rFonts w:ascii="仿宋_GB2312" w:eastAsia="仿宋_GB2312"/>
          <w:szCs w:val="32"/>
        </w:rPr>
        <w:t>33</w:t>
      </w:r>
      <w:r>
        <w:rPr>
          <w:rFonts w:hint="eastAsia" w:ascii="仿宋_GB2312" w:eastAsia="仿宋_GB2312"/>
          <w:szCs w:val="32"/>
        </w:rPr>
        <w:t>％。建立问题反馈工作机制，确保发现的问题整改“不隔夜”。2</w:t>
      </w:r>
      <w:r>
        <w:rPr>
          <w:rFonts w:ascii="仿宋_GB2312" w:eastAsia="仿宋_GB2312"/>
          <w:szCs w:val="32"/>
        </w:rPr>
        <w:t>022</w:t>
      </w:r>
      <w:r>
        <w:rPr>
          <w:rFonts w:hint="eastAsia" w:ascii="仿宋_GB2312" w:eastAsia="仿宋_GB2312"/>
          <w:szCs w:val="32"/>
        </w:rPr>
        <w:t>年结合日常巡查、巡检及第三方评估共向盟市和自治区部门反馈问题2</w:t>
      </w:r>
      <w:r>
        <w:rPr>
          <w:rFonts w:ascii="仿宋_GB2312" w:eastAsia="仿宋_GB2312"/>
          <w:szCs w:val="32"/>
        </w:rPr>
        <w:t>00</w:t>
      </w:r>
      <w:r>
        <w:rPr>
          <w:rFonts w:hint="eastAsia" w:ascii="仿宋_GB2312" w:eastAsia="仿宋_GB2312"/>
          <w:szCs w:val="32"/>
        </w:rPr>
        <w:t>余条（次），提出具体可行的整改建议</w:t>
      </w:r>
      <w:r>
        <w:rPr>
          <w:rFonts w:ascii="仿宋_GB2312" w:eastAsia="仿宋_GB2312"/>
          <w:szCs w:val="32"/>
        </w:rPr>
        <w:t>600</w:t>
      </w:r>
      <w:r>
        <w:rPr>
          <w:rFonts w:hint="eastAsia" w:ascii="仿宋_GB2312" w:eastAsia="仿宋_GB2312"/>
          <w:szCs w:val="32"/>
        </w:rPr>
        <w:t>余条（次），切实提升日常监管的成效。</w:t>
      </w:r>
    </w:p>
    <w:p>
      <w:pPr>
        <w:rPr>
          <w:rFonts w:hint="eastAsia" w:ascii="仿宋_GB2312" w:eastAsia="仿宋_GB2312"/>
          <w:szCs w:val="32"/>
        </w:rPr>
      </w:pPr>
    </w:p>
    <w:p>
      <w:pPr>
        <w:pStyle w:val="10"/>
        <w:widowControl/>
        <w:spacing w:before="0" w:beforeAutospacing="0" w:after="0" w:afterAutospacing="0"/>
        <w:ind w:firstLine="720" w:firstLineChars="300"/>
        <w:jc w:val="both"/>
        <w:outlineLvl w:val="0"/>
        <w:rPr>
          <w:rFonts w:ascii="黑体" w:hAnsi="黑体" w:eastAsia="黑体"/>
          <w:sz w:val="32"/>
          <w:szCs w:val="32"/>
        </w:rPr>
      </w:pPr>
      <w:r>
        <w:drawing>
          <wp:anchor distT="0" distB="0" distL="114300" distR="114300" simplePos="0" relativeHeight="251661312" behindDoc="1" locked="0" layoutInCell="1" allowOverlap="1">
            <wp:simplePos x="0" y="0"/>
            <wp:positionH relativeFrom="margin">
              <wp:posOffset>-10160</wp:posOffset>
            </wp:positionH>
            <wp:positionV relativeFrom="paragraph">
              <wp:posOffset>64135</wp:posOffset>
            </wp:positionV>
            <wp:extent cx="5612130" cy="382270"/>
            <wp:effectExtent l="0" t="0" r="7620" b="17780"/>
            <wp:wrapNone/>
            <wp:docPr id="3" name="图片 13" descr="E:\工作文件夹\✍\Z_自治区\自治区\网站年度工作报告、信息公开年报\政府信息工作年报\二、主动公开政府信息情况.jpg二、主动公开政府信息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E:\工作文件夹\✍\Z_自治区\自治区\网站年度工作报告、信息公开年报\政府信息工作年报\二、主动公开政府信息情况.jpg二、主动公开政府信息情况"/>
                    <pic:cNvPicPr>
                      <a:picLocks noChangeAspect="1"/>
                    </pic:cNvPicPr>
                  </pic:nvPicPr>
                  <pic:blipFill>
                    <a:blip r:embed="rId16"/>
                    <a:srcRect/>
                    <a:stretch>
                      <a:fillRect/>
                    </a:stretch>
                  </pic:blipFill>
                  <pic:spPr>
                    <a:xfrm>
                      <a:off x="0" y="0"/>
                      <a:ext cx="5612130" cy="382270"/>
                    </a:xfrm>
                    <a:prstGeom prst="rect">
                      <a:avLst/>
                    </a:prstGeom>
                    <a:pattFill prst="ltDnDiag">
                      <a:fgClr>
                        <a:srgbClr val="FF0000"/>
                      </a:fgClr>
                      <a:bgClr>
                        <a:srgbClr val="FFFFFF"/>
                      </a:bgClr>
                    </a:pattFill>
                    <a:ln>
                      <a:noFill/>
                    </a:ln>
                  </pic:spPr>
                </pic:pic>
              </a:graphicData>
            </a:graphic>
          </wp:anchor>
        </w:drawing>
      </w:r>
      <w:r>
        <w:rPr>
          <w:rFonts w:hint="eastAsia" w:ascii="黑体" w:hAnsi="黑体" w:eastAsia="黑体" w:cs="黑体"/>
          <w:color w:val="FFFFFF"/>
          <w:sz w:val="32"/>
          <w:szCs w:val="32"/>
        </w:rPr>
        <w:t>二、主动公开政府信息情况</w:t>
      </w:r>
    </w:p>
    <w:p>
      <w:pPr>
        <w:pStyle w:val="6"/>
        <w:ind w:firstLine="400"/>
        <w:rPr>
          <w:rFonts w:ascii="方正仿宋简体" w:eastAsia="方正仿宋简体" w:cs="仿宋"/>
          <w:szCs w:val="32"/>
        </w:rPr>
      </w:pPr>
    </w:p>
    <w:tbl>
      <w:tblPr>
        <w:tblStyle w:val="11"/>
        <w:tblW w:w="9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29"/>
        <w:gridCol w:w="2435"/>
        <w:gridCol w:w="2435"/>
        <w:gridCol w:w="2048"/>
      </w:tblGrid>
      <w:tr>
        <w:trPr>
          <w:trHeight w:val="851" w:hRule="atLeast"/>
          <w:jc w:val="center"/>
        </w:trPr>
        <w:tc>
          <w:tcPr>
            <w:tcW w:w="9047" w:type="dxa"/>
            <w:gridSpan w:val="4"/>
            <w:shd w:val="clear" w:color="auto" w:fill="C6D9F1"/>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第二十条第（一）项</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信息内容</w:t>
            </w:r>
          </w:p>
        </w:tc>
        <w:tc>
          <w:tcPr>
            <w:tcW w:w="2435"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本年</w:t>
            </w:r>
            <w:r>
              <w:rPr>
                <w:rFonts w:hint="eastAsia" w:ascii="仿宋_GB2312" w:hAnsi="宋体" w:eastAsia="仿宋_GB2312" w:cs="Calibri"/>
                <w:kern w:val="0"/>
                <w:sz w:val="28"/>
                <w:szCs w:val="28"/>
              </w:rPr>
              <w:t>制</w:t>
            </w:r>
            <w:r>
              <w:rPr>
                <w:rFonts w:hint="eastAsia" w:ascii="仿宋_GB2312" w:hAnsi="宋体" w:eastAsia="仿宋_GB2312"/>
                <w:kern w:val="0"/>
                <w:sz w:val="28"/>
                <w:szCs w:val="28"/>
              </w:rPr>
              <w:t>发件</w:t>
            </w:r>
            <w:r>
              <w:rPr>
                <w:rFonts w:hint="eastAsia" w:ascii="仿宋_GB2312" w:hAnsi="宋体" w:eastAsia="仿宋_GB2312" w:cs="Calibri"/>
                <w:kern w:val="0"/>
                <w:sz w:val="28"/>
                <w:szCs w:val="28"/>
              </w:rPr>
              <w:t>数</w:t>
            </w:r>
          </w:p>
        </w:tc>
        <w:tc>
          <w:tcPr>
            <w:tcW w:w="2435"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本年废止件数</w:t>
            </w:r>
          </w:p>
        </w:tc>
        <w:tc>
          <w:tcPr>
            <w:tcW w:w="2048"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现行有效件</w:t>
            </w:r>
            <w:r>
              <w:rPr>
                <w:rFonts w:hint="eastAsia" w:ascii="仿宋_GB2312" w:hAnsi="宋体" w:eastAsia="仿宋_GB2312" w:cs="Calibri"/>
                <w:kern w:val="0"/>
                <w:sz w:val="28"/>
                <w:szCs w:val="28"/>
              </w:rPr>
              <w:t>数</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规章</w:t>
            </w:r>
          </w:p>
        </w:tc>
        <w:tc>
          <w:tcPr>
            <w:tcW w:w="2435" w:type="dxa"/>
            <w:tcMar>
              <w:top w:w="0" w:type="dxa"/>
              <w:left w:w="57" w:type="dxa"/>
              <w:bottom w:w="0" w:type="dxa"/>
              <w:right w:w="57" w:type="dxa"/>
            </w:tcMar>
            <w:vAlign w:val="center"/>
          </w:tcPr>
          <w:p>
            <w:pPr>
              <w:widowControl/>
              <w:jc w:val="center"/>
              <w:rPr>
                <w:rFonts w:hint="eastAsia" w:ascii="仿宋_GB2312" w:eastAsia="仿宋_GB2312"/>
                <w:kern w:val="0"/>
                <w:sz w:val="28"/>
                <w:szCs w:val="28"/>
                <w:lang w:eastAsia="zh-CN"/>
              </w:rPr>
            </w:pPr>
            <w:r>
              <w:rPr>
                <w:rFonts w:hint="eastAsia" w:ascii="仿宋_GB2312" w:eastAsia="仿宋_GB2312"/>
                <w:kern w:val="0"/>
                <w:sz w:val="28"/>
                <w:szCs w:val="28"/>
                <w:lang w:val="en-US" w:eastAsia="zh-CN"/>
              </w:rPr>
              <w:t>1</w:t>
            </w:r>
          </w:p>
        </w:tc>
        <w:tc>
          <w:tcPr>
            <w:tcW w:w="2435" w:type="dxa"/>
            <w:tcMar>
              <w:top w:w="0" w:type="dxa"/>
              <w:left w:w="57" w:type="dxa"/>
              <w:bottom w:w="0" w:type="dxa"/>
              <w:right w:w="57" w:type="dxa"/>
            </w:tcMar>
            <w:vAlign w:val="center"/>
          </w:tcPr>
          <w:p>
            <w:pPr>
              <w:widowControl/>
              <w:jc w:val="center"/>
              <w:rPr>
                <w:rFonts w:ascii="仿宋_GB2312" w:eastAsia="仿宋_GB2312"/>
                <w:kern w:val="0"/>
                <w:sz w:val="28"/>
                <w:szCs w:val="28"/>
              </w:rPr>
            </w:pPr>
            <w:r>
              <w:rPr>
                <w:rFonts w:hint="eastAsia" w:ascii="仿宋_GB2312" w:eastAsia="仿宋_GB2312"/>
                <w:kern w:val="0"/>
                <w:sz w:val="28"/>
                <w:szCs w:val="28"/>
              </w:rPr>
              <w:t>5</w:t>
            </w:r>
          </w:p>
        </w:tc>
        <w:tc>
          <w:tcPr>
            <w:tcW w:w="2048" w:type="dxa"/>
            <w:tcMar>
              <w:top w:w="0" w:type="dxa"/>
              <w:left w:w="57" w:type="dxa"/>
              <w:bottom w:w="0" w:type="dxa"/>
              <w:right w:w="57" w:type="dxa"/>
            </w:tcMar>
            <w:vAlign w:val="center"/>
          </w:tcPr>
          <w:p>
            <w:pPr>
              <w:widowControl/>
              <w:jc w:val="center"/>
              <w:rPr>
                <w:rFonts w:ascii="仿宋_GB2312" w:eastAsia="仿宋_GB2312"/>
                <w:kern w:val="0"/>
                <w:sz w:val="28"/>
                <w:szCs w:val="28"/>
              </w:rPr>
            </w:pPr>
            <w:r>
              <w:rPr>
                <w:rFonts w:hint="eastAsia" w:ascii="仿宋_GB2312" w:eastAsia="仿宋_GB2312"/>
                <w:kern w:val="0"/>
                <w:sz w:val="28"/>
                <w:szCs w:val="28"/>
              </w:rPr>
              <w:t>133</w:t>
            </w:r>
          </w:p>
        </w:tc>
      </w:tr>
      <w:tr>
        <w:trPr>
          <w:trHeight w:val="851" w:hRule="atLeast"/>
          <w:jc w:val="center"/>
        </w:trPr>
        <w:tc>
          <w:tcPr>
            <w:tcW w:w="2129" w:type="dxa"/>
            <w:shd w:val="clear" w:color="auto" w:fill="auto"/>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行政规范性文件</w:t>
            </w:r>
          </w:p>
        </w:tc>
        <w:tc>
          <w:tcPr>
            <w:tcW w:w="2435" w:type="dxa"/>
            <w:shd w:val="clear" w:color="auto" w:fill="FFFFFF"/>
            <w:tcMar>
              <w:top w:w="0" w:type="dxa"/>
              <w:left w:w="57" w:type="dxa"/>
              <w:bottom w:w="0" w:type="dxa"/>
              <w:right w:w="57" w:type="dxa"/>
            </w:tcMar>
            <w:vAlign w:val="center"/>
          </w:tcPr>
          <w:p>
            <w:pPr>
              <w:widowControl/>
              <w:jc w:val="center"/>
              <w:rPr>
                <w:rFonts w:ascii="仿宋_GB2312" w:eastAsia="仿宋_GB2312"/>
                <w:kern w:val="0"/>
                <w:sz w:val="28"/>
                <w:szCs w:val="28"/>
              </w:rPr>
            </w:pPr>
            <w:r>
              <w:rPr>
                <w:rFonts w:hint="eastAsia" w:ascii="仿宋_GB2312" w:eastAsia="仿宋_GB2312"/>
                <w:color w:val="333333"/>
                <w:sz w:val="28"/>
                <w:szCs w:val="28"/>
              </w:rPr>
              <w:t>861</w:t>
            </w:r>
          </w:p>
        </w:tc>
        <w:tc>
          <w:tcPr>
            <w:tcW w:w="2435" w:type="dxa"/>
            <w:shd w:val="clear" w:color="auto" w:fill="FFFFFF"/>
            <w:tcMar>
              <w:top w:w="0" w:type="dxa"/>
              <w:left w:w="57" w:type="dxa"/>
              <w:bottom w:w="0" w:type="dxa"/>
              <w:right w:w="57" w:type="dxa"/>
            </w:tcMar>
            <w:vAlign w:val="center"/>
          </w:tcPr>
          <w:p>
            <w:pPr>
              <w:widowControl/>
              <w:jc w:val="center"/>
              <w:rPr>
                <w:rFonts w:ascii="仿宋_GB2312" w:eastAsia="仿宋_GB2312"/>
                <w:kern w:val="0"/>
                <w:sz w:val="28"/>
                <w:szCs w:val="28"/>
              </w:rPr>
            </w:pPr>
            <w:r>
              <w:rPr>
                <w:rFonts w:hint="eastAsia" w:ascii="仿宋_GB2312" w:eastAsia="仿宋_GB2312"/>
                <w:color w:val="333333"/>
                <w:sz w:val="28"/>
                <w:szCs w:val="28"/>
              </w:rPr>
              <w:t>379</w:t>
            </w:r>
          </w:p>
        </w:tc>
        <w:tc>
          <w:tcPr>
            <w:tcW w:w="2048" w:type="dxa"/>
            <w:shd w:val="clear" w:color="auto" w:fill="FFFFFF"/>
            <w:tcMar>
              <w:top w:w="0" w:type="dxa"/>
              <w:left w:w="57" w:type="dxa"/>
              <w:bottom w:w="0" w:type="dxa"/>
              <w:right w:w="57" w:type="dxa"/>
            </w:tcMar>
            <w:vAlign w:val="center"/>
          </w:tcPr>
          <w:p>
            <w:pPr>
              <w:widowControl/>
              <w:jc w:val="center"/>
              <w:rPr>
                <w:rFonts w:ascii="仿宋_GB2312" w:eastAsia="仿宋_GB2312"/>
                <w:kern w:val="0"/>
                <w:sz w:val="28"/>
                <w:szCs w:val="28"/>
              </w:rPr>
            </w:pPr>
            <w:r>
              <w:rPr>
                <w:rFonts w:hint="eastAsia" w:ascii="仿宋_GB2312" w:eastAsia="仿宋_GB2312"/>
                <w:color w:val="333333"/>
                <w:sz w:val="28"/>
                <w:szCs w:val="28"/>
              </w:rPr>
              <w:t>7649</w:t>
            </w:r>
          </w:p>
        </w:tc>
      </w:tr>
      <w:tr>
        <w:trPr>
          <w:trHeight w:val="851" w:hRule="atLeast"/>
          <w:jc w:val="center"/>
        </w:trPr>
        <w:tc>
          <w:tcPr>
            <w:tcW w:w="9047" w:type="dxa"/>
            <w:gridSpan w:val="4"/>
            <w:shd w:val="clear" w:color="auto" w:fill="C6D9F1"/>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第二十条第（五）项</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信息内容</w:t>
            </w:r>
          </w:p>
        </w:tc>
        <w:tc>
          <w:tcPr>
            <w:tcW w:w="6918" w:type="dxa"/>
            <w:gridSpan w:val="3"/>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本年处理决定数量</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行政许可</w:t>
            </w:r>
          </w:p>
        </w:tc>
        <w:tc>
          <w:tcPr>
            <w:tcW w:w="6918" w:type="dxa"/>
            <w:gridSpan w:val="3"/>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eastAsia="仿宋_GB2312"/>
                <w:color w:val="333333"/>
                <w:sz w:val="28"/>
                <w:szCs w:val="28"/>
              </w:rPr>
              <w:t>8229043</w:t>
            </w:r>
          </w:p>
        </w:tc>
      </w:tr>
      <w:tr>
        <w:trPr>
          <w:trHeight w:val="851" w:hRule="atLeast"/>
          <w:jc w:val="center"/>
        </w:trPr>
        <w:tc>
          <w:tcPr>
            <w:tcW w:w="9047" w:type="dxa"/>
            <w:gridSpan w:val="4"/>
            <w:shd w:val="clear" w:color="auto" w:fill="C6D9F1"/>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第二十条第（六）项</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信息内容</w:t>
            </w:r>
          </w:p>
        </w:tc>
        <w:tc>
          <w:tcPr>
            <w:tcW w:w="6918" w:type="dxa"/>
            <w:gridSpan w:val="3"/>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本年处理决定数量</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行政处罚</w:t>
            </w:r>
          </w:p>
        </w:tc>
        <w:tc>
          <w:tcPr>
            <w:tcW w:w="6918" w:type="dxa"/>
            <w:gridSpan w:val="3"/>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eastAsia="仿宋_GB2312"/>
                <w:color w:val="333333"/>
                <w:sz w:val="28"/>
                <w:szCs w:val="28"/>
              </w:rPr>
              <w:t>4666894</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行政强制</w:t>
            </w:r>
          </w:p>
        </w:tc>
        <w:tc>
          <w:tcPr>
            <w:tcW w:w="6918" w:type="dxa"/>
            <w:gridSpan w:val="3"/>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eastAsia="仿宋_GB2312"/>
                <w:color w:val="333333"/>
                <w:sz w:val="28"/>
                <w:szCs w:val="28"/>
              </w:rPr>
              <w:t>116473</w:t>
            </w:r>
          </w:p>
        </w:tc>
      </w:tr>
      <w:tr>
        <w:trPr>
          <w:trHeight w:val="851" w:hRule="atLeast"/>
          <w:jc w:val="center"/>
        </w:trPr>
        <w:tc>
          <w:tcPr>
            <w:tcW w:w="9047" w:type="dxa"/>
            <w:gridSpan w:val="4"/>
            <w:shd w:val="clear" w:color="auto" w:fill="C6D9F1"/>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第二十条第（八）项</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信息内容</w:t>
            </w:r>
          </w:p>
        </w:tc>
        <w:tc>
          <w:tcPr>
            <w:tcW w:w="6918" w:type="dxa"/>
            <w:gridSpan w:val="3"/>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本年收费金额（单位：万元）</w:t>
            </w:r>
          </w:p>
        </w:tc>
      </w:tr>
      <w:tr>
        <w:trPr>
          <w:trHeight w:val="851" w:hRule="atLeast"/>
          <w:jc w:val="center"/>
        </w:trPr>
        <w:tc>
          <w:tcPr>
            <w:tcW w:w="2129" w:type="dxa"/>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hAnsi="宋体" w:eastAsia="仿宋_GB2312"/>
                <w:color w:val="000000"/>
                <w:kern w:val="0"/>
                <w:sz w:val="28"/>
                <w:szCs w:val="28"/>
              </w:rPr>
              <w:t>行政事业性收费</w:t>
            </w:r>
          </w:p>
        </w:tc>
        <w:tc>
          <w:tcPr>
            <w:tcW w:w="6918" w:type="dxa"/>
            <w:gridSpan w:val="3"/>
            <w:tcMar>
              <w:top w:w="0" w:type="dxa"/>
              <w:left w:w="57" w:type="dxa"/>
              <w:bottom w:w="0" w:type="dxa"/>
              <w:right w:w="57" w:type="dxa"/>
            </w:tcMar>
            <w:vAlign w:val="center"/>
          </w:tcPr>
          <w:p>
            <w:pPr>
              <w:widowControl/>
              <w:jc w:val="center"/>
              <w:rPr>
                <w:rFonts w:ascii="仿宋_GB2312" w:hAnsi="宋体" w:eastAsia="仿宋_GB2312"/>
                <w:kern w:val="0"/>
                <w:sz w:val="28"/>
                <w:szCs w:val="28"/>
              </w:rPr>
            </w:pPr>
            <w:r>
              <w:rPr>
                <w:rFonts w:hint="eastAsia" w:ascii="仿宋_GB2312" w:eastAsia="仿宋_GB2312"/>
                <w:color w:val="333333"/>
                <w:sz w:val="28"/>
                <w:szCs w:val="28"/>
              </w:rPr>
              <w:t>2772661.517</w:t>
            </w:r>
          </w:p>
        </w:tc>
      </w:tr>
    </w:tbl>
    <w:p>
      <w:pPr>
        <w:ind w:firstLine="440" w:firstLineChars="200"/>
        <w:outlineLvl w:val="0"/>
        <w:rPr>
          <w:rFonts w:ascii="仿宋_GB2312" w:hAnsi="黑体" w:eastAsia="仿宋_GB2312"/>
          <w:sz w:val="22"/>
        </w:rPr>
      </w:pPr>
    </w:p>
    <w:p>
      <w:pPr>
        <w:ind w:firstLine="640" w:firstLineChars="200"/>
        <w:jc w:val="left"/>
        <w:outlineLvl w:val="0"/>
        <w:rPr>
          <w:rFonts w:ascii="黑体" w:hAnsi="黑体" w:eastAsia="黑体" w:cs="黑体"/>
          <w:color w:val="FFFFFF"/>
          <w:szCs w:val="32"/>
        </w:rPr>
      </w:pPr>
      <w:r>
        <w:drawing>
          <wp:anchor distT="0" distB="0" distL="114300" distR="114300" simplePos="0" relativeHeight="251662336" behindDoc="1" locked="0" layoutInCell="1" allowOverlap="1">
            <wp:simplePos x="0" y="0"/>
            <wp:positionH relativeFrom="margin">
              <wp:posOffset>-71120</wp:posOffset>
            </wp:positionH>
            <wp:positionV relativeFrom="paragraph">
              <wp:posOffset>40640</wp:posOffset>
            </wp:positionV>
            <wp:extent cx="5657215" cy="361315"/>
            <wp:effectExtent l="0" t="0" r="635" b="635"/>
            <wp:wrapNone/>
            <wp:docPr id="4" name="图片 7" descr="E:\工作文件夹\✍\Z_自治区\自治区\网站年度工作报告、信息公开年报\政府信息工作年报\三、收到和处理政府信息公开申请情况.jpg三、收到和处理政府信息公开申请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E:\工作文件夹\✍\Z_自治区\自治区\网站年度工作报告、信息公开年报\政府信息工作年报\三、收到和处理政府信息公开申请情况.jpg三、收到和处理政府信息公开申请情况"/>
                    <pic:cNvPicPr>
                      <a:picLocks noChangeAspect="1"/>
                    </pic:cNvPicPr>
                  </pic:nvPicPr>
                  <pic:blipFill>
                    <a:blip r:embed="rId17"/>
                    <a:srcRect/>
                    <a:stretch>
                      <a:fillRect/>
                    </a:stretch>
                  </pic:blipFill>
                  <pic:spPr>
                    <a:xfrm>
                      <a:off x="0" y="0"/>
                      <a:ext cx="5657215" cy="361315"/>
                    </a:xfrm>
                    <a:prstGeom prst="rect">
                      <a:avLst/>
                    </a:prstGeom>
                    <a:solidFill>
                      <a:srgbClr val="FF0000"/>
                    </a:solidFill>
                    <a:ln>
                      <a:noFill/>
                    </a:ln>
                  </pic:spPr>
                </pic:pic>
              </a:graphicData>
            </a:graphic>
          </wp:anchor>
        </w:drawing>
      </w:r>
      <w:r>
        <w:rPr>
          <w:rFonts w:hint="eastAsia" w:ascii="黑体" w:hAnsi="黑体" w:eastAsia="黑体"/>
          <w:color w:val="FFFFFF"/>
          <w:szCs w:val="32"/>
        </w:rPr>
        <w:t>三、收到和处理政府信息公开申请情况</w:t>
      </w:r>
    </w:p>
    <w:p>
      <w:pPr>
        <w:outlineLvl w:val="0"/>
        <w:rPr>
          <w:rFonts w:ascii="黑体" w:hAnsi="黑体" w:eastAsia="黑体" w:cs="黑体"/>
          <w:color w:val="FFFFFF"/>
          <w:sz w:val="28"/>
          <w:szCs w:val="28"/>
        </w:rPr>
      </w:pPr>
    </w:p>
    <w:tbl>
      <w:tblPr>
        <w:tblStyle w:val="11"/>
        <w:tblW w:w="90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4"/>
        <w:gridCol w:w="930"/>
        <w:gridCol w:w="2915"/>
        <w:gridCol w:w="676"/>
        <w:gridCol w:w="661"/>
        <w:gridCol w:w="649"/>
        <w:gridCol w:w="650"/>
        <w:gridCol w:w="649"/>
        <w:gridCol w:w="649"/>
        <w:gridCol w:w="675"/>
      </w:tblGrid>
      <w:tr>
        <w:trPr>
          <w:trHeight w:val="567" w:hRule="atLeast"/>
          <w:jc w:val="center"/>
        </w:trPr>
        <w:tc>
          <w:tcPr>
            <w:tcW w:w="4715" w:type="dxa"/>
            <w:gridSpan w:val="3"/>
            <w:vMerge w:val="restart"/>
            <w:tcMar>
              <w:top w:w="0" w:type="dxa"/>
              <w:left w:w="108" w:type="dxa"/>
              <w:bottom w:w="0" w:type="dxa"/>
              <w:right w:w="108" w:type="dxa"/>
            </w:tcMar>
            <w:vAlign w:val="center"/>
          </w:tcPr>
          <w:p>
            <w:pPr>
              <w:widowControl/>
              <w:spacing w:line="300" w:lineRule="exact"/>
              <w:jc w:val="left"/>
              <w:rPr>
                <w:rFonts w:ascii="仿宋_GB2312" w:hAnsi="宋体" w:eastAsia="仿宋_GB2312"/>
                <w:kern w:val="0"/>
                <w:sz w:val="24"/>
              </w:rPr>
            </w:pPr>
            <w:r>
              <w:rPr>
                <w:rFonts w:hint="eastAsia" w:ascii="仿宋_GB2312" w:hAnsi="楷体" w:eastAsia="仿宋_GB2312" w:cs="宋体"/>
                <w:kern w:val="0"/>
                <w:sz w:val="24"/>
              </w:rPr>
              <w:t>（本列数据的勾稽关系为：第一项加第二项之和，等于第三项加第四项之和）</w:t>
            </w:r>
          </w:p>
        </w:tc>
        <w:tc>
          <w:tcPr>
            <w:tcW w:w="4781" w:type="dxa"/>
            <w:gridSpan w:val="7"/>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申请人情况</w:t>
            </w:r>
          </w:p>
        </w:tc>
      </w:tr>
      <w:tr>
        <w:trPr>
          <w:trHeight w:val="567" w:hRule="atLeast"/>
          <w:jc w:val="center"/>
        </w:trPr>
        <w:tc>
          <w:tcPr>
            <w:tcW w:w="0" w:type="auto"/>
            <w:gridSpan w:val="3"/>
            <w:vMerge w:val="continue"/>
            <w:vAlign w:val="center"/>
          </w:tcPr>
          <w:p>
            <w:pPr>
              <w:widowControl/>
              <w:spacing w:line="300" w:lineRule="exact"/>
              <w:jc w:val="left"/>
              <w:rPr>
                <w:rFonts w:ascii="仿宋_GB2312" w:hAnsi="宋体" w:eastAsia="仿宋_GB2312"/>
                <w:kern w:val="0"/>
                <w:sz w:val="24"/>
              </w:rPr>
            </w:pPr>
          </w:p>
        </w:tc>
        <w:tc>
          <w:tcPr>
            <w:tcW w:w="683" w:type="dxa"/>
            <w:vMerge w:val="restart"/>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自然人</w:t>
            </w:r>
          </w:p>
        </w:tc>
        <w:tc>
          <w:tcPr>
            <w:tcW w:w="3415" w:type="dxa"/>
            <w:gridSpan w:val="5"/>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法人或其他组织</w:t>
            </w:r>
          </w:p>
        </w:tc>
        <w:tc>
          <w:tcPr>
            <w:tcW w:w="683" w:type="dxa"/>
            <w:vMerge w:val="restart"/>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总计</w:t>
            </w:r>
          </w:p>
        </w:tc>
      </w:tr>
      <w:tr>
        <w:trPr>
          <w:trHeight w:val="1045" w:hRule="atLeast"/>
          <w:jc w:val="center"/>
        </w:trPr>
        <w:tc>
          <w:tcPr>
            <w:tcW w:w="0" w:type="auto"/>
            <w:gridSpan w:val="3"/>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商业</w:t>
            </w:r>
          </w:p>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企业</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科研</w:t>
            </w:r>
          </w:p>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机构</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社会公益组织</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法律服务机构</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其他</w:t>
            </w:r>
          </w:p>
        </w:tc>
        <w:tc>
          <w:tcPr>
            <w:tcW w:w="0" w:type="auto"/>
            <w:vMerge w:val="continue"/>
            <w:vAlign w:val="center"/>
          </w:tcPr>
          <w:p>
            <w:pPr>
              <w:widowControl/>
              <w:spacing w:line="300" w:lineRule="exact"/>
              <w:jc w:val="left"/>
              <w:rPr>
                <w:rFonts w:ascii="仿宋_GB2312" w:hAnsi="宋体" w:eastAsia="仿宋_GB2312"/>
                <w:kern w:val="0"/>
                <w:sz w:val="24"/>
              </w:rPr>
            </w:pPr>
          </w:p>
        </w:tc>
      </w:tr>
      <w:tr>
        <w:trPr>
          <w:trHeight w:val="567" w:hRule="atLeast"/>
          <w:jc w:val="center"/>
        </w:trPr>
        <w:tc>
          <w:tcPr>
            <w:tcW w:w="4715" w:type="dxa"/>
            <w:gridSpan w:val="3"/>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一、本年新收政府信息公开申请数量</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3744</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125</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28</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等线" w:eastAsia="仿宋_GB2312"/>
                <w:color w:val="000000"/>
                <w:sz w:val="24"/>
              </w:rPr>
              <w:t>3918</w:t>
            </w:r>
          </w:p>
        </w:tc>
      </w:tr>
      <w:tr>
        <w:trPr>
          <w:trHeight w:val="567" w:hRule="atLeast"/>
          <w:jc w:val="center"/>
        </w:trPr>
        <w:tc>
          <w:tcPr>
            <w:tcW w:w="4715" w:type="dxa"/>
            <w:gridSpan w:val="3"/>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二、上年结转政府信息公开申请数量</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115</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5</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2</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hAnsi="等线" w:eastAsia="仿宋_GB2312"/>
                <w:color w:val="000000"/>
                <w:sz w:val="24"/>
              </w:rPr>
              <w:t>125</w:t>
            </w:r>
          </w:p>
        </w:tc>
      </w:tr>
      <w:tr>
        <w:trPr>
          <w:trHeight w:val="567" w:hRule="atLeast"/>
          <w:jc w:val="center"/>
        </w:trPr>
        <w:tc>
          <w:tcPr>
            <w:tcW w:w="594" w:type="dxa"/>
            <w:vMerge w:val="restart"/>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三、本年度办理结果</w:t>
            </w:r>
          </w:p>
        </w:tc>
        <w:tc>
          <w:tcPr>
            <w:tcW w:w="4121" w:type="dxa"/>
            <w:gridSpan w:val="2"/>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（一）予以公开</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sz w:val="24"/>
              </w:rPr>
              <w:t>1906</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sz w:val="24"/>
              </w:rPr>
              <w:t>70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sz w:val="24"/>
              </w:rPr>
              <w:t>3</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sz w:val="24"/>
              </w:rPr>
              <w:t>11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sz w:val="24"/>
              </w:rPr>
              <w:t>4</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sz w:val="24"/>
              </w:rPr>
              <w:t>8</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sz w:val="24"/>
              </w:rPr>
              <w:t>2002</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4121" w:type="dxa"/>
            <w:gridSpan w:val="2"/>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（二）部分公开（区分处理的，只计这一情形，不计其他情形）</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241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249</w:t>
            </w:r>
          </w:p>
        </w:tc>
      </w:tr>
      <w:tr>
        <w:trPr>
          <w:trHeight w:val="623"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941" w:type="dxa"/>
            <w:vMerge w:val="restart"/>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（三）不予公开</w:t>
            </w: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1.属于国家秘密</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5</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7</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2.其他法律行政法规禁止公开</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9</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11</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3.危及“三安全一稳定”</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8</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8</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4.保护第三方合法权益</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36</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36</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5.属于三类内部事务信息</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44</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6.属于四类过程性信息</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20</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7.属于行政执法案卷</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8</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9</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8.属于行政查询事项</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14</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941" w:type="dxa"/>
            <w:vMerge w:val="restart"/>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（四）无法提供</w:t>
            </w:r>
          </w:p>
        </w:tc>
        <w:tc>
          <w:tcPr>
            <w:tcW w:w="3180" w:type="dxa"/>
            <w:tcMar>
              <w:top w:w="0" w:type="dxa"/>
              <w:left w:w="57" w:type="dxa"/>
              <w:bottom w:w="0" w:type="dxa"/>
              <w:right w:w="57" w:type="dxa"/>
            </w:tcMar>
            <w:vAlign w:val="center"/>
          </w:tcPr>
          <w:p>
            <w:pPr>
              <w:widowControl/>
              <w:spacing w:line="300" w:lineRule="exact"/>
              <w:rPr>
                <w:rFonts w:ascii="仿宋_GB2312" w:hAnsi="宋体" w:eastAsia="仿宋_GB2312"/>
                <w:kern w:val="0"/>
                <w:sz w:val="24"/>
              </w:rPr>
            </w:pPr>
            <w:r>
              <w:rPr>
                <w:rFonts w:hint="eastAsia" w:ascii="仿宋_GB2312" w:hAnsi="宋体" w:eastAsia="仿宋_GB2312"/>
                <w:kern w:val="0"/>
                <w:sz w:val="24"/>
              </w:rPr>
              <w:t>1.本机关不掌握相关政府信息</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974</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7</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5</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1019</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rPr>
                <w:rFonts w:ascii="仿宋_GB2312" w:hAnsi="宋体" w:eastAsia="仿宋_GB2312"/>
                <w:kern w:val="0"/>
                <w:sz w:val="24"/>
              </w:rPr>
            </w:pPr>
            <w:r>
              <w:rPr>
                <w:rFonts w:hint="eastAsia" w:ascii="仿宋_GB2312" w:hAnsi="宋体" w:eastAsia="仿宋_GB2312"/>
                <w:kern w:val="0"/>
                <w:sz w:val="24"/>
              </w:rPr>
              <w:t>2.没有现成信息需要另行制作</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44</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46</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rPr>
                <w:rFonts w:ascii="仿宋_GB2312" w:hAnsi="宋体" w:eastAsia="仿宋_GB2312"/>
                <w:kern w:val="0"/>
                <w:sz w:val="24"/>
              </w:rPr>
            </w:pPr>
            <w:r>
              <w:rPr>
                <w:rFonts w:hint="eastAsia" w:ascii="仿宋_GB2312" w:hAnsi="宋体" w:eastAsia="仿宋_GB2312"/>
                <w:kern w:val="0"/>
                <w:sz w:val="24"/>
              </w:rPr>
              <w:t>3.补正后申请内容仍不明确</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28</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28</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941" w:type="dxa"/>
            <w:vMerge w:val="restart"/>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（五）不予处理</w:t>
            </w: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1.信访举报投诉类申请</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66</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66</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2.重复申请</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41</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3.要求提供公开出版物</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7</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7</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4.无正当理由大量反复申请</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7</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7</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rPr>
                <w:rFonts w:ascii="仿宋_GB2312" w:hAnsi="宋体" w:eastAsia="仿宋_GB2312"/>
                <w:kern w:val="0"/>
                <w:sz w:val="24"/>
              </w:rPr>
            </w:pPr>
            <w:r>
              <w:rPr>
                <w:rFonts w:hint="eastAsia" w:ascii="仿宋_GB2312" w:hAnsi="宋体" w:eastAsia="仿宋_GB2312"/>
                <w:kern w:val="0"/>
                <w:sz w:val="24"/>
              </w:rPr>
              <w:t>5.要求行政机关确认或重新出具已获取信息</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941" w:type="dxa"/>
            <w:vMerge w:val="restart"/>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（六）其他处理</w:t>
            </w:r>
          </w:p>
        </w:tc>
        <w:tc>
          <w:tcPr>
            <w:tcW w:w="3180" w:type="dxa"/>
            <w:tcMar>
              <w:top w:w="0" w:type="dxa"/>
              <w:left w:w="57" w:type="dxa"/>
              <w:bottom w:w="0" w:type="dxa"/>
              <w:right w:w="57" w:type="dxa"/>
            </w:tcMar>
            <w:vAlign w:val="center"/>
          </w:tcPr>
          <w:p>
            <w:pPr>
              <w:widowControl/>
              <w:spacing w:line="300" w:lineRule="exact"/>
              <w:rPr>
                <w:rFonts w:ascii="仿宋_GB2312" w:hAnsi="宋体" w:eastAsia="仿宋_GB2312"/>
                <w:kern w:val="0"/>
                <w:sz w:val="24"/>
              </w:rPr>
            </w:pPr>
            <w:r>
              <w:rPr>
                <w:rFonts w:hint="eastAsia" w:ascii="仿宋_GB2312" w:hAnsi="宋体" w:eastAsia="仿宋_GB2312"/>
                <w:kern w:val="0"/>
                <w:sz w:val="24"/>
              </w:rPr>
              <w:t>1.申请人无正当理由逾期不补正、行政机关不再处理其政府信息公开申请</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27</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30</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rPr>
                <w:rFonts w:ascii="仿宋_GB2312" w:hAnsi="宋体" w:eastAsia="仿宋_GB2312"/>
                <w:kern w:val="0"/>
                <w:sz w:val="24"/>
              </w:rPr>
            </w:pPr>
            <w:r>
              <w:rPr>
                <w:rFonts w:hint="eastAsia" w:ascii="仿宋_GB2312" w:hAnsi="宋体" w:eastAsia="仿宋_GB2312"/>
                <w:kern w:val="0"/>
                <w:sz w:val="24"/>
              </w:rPr>
              <w:t>2.申请人逾期未按收费通知要求缴纳费用、行政机关不再处理其政府信息公开申请</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0" w:type="auto"/>
            <w:vMerge w:val="continue"/>
            <w:vAlign w:val="center"/>
          </w:tcPr>
          <w:p>
            <w:pPr>
              <w:widowControl/>
              <w:spacing w:line="300" w:lineRule="exact"/>
              <w:jc w:val="left"/>
              <w:rPr>
                <w:rFonts w:ascii="仿宋_GB2312" w:hAnsi="宋体" w:eastAsia="仿宋_GB2312"/>
                <w:kern w:val="0"/>
                <w:sz w:val="24"/>
              </w:rPr>
            </w:pPr>
          </w:p>
        </w:tc>
        <w:tc>
          <w:tcPr>
            <w:tcW w:w="3180" w:type="dxa"/>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3.其他</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150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6</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156</w:t>
            </w:r>
          </w:p>
        </w:tc>
      </w:tr>
      <w:tr>
        <w:trPr>
          <w:trHeight w:val="567" w:hRule="atLeast"/>
          <w:jc w:val="center"/>
        </w:trPr>
        <w:tc>
          <w:tcPr>
            <w:tcW w:w="0" w:type="auto"/>
            <w:vMerge w:val="continue"/>
            <w:vAlign w:val="center"/>
          </w:tcPr>
          <w:p>
            <w:pPr>
              <w:widowControl/>
              <w:spacing w:line="300" w:lineRule="exact"/>
              <w:jc w:val="left"/>
              <w:rPr>
                <w:rFonts w:ascii="仿宋_GB2312" w:hAnsi="宋体" w:eastAsia="仿宋_GB2312"/>
                <w:kern w:val="0"/>
                <w:sz w:val="24"/>
              </w:rPr>
            </w:pPr>
          </w:p>
        </w:tc>
        <w:tc>
          <w:tcPr>
            <w:tcW w:w="4121" w:type="dxa"/>
            <w:gridSpan w:val="2"/>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（七）总计</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3628</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123</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25</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11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3801</w:t>
            </w:r>
          </w:p>
        </w:tc>
      </w:tr>
      <w:tr>
        <w:trPr>
          <w:trHeight w:val="567" w:hRule="atLeast"/>
          <w:jc w:val="center"/>
        </w:trPr>
        <w:tc>
          <w:tcPr>
            <w:tcW w:w="4715" w:type="dxa"/>
            <w:gridSpan w:val="3"/>
            <w:tcMar>
              <w:top w:w="0" w:type="dxa"/>
              <w:left w:w="57" w:type="dxa"/>
              <w:bottom w:w="0" w:type="dxa"/>
              <w:right w:w="57" w:type="dxa"/>
            </w:tcMar>
            <w:vAlign w:val="center"/>
          </w:tcPr>
          <w:p>
            <w:pPr>
              <w:widowControl/>
              <w:spacing w:line="300" w:lineRule="exact"/>
              <w:jc w:val="left"/>
              <w:rPr>
                <w:rFonts w:ascii="仿宋_GB2312" w:hAnsi="宋体" w:eastAsia="仿宋_GB2312"/>
                <w:kern w:val="0"/>
                <w:sz w:val="24"/>
              </w:rPr>
            </w:pPr>
            <w:r>
              <w:rPr>
                <w:rFonts w:hint="eastAsia" w:ascii="仿宋_GB2312" w:hAnsi="宋体" w:eastAsia="仿宋_GB2312"/>
                <w:kern w:val="0"/>
                <w:sz w:val="24"/>
              </w:rPr>
              <w:t>四、结转下年度继续办理</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231</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7</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4</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0</w:t>
            </w:r>
          </w:p>
        </w:tc>
        <w:tc>
          <w:tcPr>
            <w:tcW w:w="683" w:type="dxa"/>
            <w:tcMar>
              <w:top w:w="0" w:type="dxa"/>
              <w:left w:w="57" w:type="dxa"/>
              <w:bottom w:w="0" w:type="dxa"/>
              <w:right w:w="57" w:type="dxa"/>
            </w:tcMar>
            <w:vAlign w:val="center"/>
          </w:tcPr>
          <w:p>
            <w:pPr>
              <w:widowControl/>
              <w:spacing w:line="300" w:lineRule="exact"/>
              <w:jc w:val="center"/>
              <w:rPr>
                <w:rFonts w:ascii="仿宋_GB2312" w:hAnsi="宋体" w:eastAsia="仿宋_GB2312"/>
                <w:kern w:val="0"/>
                <w:sz w:val="24"/>
              </w:rPr>
            </w:pPr>
            <w:r>
              <w:rPr>
                <w:rFonts w:hint="eastAsia" w:ascii="仿宋_GB2312" w:eastAsia="仿宋_GB2312"/>
                <w:color w:val="000000"/>
                <w:sz w:val="24"/>
              </w:rPr>
              <w:t>242</w:t>
            </w:r>
          </w:p>
        </w:tc>
      </w:tr>
    </w:tbl>
    <w:p>
      <w:pPr>
        <w:ind w:firstLine="646" w:firstLineChars="202"/>
        <w:rPr>
          <w:rFonts w:ascii="黑体" w:hAnsi="黑体" w:eastAsia="黑体" w:cs="仿宋"/>
          <w:color w:val="FFFFFF"/>
          <w:szCs w:val="32"/>
        </w:rPr>
      </w:pPr>
    </w:p>
    <w:p>
      <w:pPr>
        <w:ind w:firstLine="646" w:firstLineChars="202"/>
        <w:rPr>
          <w:rFonts w:ascii="黑体" w:hAnsi="黑体" w:eastAsia="黑体" w:cs="仿宋"/>
          <w:color w:val="FFFFFF"/>
          <w:szCs w:val="32"/>
        </w:rPr>
      </w:pPr>
      <w:r>
        <w:drawing>
          <wp:anchor distT="0" distB="0" distL="114300" distR="114300" simplePos="0" relativeHeight="251663360" behindDoc="1" locked="0" layoutInCell="1" allowOverlap="1">
            <wp:simplePos x="0" y="0"/>
            <wp:positionH relativeFrom="margin">
              <wp:posOffset>-6350</wp:posOffset>
            </wp:positionH>
            <wp:positionV relativeFrom="paragraph">
              <wp:posOffset>29845</wp:posOffset>
            </wp:positionV>
            <wp:extent cx="5594350" cy="361315"/>
            <wp:effectExtent l="0" t="0" r="6350" b="635"/>
            <wp:wrapNone/>
            <wp:docPr id="5" name="图片 6" descr="E:\工作文件夹\✍\Z_自治区\自治区\网站年度工作报告、信息公开年报\政府信息工作年报\四、政府信息公开行政复议、行政诉讼情况.jpg四、政府信息公开行政复议、行政诉讼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E:\工作文件夹\✍\Z_自治区\自治区\网站年度工作报告、信息公开年报\政府信息工作年报\四、政府信息公开行政复议、行政诉讼情况.jpg四、政府信息公开行政复议、行政诉讼情况"/>
                    <pic:cNvPicPr>
                      <a:picLocks noChangeAspect="1"/>
                    </pic:cNvPicPr>
                  </pic:nvPicPr>
                  <pic:blipFill>
                    <a:blip r:embed="rId18"/>
                    <a:srcRect/>
                    <a:stretch>
                      <a:fillRect/>
                    </a:stretch>
                  </pic:blipFill>
                  <pic:spPr>
                    <a:xfrm>
                      <a:off x="0" y="0"/>
                      <a:ext cx="5594350" cy="361315"/>
                    </a:xfrm>
                    <a:prstGeom prst="rect">
                      <a:avLst/>
                    </a:prstGeom>
                    <a:solidFill>
                      <a:srgbClr val="FF0000"/>
                    </a:solidFill>
                    <a:ln>
                      <a:noFill/>
                    </a:ln>
                  </pic:spPr>
                </pic:pic>
              </a:graphicData>
            </a:graphic>
          </wp:anchor>
        </w:drawing>
      </w:r>
      <w:r>
        <w:rPr>
          <w:rFonts w:hint="eastAsia" w:ascii="黑体" w:hAnsi="黑体" w:eastAsia="黑体" w:cs="仿宋"/>
          <w:color w:val="FFFFFF"/>
          <w:szCs w:val="32"/>
        </w:rPr>
        <w:t>四、</w:t>
      </w:r>
      <w:r>
        <w:rPr>
          <w:rFonts w:hint="eastAsia" w:ascii="黑体" w:hAnsi="黑体" w:eastAsia="黑体"/>
          <w:color w:val="FFFFFF"/>
          <w:szCs w:val="32"/>
        </w:rPr>
        <w:t>政府信息公开行政复议、行政诉讼情况</w:t>
      </w:r>
    </w:p>
    <w:p>
      <w:pPr>
        <w:pStyle w:val="6"/>
        <w:ind w:firstLine="0" w:firstLineChars="0"/>
        <w:rPr>
          <w:rFonts w:ascii="方正仿宋简体" w:eastAsia="方正仿宋简体" w:cs="仿宋"/>
          <w:szCs w:val="32"/>
        </w:rPr>
      </w:pPr>
    </w:p>
    <w:tbl>
      <w:tblPr>
        <w:tblStyle w:val="11"/>
        <w:tblW w:w="9482"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621"/>
        <w:gridCol w:w="621"/>
        <w:gridCol w:w="621"/>
        <w:gridCol w:w="621"/>
        <w:gridCol w:w="701"/>
        <w:gridCol w:w="621"/>
        <w:gridCol w:w="622"/>
        <w:gridCol w:w="622"/>
        <w:gridCol w:w="622"/>
        <w:gridCol w:w="622"/>
        <w:gridCol w:w="622"/>
        <w:gridCol w:w="622"/>
        <w:gridCol w:w="622"/>
        <w:gridCol w:w="622"/>
        <w:gridCol w:w="700"/>
      </w:tblGrid>
      <w:tr>
        <w:trPr>
          <w:trHeight w:val="573" w:hRule="atLeast"/>
        </w:trPr>
        <w:tc>
          <w:tcPr>
            <w:tcW w:w="1134" w:type="dxa"/>
            <w:gridSpan w:val="5"/>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行政复议</w:t>
            </w:r>
          </w:p>
        </w:tc>
        <w:tc>
          <w:tcPr>
            <w:tcW w:w="1134" w:type="dxa"/>
            <w:gridSpan w:val="10"/>
            <w:shd w:val="clear" w:color="auto" w:fill="FFFFFF"/>
            <w:tcMar>
              <w:top w:w="0" w:type="dxa"/>
              <w:left w:w="115" w:type="dxa"/>
              <w:bottom w:w="0" w:type="dxa"/>
              <w:right w:w="115"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行政诉讼</w:t>
            </w:r>
          </w:p>
        </w:tc>
      </w:tr>
      <w:tr>
        <w:trPr>
          <w:trHeight w:val="573" w:hRule="atLeast"/>
        </w:trPr>
        <w:tc>
          <w:tcPr>
            <w:tcW w:w="1134" w:type="dxa"/>
            <w:vMerge w:val="restart"/>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结果维持</w:t>
            </w:r>
          </w:p>
        </w:tc>
        <w:tc>
          <w:tcPr>
            <w:tcW w:w="1134" w:type="dxa"/>
            <w:vMerge w:val="restart"/>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结果</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纠正</w:t>
            </w:r>
          </w:p>
        </w:tc>
        <w:tc>
          <w:tcPr>
            <w:tcW w:w="1134" w:type="dxa"/>
            <w:vMerge w:val="restart"/>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其他</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结果</w:t>
            </w:r>
          </w:p>
        </w:tc>
        <w:tc>
          <w:tcPr>
            <w:tcW w:w="1134" w:type="dxa"/>
            <w:vMerge w:val="restart"/>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尚未</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审结</w:t>
            </w:r>
          </w:p>
        </w:tc>
        <w:tc>
          <w:tcPr>
            <w:tcW w:w="1134" w:type="dxa"/>
            <w:vMerge w:val="restart"/>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总计</w:t>
            </w:r>
          </w:p>
        </w:tc>
        <w:tc>
          <w:tcPr>
            <w:tcW w:w="1134" w:type="dxa"/>
            <w:gridSpan w:val="5"/>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未经复议直接起诉</w:t>
            </w:r>
          </w:p>
        </w:tc>
        <w:tc>
          <w:tcPr>
            <w:tcW w:w="1134" w:type="dxa"/>
            <w:gridSpan w:val="5"/>
            <w:shd w:val="clear" w:color="auto" w:fill="FFFFFF"/>
            <w:tcMar>
              <w:top w:w="0" w:type="dxa"/>
              <w:left w:w="115" w:type="dxa"/>
              <w:bottom w:w="0" w:type="dxa"/>
              <w:right w:w="115"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复议后起诉</w:t>
            </w:r>
          </w:p>
        </w:tc>
      </w:tr>
      <w:tr>
        <w:tc>
          <w:tcPr>
            <w:tcW w:w="1134" w:type="dxa"/>
            <w:vMerge w:val="continue"/>
            <w:shd w:val="clear" w:color="auto" w:fill="FFFFFF"/>
            <w:vAlign w:val="center"/>
          </w:tcPr>
          <w:p>
            <w:pPr>
              <w:widowControl/>
              <w:spacing w:line="300" w:lineRule="exact"/>
              <w:jc w:val="left"/>
              <w:rPr>
                <w:rFonts w:ascii="仿宋_GB2312" w:hAnsi="Calibri" w:eastAsia="仿宋_GB2312"/>
                <w:sz w:val="24"/>
                <w:szCs w:val="24"/>
              </w:rPr>
            </w:pPr>
          </w:p>
        </w:tc>
        <w:tc>
          <w:tcPr>
            <w:tcW w:w="1134" w:type="dxa"/>
            <w:vMerge w:val="continue"/>
            <w:shd w:val="clear" w:color="auto" w:fill="FFFFFF"/>
            <w:vAlign w:val="center"/>
          </w:tcPr>
          <w:p>
            <w:pPr>
              <w:widowControl/>
              <w:spacing w:line="300" w:lineRule="exact"/>
              <w:jc w:val="left"/>
              <w:rPr>
                <w:rFonts w:ascii="仿宋_GB2312" w:hAnsi="Calibri" w:eastAsia="仿宋_GB2312"/>
                <w:sz w:val="24"/>
                <w:szCs w:val="24"/>
              </w:rPr>
            </w:pPr>
          </w:p>
        </w:tc>
        <w:tc>
          <w:tcPr>
            <w:tcW w:w="1134" w:type="dxa"/>
            <w:vMerge w:val="continue"/>
            <w:shd w:val="clear" w:color="auto" w:fill="FFFFFF"/>
            <w:vAlign w:val="center"/>
          </w:tcPr>
          <w:p>
            <w:pPr>
              <w:widowControl/>
              <w:spacing w:line="300" w:lineRule="exact"/>
              <w:jc w:val="left"/>
              <w:rPr>
                <w:rFonts w:ascii="仿宋_GB2312" w:hAnsi="Calibri" w:eastAsia="仿宋_GB2312"/>
                <w:sz w:val="24"/>
                <w:szCs w:val="24"/>
              </w:rPr>
            </w:pPr>
          </w:p>
        </w:tc>
        <w:tc>
          <w:tcPr>
            <w:tcW w:w="1134" w:type="dxa"/>
            <w:vMerge w:val="continue"/>
            <w:shd w:val="clear" w:color="auto" w:fill="FFFFFF"/>
            <w:vAlign w:val="center"/>
          </w:tcPr>
          <w:p>
            <w:pPr>
              <w:widowControl/>
              <w:spacing w:line="300" w:lineRule="exact"/>
              <w:jc w:val="left"/>
              <w:rPr>
                <w:rFonts w:ascii="仿宋_GB2312" w:hAnsi="Calibri" w:eastAsia="仿宋_GB2312"/>
                <w:sz w:val="24"/>
                <w:szCs w:val="24"/>
              </w:rPr>
            </w:pPr>
          </w:p>
        </w:tc>
        <w:tc>
          <w:tcPr>
            <w:tcW w:w="1134" w:type="dxa"/>
            <w:vMerge w:val="continue"/>
            <w:shd w:val="clear" w:color="auto" w:fill="FFFFFF"/>
            <w:vAlign w:val="center"/>
          </w:tcPr>
          <w:p>
            <w:pPr>
              <w:widowControl/>
              <w:spacing w:line="300" w:lineRule="exact"/>
              <w:jc w:val="left"/>
              <w:rPr>
                <w:rFonts w:ascii="仿宋_GB2312" w:hAnsi="Calibri" w:eastAsia="仿宋_GB2312"/>
                <w:sz w:val="24"/>
                <w:szCs w:val="24"/>
              </w:rPr>
            </w:pP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结果</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维持</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结果</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纠正</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其他</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结果</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尚未</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审结</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总计</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结果</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维持</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结果</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纠正</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其他</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结果</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宋体" w:eastAsia="仿宋_GB2312"/>
                <w:kern w:val="0"/>
                <w:sz w:val="24"/>
              </w:rPr>
            </w:pPr>
            <w:r>
              <w:rPr>
                <w:rFonts w:hint="eastAsia" w:ascii="仿宋_GB2312" w:hAnsi="宋体" w:eastAsia="仿宋_GB2312"/>
                <w:kern w:val="0"/>
                <w:sz w:val="24"/>
              </w:rPr>
              <w:t>尚未</w:t>
            </w:r>
          </w:p>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审结</w:t>
            </w:r>
          </w:p>
        </w:tc>
        <w:tc>
          <w:tcPr>
            <w:tcW w:w="1134" w:type="dxa"/>
            <w:shd w:val="clear" w:color="auto" w:fill="FFFFFF"/>
            <w:tcMar>
              <w:top w:w="0" w:type="dxa"/>
              <w:left w:w="115" w:type="dxa"/>
              <w:bottom w:w="0" w:type="dxa"/>
              <w:right w:w="115" w:type="dxa"/>
            </w:tcMar>
            <w:vAlign w:val="center"/>
          </w:tcPr>
          <w:p>
            <w:pPr>
              <w:widowControl/>
              <w:spacing w:line="300" w:lineRule="exact"/>
              <w:jc w:val="center"/>
              <w:rPr>
                <w:rFonts w:ascii="仿宋_GB2312" w:hAnsi="Calibri" w:eastAsia="仿宋_GB2312"/>
                <w:sz w:val="24"/>
                <w:szCs w:val="24"/>
              </w:rPr>
            </w:pPr>
            <w:r>
              <w:rPr>
                <w:rFonts w:hint="eastAsia" w:ascii="仿宋_GB2312" w:hAnsi="宋体" w:eastAsia="仿宋_GB2312"/>
                <w:kern w:val="0"/>
                <w:sz w:val="24"/>
              </w:rPr>
              <w:t>总计</w:t>
            </w:r>
          </w:p>
        </w:tc>
      </w:tr>
      <w:tr>
        <w:trPr>
          <w:trHeight w:val="573" w:hRule="atLeast"/>
        </w:trPr>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76</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29</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21</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12</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138</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13</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4</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4</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11</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32</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13</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0</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0</w:t>
            </w:r>
          </w:p>
        </w:tc>
        <w:tc>
          <w:tcPr>
            <w:tcW w:w="1134" w:type="dxa"/>
            <w:shd w:val="clear" w:color="auto" w:fill="FFFFFF"/>
            <w:tcMar>
              <w:top w:w="0" w:type="dxa"/>
              <w:left w:w="115" w:type="dxa"/>
              <w:bottom w:w="0" w:type="dxa"/>
              <w:right w:w="0"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11</w:t>
            </w:r>
          </w:p>
        </w:tc>
        <w:tc>
          <w:tcPr>
            <w:tcW w:w="1134" w:type="dxa"/>
            <w:shd w:val="clear" w:color="auto" w:fill="FFFFFF"/>
            <w:tcMar>
              <w:top w:w="0" w:type="dxa"/>
              <w:left w:w="115" w:type="dxa"/>
              <w:bottom w:w="0" w:type="dxa"/>
              <w:right w:w="115" w:type="dxa"/>
            </w:tcMar>
            <w:vAlign w:val="center"/>
          </w:tcPr>
          <w:p>
            <w:pPr>
              <w:widowControl/>
              <w:spacing w:line="300" w:lineRule="exact"/>
              <w:jc w:val="center"/>
              <w:rPr>
                <w:rFonts w:ascii="仿宋_GB2312" w:hAnsi="Calibri" w:eastAsia="仿宋_GB2312"/>
                <w:sz w:val="24"/>
                <w:szCs w:val="24"/>
              </w:rPr>
            </w:pPr>
            <w:r>
              <w:rPr>
                <w:rFonts w:hint="eastAsia" w:ascii="仿宋_GB2312" w:eastAsia="仿宋_GB2312"/>
                <w:sz w:val="24"/>
              </w:rPr>
              <w:t>24</w:t>
            </w:r>
          </w:p>
        </w:tc>
      </w:tr>
    </w:tbl>
    <w:p>
      <w:pPr>
        <w:ind w:firstLine="560"/>
        <w:rPr>
          <w:rFonts w:ascii="黑体" w:hAnsi="黑体" w:eastAsia="黑体" w:cs="仿宋"/>
          <w:color w:val="FFFFFF"/>
          <w:szCs w:val="32"/>
        </w:rPr>
      </w:pPr>
    </w:p>
    <w:p>
      <w:pPr>
        <w:ind w:firstLine="640" w:firstLineChars="200"/>
        <w:rPr>
          <w:rFonts w:ascii="黑体" w:hAnsi="黑体" w:eastAsia="黑体" w:cs="仿宋"/>
          <w:color w:val="FFFFFF"/>
          <w:szCs w:val="32"/>
        </w:rPr>
      </w:pPr>
      <w:r>
        <w:drawing>
          <wp:anchor distT="0" distB="0" distL="114300" distR="114300" simplePos="0" relativeHeight="251659264" behindDoc="1" locked="0" layoutInCell="1" allowOverlap="1">
            <wp:simplePos x="0" y="0"/>
            <wp:positionH relativeFrom="margin">
              <wp:posOffset>-4445</wp:posOffset>
            </wp:positionH>
            <wp:positionV relativeFrom="paragraph">
              <wp:posOffset>17780</wp:posOffset>
            </wp:positionV>
            <wp:extent cx="5596255" cy="383540"/>
            <wp:effectExtent l="0" t="0" r="4445" b="16510"/>
            <wp:wrapNone/>
            <wp:docPr id="1" name="图片 5" descr="E:\工作文件夹\✍\Z_自治区\自治区\网站年度工作报告、信息公开年报\政府信息工作年报\五、存在的主要问题及改进情况.jpg五、存在的主要问题及改进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E:\工作文件夹\✍\Z_自治区\自治区\网站年度工作报告、信息公开年报\政府信息工作年报\五、存在的主要问题及改进情况.jpg五、存在的主要问题及改进情况"/>
                    <pic:cNvPicPr>
                      <a:picLocks noChangeAspect="1"/>
                    </pic:cNvPicPr>
                  </pic:nvPicPr>
                  <pic:blipFill>
                    <a:blip r:embed="rId19"/>
                    <a:srcRect/>
                    <a:stretch>
                      <a:fillRect/>
                    </a:stretch>
                  </pic:blipFill>
                  <pic:spPr>
                    <a:xfrm>
                      <a:off x="0" y="0"/>
                      <a:ext cx="5596255" cy="383540"/>
                    </a:xfrm>
                    <a:prstGeom prst="rect">
                      <a:avLst/>
                    </a:prstGeom>
                    <a:solidFill>
                      <a:srgbClr val="FF0000"/>
                    </a:solidFill>
                    <a:ln>
                      <a:noFill/>
                    </a:ln>
                  </pic:spPr>
                </pic:pic>
              </a:graphicData>
            </a:graphic>
          </wp:anchor>
        </w:drawing>
      </w:r>
      <w:r>
        <w:rPr>
          <w:rFonts w:hint="eastAsia" w:ascii="黑体" w:hAnsi="黑体" w:eastAsia="黑体" w:cs="仿宋"/>
          <w:color w:val="FFFFFF"/>
          <w:szCs w:val="32"/>
        </w:rPr>
        <w:t>五、</w:t>
      </w:r>
      <w:r>
        <w:rPr>
          <w:rFonts w:hint="eastAsia" w:ascii="黑体" w:hAnsi="黑体" w:eastAsia="黑体"/>
          <w:color w:val="FFFFFF"/>
          <w:szCs w:val="32"/>
        </w:rPr>
        <w:t>存在的主要问题及改进情况</w:t>
      </w:r>
    </w:p>
    <w:p>
      <w:pPr>
        <w:autoSpaceDE w:val="0"/>
        <w:ind w:firstLine="640" w:firstLineChars="200"/>
        <w:rPr>
          <w:rFonts w:ascii="仿宋_GB2312" w:eastAsia="仿宋_GB2312"/>
          <w:szCs w:val="32"/>
        </w:rPr>
      </w:pPr>
      <w:r>
        <w:rPr>
          <w:rFonts w:hint="eastAsia" w:ascii="楷体" w:hAnsi="楷体" w:eastAsia="楷体"/>
          <w:szCs w:val="32"/>
        </w:rPr>
        <w:t>（一）存在的问题。</w:t>
      </w:r>
      <w:r>
        <w:rPr>
          <w:rFonts w:hint="eastAsia" w:ascii="仿宋_GB2312" w:eastAsia="仿宋_GB2312"/>
          <w:szCs w:val="32"/>
        </w:rPr>
        <w:t>部分基层政府门户网站第一平台作用发挥不足，个别地区仍未按照国家规范要求建设“政府信息公开”专栏，个别地区未能按照有关部委要求及时更新完善相关领域的《基层政府政务公开标准事项目录》；部分自治区部门优化营商环境信息公开不足，一些栏目长期不更新或无内容，企业群众获取信息不够充分。</w:t>
      </w:r>
    </w:p>
    <w:p>
      <w:pPr>
        <w:widowControl/>
        <w:autoSpaceDE w:val="0"/>
        <w:ind w:firstLine="640" w:firstLineChars="200"/>
        <w:rPr>
          <w:rFonts w:ascii="仿宋_GB2312" w:hAnsi="等线" w:eastAsia="仿宋_GB2312"/>
          <w:b/>
          <w:bCs/>
          <w:szCs w:val="32"/>
        </w:rPr>
      </w:pPr>
      <w:r>
        <w:rPr>
          <w:rFonts w:hint="eastAsia" w:ascii="楷体" w:hAnsi="楷体" w:eastAsia="楷体"/>
          <w:szCs w:val="32"/>
        </w:rPr>
        <w:t>（二）改进情况。</w:t>
      </w:r>
    </w:p>
    <w:p>
      <w:pPr>
        <w:widowControl/>
        <w:autoSpaceDE w:val="0"/>
        <w:ind w:firstLine="643" w:firstLineChars="200"/>
        <w:rPr>
          <w:rFonts w:ascii="仿宋_GB2312" w:eastAsia="仿宋_GB2312"/>
          <w:szCs w:val="32"/>
        </w:rPr>
      </w:pPr>
      <w:r>
        <w:rPr>
          <w:rFonts w:hint="eastAsia" w:ascii="仿宋_GB2312" w:eastAsia="仿宋_GB2312"/>
          <w:b/>
          <w:bCs/>
          <w:szCs w:val="32"/>
        </w:rPr>
        <w:t>一是提高相关评估指标的权重。</w:t>
      </w:r>
      <w:r>
        <w:rPr>
          <w:rFonts w:hint="eastAsia" w:ascii="仿宋_GB2312" w:eastAsia="仿宋_GB2312"/>
          <w:szCs w:val="32"/>
        </w:rPr>
        <w:t>将规范“政府信息公开”专栏建设和公开义务教育、涉农补贴、社会救助、产品质量领域信息作为评估基层政府信息公开工作的重要指标，进一步提高评估权重。</w:t>
      </w:r>
    </w:p>
    <w:p>
      <w:pPr>
        <w:widowControl/>
        <w:autoSpaceDE w:val="0"/>
        <w:ind w:firstLine="643" w:firstLineChars="200"/>
        <w:rPr>
          <w:rFonts w:ascii="仿宋_GB2312" w:eastAsia="仿宋_GB2312"/>
          <w:szCs w:val="32"/>
        </w:rPr>
      </w:pPr>
      <w:r>
        <w:rPr>
          <w:rFonts w:hint="eastAsia" w:ascii="仿宋_GB2312" w:eastAsia="仿宋_GB2312"/>
          <w:b/>
          <w:bCs/>
          <w:szCs w:val="32"/>
        </w:rPr>
        <w:t>二是加强对政府网站建设的指导。</w:t>
      </w:r>
      <w:r>
        <w:rPr>
          <w:rFonts w:hint="eastAsia" w:ascii="仿宋_GB2312" w:eastAsia="仿宋_GB2312"/>
          <w:szCs w:val="32"/>
        </w:rPr>
        <w:t>指导盟市和自治区部门开设“中国共产党第二十次全国代表大会”“我向总理说句话”“优化营商环境”“稳经济一揽子政策措施和接续政策”“惠企政策专区”“区域评估成果”“夯实网络安全责任共筑网络安全防线”等专栏，充分发挥政府网站发布解读政策、引导社会预期的平台作用。</w:t>
      </w:r>
    </w:p>
    <w:p>
      <w:pPr>
        <w:widowControl/>
        <w:autoSpaceDE w:val="0"/>
        <w:ind w:firstLine="643" w:firstLineChars="200"/>
        <w:rPr>
          <w:rFonts w:ascii="仿宋_GB2312" w:eastAsia="仿宋_GB2312"/>
          <w:szCs w:val="32"/>
        </w:rPr>
      </w:pPr>
      <w:r>
        <w:rPr>
          <w:rFonts w:hint="eastAsia" w:ascii="仿宋_GB2312" w:eastAsia="仿宋_GB2312"/>
          <w:b/>
          <w:bCs/>
          <w:szCs w:val="32"/>
        </w:rPr>
        <w:t>三是强化日常监督和抽查检查。</w:t>
      </w:r>
      <w:r>
        <w:rPr>
          <w:rFonts w:hint="eastAsia" w:ascii="仿宋_GB2312" w:eastAsia="仿宋_GB2312"/>
          <w:szCs w:val="32"/>
        </w:rPr>
        <w:t>建立扁平化的问题反馈和工作对接机制，2</w:t>
      </w:r>
      <w:r>
        <w:rPr>
          <w:rFonts w:ascii="仿宋_GB2312" w:eastAsia="仿宋_GB2312"/>
          <w:szCs w:val="32"/>
        </w:rPr>
        <w:t>022</w:t>
      </w:r>
      <w:r>
        <w:rPr>
          <w:rFonts w:hint="eastAsia" w:ascii="仿宋_GB2312" w:eastAsia="仿宋_GB2312"/>
          <w:szCs w:val="32"/>
        </w:rPr>
        <w:t>年赴盟市和自治区部门开展政府信息公开现场培训指导1</w:t>
      </w:r>
      <w:r>
        <w:rPr>
          <w:rFonts w:ascii="仿宋_GB2312" w:eastAsia="仿宋_GB2312"/>
          <w:szCs w:val="32"/>
        </w:rPr>
        <w:t>0</w:t>
      </w:r>
      <w:r>
        <w:rPr>
          <w:rFonts w:hint="eastAsia" w:ascii="仿宋_GB2312" w:eastAsia="仿宋_GB2312"/>
          <w:szCs w:val="32"/>
        </w:rPr>
        <w:t>次，组织线上培训对接5次，2</w:t>
      </w:r>
      <w:r>
        <w:rPr>
          <w:rFonts w:ascii="仿宋_GB2312" w:eastAsia="仿宋_GB2312"/>
          <w:szCs w:val="32"/>
        </w:rPr>
        <w:t>000</w:t>
      </w:r>
      <w:r>
        <w:rPr>
          <w:rFonts w:hint="eastAsia" w:ascii="仿宋_GB2312" w:eastAsia="仿宋_GB2312"/>
          <w:szCs w:val="32"/>
        </w:rPr>
        <w:t>余人（次）参加。2022年全年随机抽查各级各类政府网站1173个（次），政务新媒体9657个（次），通报不合格网站61个、不合格政务新媒体127个。</w:t>
      </w:r>
    </w:p>
    <w:p>
      <w:pPr>
        <w:ind w:firstLine="640" w:firstLineChars="200"/>
        <w:rPr>
          <w:rFonts w:ascii="黑体" w:hAnsi="黑体" w:eastAsia="黑体"/>
          <w:szCs w:val="32"/>
        </w:rPr>
      </w:pPr>
      <w:r>
        <w:rPr>
          <w:color w:val="FFFFFF"/>
        </w:rPr>
        <w:drawing>
          <wp:anchor distT="0" distB="0" distL="114300" distR="114300" simplePos="0" relativeHeight="251664384" behindDoc="1" locked="0" layoutInCell="1" allowOverlap="1">
            <wp:simplePos x="0" y="0"/>
            <wp:positionH relativeFrom="margin">
              <wp:posOffset>8255</wp:posOffset>
            </wp:positionH>
            <wp:positionV relativeFrom="paragraph">
              <wp:posOffset>30480</wp:posOffset>
            </wp:positionV>
            <wp:extent cx="5554345" cy="394970"/>
            <wp:effectExtent l="0" t="0" r="8255" b="5080"/>
            <wp:wrapNone/>
            <wp:docPr id="6" name="图片 5" descr="E:\工作文件夹\✍\Z_自治区\自治区\网站年度工作报告、信息公开年报\政府信息工作年报\六、其他需要报告的事项.jpg六、其他需要报告的事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E:\工作文件夹\✍\Z_自治区\自治区\网站年度工作报告、信息公开年报\政府信息工作年报\六、其他需要报告的事项.jpg六、其他需要报告的事项"/>
                    <pic:cNvPicPr>
                      <a:picLocks noChangeAspect="1"/>
                    </pic:cNvPicPr>
                  </pic:nvPicPr>
                  <pic:blipFill>
                    <a:blip r:embed="rId20"/>
                    <a:srcRect/>
                    <a:stretch>
                      <a:fillRect/>
                    </a:stretch>
                  </pic:blipFill>
                  <pic:spPr>
                    <a:xfrm>
                      <a:off x="0" y="0"/>
                      <a:ext cx="5554345" cy="394970"/>
                    </a:xfrm>
                    <a:prstGeom prst="rect">
                      <a:avLst/>
                    </a:prstGeom>
                    <a:solidFill>
                      <a:srgbClr val="FF0000"/>
                    </a:solidFill>
                    <a:ln>
                      <a:noFill/>
                    </a:ln>
                  </pic:spPr>
                </pic:pic>
              </a:graphicData>
            </a:graphic>
          </wp:anchor>
        </w:drawing>
      </w:r>
      <w:r>
        <w:rPr>
          <w:rFonts w:hint="eastAsia" w:ascii="黑体" w:hAnsi="黑体" w:eastAsia="黑体"/>
          <w:color w:val="FFFFFF"/>
          <w:szCs w:val="32"/>
        </w:rPr>
        <w:t>六、其他需要报告的事项</w:t>
      </w:r>
    </w:p>
    <w:p>
      <w:pPr>
        <w:widowControl/>
        <w:autoSpaceDE w:val="0"/>
        <w:spacing w:line="560" w:lineRule="exact"/>
        <w:ind w:firstLine="640" w:firstLineChars="200"/>
        <w:rPr>
          <w:rFonts w:ascii="仿宋_GB2312" w:eastAsia="仿宋_GB2312"/>
          <w:szCs w:val="32"/>
        </w:rPr>
      </w:pPr>
      <w:r>
        <w:rPr>
          <w:rFonts w:hint="eastAsia" w:ascii="楷体" w:hAnsi="楷体" w:eastAsia="楷体"/>
          <w:szCs w:val="32"/>
        </w:rPr>
        <w:t>（一）收取政府信息公开信息处理费的情况。</w:t>
      </w:r>
      <w:r>
        <w:rPr>
          <w:rFonts w:hint="eastAsia" w:ascii="仿宋_GB2312" w:eastAsia="仿宋_GB2312"/>
          <w:szCs w:val="32"/>
        </w:rPr>
        <w:t>本年度全区各级行政机关未收取政府信息公开信息处理费。</w:t>
      </w:r>
    </w:p>
    <w:p>
      <w:pPr>
        <w:ind w:firstLine="640" w:firstLineChars="200"/>
        <w:rPr>
          <w:rFonts w:ascii="仿宋_GB2312" w:eastAsia="仿宋_GB2312"/>
          <w:szCs w:val="32"/>
        </w:rPr>
      </w:pPr>
      <w:r>
        <w:rPr>
          <w:rFonts w:hint="eastAsia" w:ascii="楷体" w:hAnsi="楷体" w:eastAsia="楷体"/>
          <w:szCs w:val="32"/>
        </w:rPr>
        <w:t>（二）其他需要通过年度报告予以报告的事项。</w:t>
      </w:r>
      <w:r>
        <w:rPr>
          <w:rFonts w:hint="eastAsia" w:ascii="仿宋_GB2312" w:eastAsia="仿宋_GB2312"/>
          <w:b/>
          <w:bCs/>
          <w:szCs w:val="32"/>
        </w:rPr>
        <w:t>一是推动国家层面政务公开决策部署落实。</w:t>
      </w:r>
      <w:r>
        <w:rPr>
          <w:rFonts w:hint="eastAsia" w:ascii="仿宋_GB2312" w:eastAsia="仿宋_GB2312"/>
          <w:szCs w:val="32"/>
        </w:rPr>
        <w:t>将贯彻落实《国务院办公厅关于印发202</w:t>
      </w:r>
      <w:r>
        <w:rPr>
          <w:rFonts w:ascii="仿宋_GB2312" w:eastAsia="仿宋_GB2312"/>
          <w:szCs w:val="32"/>
        </w:rPr>
        <w:t>2</w:t>
      </w:r>
      <w:r>
        <w:rPr>
          <w:rFonts w:hint="eastAsia" w:ascii="仿宋_GB2312" w:eastAsia="仿宋_GB2312"/>
          <w:szCs w:val="32"/>
        </w:rPr>
        <w:t>年政务公开工作要点的通知》（国办发〔2022〕8号）作为年度重点工作，结合自治区实际，印发《内蒙古自治区202</w:t>
      </w:r>
      <w:r>
        <w:rPr>
          <w:rFonts w:ascii="仿宋_GB2312" w:eastAsia="仿宋_GB2312"/>
          <w:szCs w:val="32"/>
        </w:rPr>
        <w:t>2</w:t>
      </w:r>
      <w:r>
        <w:rPr>
          <w:rFonts w:hint="eastAsia" w:ascii="仿宋_GB2312" w:eastAsia="仿宋_GB2312"/>
          <w:szCs w:val="32"/>
        </w:rPr>
        <w:t>年政务公开工作要点》（内政办发〔2022〕28号），并制定《内蒙古自治区2022年政务公开工作要点任务台账》，推动重点任务落实。</w:t>
      </w:r>
      <w:r>
        <w:rPr>
          <w:rFonts w:hint="eastAsia" w:ascii="仿宋_GB2312" w:eastAsia="仿宋_GB2312"/>
          <w:b/>
          <w:bCs/>
          <w:szCs w:val="32"/>
        </w:rPr>
        <w:t>二是持续推动预算和涉企信息公开</w:t>
      </w:r>
      <w:r>
        <w:rPr>
          <w:rFonts w:hint="eastAsia" w:ascii="仿宋_GB2312" w:eastAsia="仿宋_GB2312"/>
          <w:szCs w:val="32"/>
        </w:rPr>
        <w:t>。自治区728个预算单位均按要求完成预算公开，通过财政部债券公开平台及自治区财政厅网站，披露债券共计39期，1381.8亿元；通过国家企业信用信息公示系统（内蒙古）公示了全区251.48万户市场主体基本信息，归集行政许可信息205.01万条、行政处罚信息23.27万条。</w:t>
      </w:r>
      <w:r>
        <w:rPr>
          <w:rFonts w:hint="eastAsia" w:ascii="仿宋_GB2312" w:eastAsia="仿宋_GB2312"/>
          <w:b/>
          <w:bCs/>
          <w:szCs w:val="32"/>
        </w:rPr>
        <w:t>三是继续做好人大代表建议和政协提案办理结果公开</w:t>
      </w:r>
      <w:r>
        <w:rPr>
          <w:rFonts w:hint="eastAsia" w:ascii="仿宋_GB2312" w:eastAsia="仿宋_GB2312"/>
          <w:szCs w:val="32"/>
        </w:rPr>
        <w:t>。进一步做好对涉及公共利益、公众权益、社会关切及需要社会广泛知晓的建议和提案办理结果公开工作，自治区政府及部门在本单位政府网站公开人大代表建议和政协提案办理结果信息1</w:t>
      </w:r>
      <w:r>
        <w:rPr>
          <w:rFonts w:ascii="仿宋_GB2312" w:eastAsia="仿宋_GB2312"/>
          <w:szCs w:val="32"/>
        </w:rPr>
        <w:t>421</w:t>
      </w:r>
      <w:r>
        <w:rPr>
          <w:rFonts w:hint="eastAsia" w:ascii="仿宋_GB2312" w:eastAsia="仿宋_GB2312"/>
          <w:szCs w:val="32"/>
        </w:rPr>
        <w:t>条。</w:t>
      </w:r>
    </w:p>
    <w:p>
      <w:pPr>
        <w:ind w:right="1280"/>
        <w:sectPr>
          <w:footerReference r:id="rId10" w:type="first"/>
          <w:footerReference r:id="rId9" w:type="default"/>
          <w:pgSz w:w="11906" w:h="16838"/>
          <w:pgMar w:top="2098" w:right="1531" w:bottom="1985" w:left="1531" w:header="851" w:footer="992" w:gutter="0"/>
          <w:pgNumType w:start="1"/>
          <w:cols w:space="720" w:num="1"/>
          <w:docGrid w:type="lines" w:linePitch="435" w:charSpace="0"/>
        </w:sectPr>
      </w:pPr>
    </w:p>
    <w:p>
      <w:pPr>
        <w:spacing w:line="360" w:lineRule="auto"/>
        <w:ind w:right="1281"/>
      </w:pPr>
      <w:r>
        <w:rPr>
          <w:rFonts w:hint="eastAsia"/>
        </w:rPr>
        <w:drawing>
          <wp:anchor distT="0" distB="0" distL="114300" distR="114300" simplePos="0" relativeHeight="251667456" behindDoc="0" locked="0" layoutInCell="1" allowOverlap="1">
            <wp:simplePos x="0" y="0"/>
            <wp:positionH relativeFrom="column">
              <wp:posOffset>-970280</wp:posOffset>
            </wp:positionH>
            <wp:positionV relativeFrom="paragraph">
              <wp:posOffset>-1332230</wp:posOffset>
            </wp:positionV>
            <wp:extent cx="7559040" cy="10688320"/>
            <wp:effectExtent l="0" t="0" r="3810" b="17780"/>
            <wp:wrapSquare wrapText="bothSides"/>
            <wp:docPr id="14" name="图片 49" descr="E:\工作文件夹\✍\Z_自治区\自治区\网站年度工作报告、信息公开年报\政府信息工作年报\封底.jpg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 descr="E:\工作文件夹\✍\Z_自治区\自治区\网站年度工作报告、信息公开年报\政府信息工作年报\封底.jpg封底"/>
                    <pic:cNvPicPr>
                      <a:picLocks noChangeAspect="1"/>
                    </pic:cNvPicPr>
                  </pic:nvPicPr>
                  <pic:blipFill>
                    <a:blip r:embed="rId21"/>
                    <a:srcRect/>
                    <a:stretch>
                      <a:fillRect/>
                    </a:stretch>
                  </pic:blipFill>
                  <pic:spPr>
                    <a:xfrm>
                      <a:off x="0" y="0"/>
                      <a:ext cx="7559040" cy="10688320"/>
                    </a:xfrm>
                    <a:prstGeom prst="rect">
                      <a:avLst/>
                    </a:prstGeom>
                    <a:noFill/>
                    <a:ln>
                      <a:noFill/>
                    </a:ln>
                  </pic:spPr>
                </pic:pic>
              </a:graphicData>
            </a:graphic>
          </wp:anchor>
        </w:drawing>
      </w:r>
    </w:p>
    <w:sectPr>
      <w:headerReference r:id="rId11" w:type="default"/>
      <w:footerReference r:id="rId12" w:type="default"/>
      <w:pgSz w:w="11906" w:h="16838"/>
      <w:pgMar w:top="2098" w:right="1531" w:bottom="1985" w:left="1531" w:header="851" w:footer="992" w:gutter="0"/>
      <w:cols w:space="72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CB3FA45-7C1B-5670-DED9-A965AB90AE75}"/>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3E13E50C-8EEB-7EA1-DED9-A9654551C74B}"/>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script"/>
    <w:pitch w:val="default"/>
    <w:sig w:usb0="A00002BF" w:usb1="38CF7CFA" w:usb2="00082016" w:usb3="00000000" w:csb0="00040001" w:csb1="00000000"/>
  </w:font>
  <w:font w:name="方正楷体_GBK">
    <w:altName w:val="汉仪楷体简"/>
    <w:panose1 w:val="03000509000000000000"/>
    <w:charset w:val="86"/>
    <w:family w:val="script"/>
    <w:pitch w:val="default"/>
    <w:sig w:usb0="00000000" w:usb1="00000000" w:usb2="00000010" w:usb3="00000000" w:csb0="00040000" w:csb1="00000000"/>
  </w:font>
  <w:font w:name="Cambria">
    <w:altName w:val="苹方-简"/>
    <w:panose1 w:val="02040503050406030204"/>
    <w:charset w:val="00"/>
    <w:family w:val="roman"/>
    <w:pitch w:val="default"/>
    <w:sig w:usb0="00000000" w:usb1="00000000" w:usb2="02000000" w:usb3="00000000" w:csb0="2000019F" w:csb1="00000000"/>
  </w:font>
  <w:font w:name="Mongolian Baiti">
    <w:altName w:val="苹方-简"/>
    <w:panose1 w:val="03000500000000000000"/>
    <w:charset w:val="00"/>
    <w:family w:val="script"/>
    <w:pitch w:val="default"/>
    <w:sig w:usb0="00000000" w:usb1="00000000" w:usb2="0002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eugv7LAIAAFU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odcsCxv9YHmEjuJ5u9wHCJh0jaL0Spy1QrelypwnI7bzn/sU9fg3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J66C/ssAgAAVQQAAA4AAAAAAAAAAQAgAAAANQEAAGRy&#10;cy9lMm9Eb2MueG1sUEsFBgAAAAAGAAYAWQEAANM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r>
      <w:drawing>
        <wp:anchor distT="0" distB="0" distL="114300" distR="114300" simplePos="0" relativeHeight="251660288" behindDoc="0" locked="0" layoutInCell="1" allowOverlap="1">
          <wp:simplePos x="0" y="0"/>
          <wp:positionH relativeFrom="column">
            <wp:posOffset>-972185</wp:posOffset>
          </wp:positionH>
          <wp:positionV relativeFrom="paragraph">
            <wp:posOffset>47625</wp:posOffset>
          </wp:positionV>
          <wp:extent cx="7543800" cy="741680"/>
          <wp:effectExtent l="0" t="0" r="0" b="1270"/>
          <wp:wrapSquare wrapText="bothSides"/>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pic:cNvPicPr>
                    <a:picLocks noChangeAspect="1"/>
                  </pic:cNvPicPr>
                </pic:nvPicPr>
                <pic:blipFill>
                  <a:blip r:embed="rId1"/>
                  <a:stretch>
                    <a:fillRect/>
                  </a:stretch>
                </pic:blipFill>
                <pic:spPr>
                  <a:xfrm>
                    <a:off x="0" y="0"/>
                    <a:ext cx="7543800" cy="74168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0PJt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Rds0UCn75/u3y49fl51cyi/I01s8RtbOIC+1b06JphnOPw8i6LZ2KX/Ah8EPc&#10;81Vc0QbC46XZdDYbw8XhGzbAzx6vW+fDO2EUiUZOHaqXRGWnrQ9d6BASs2mzqaVMFZSaNDm9ef1m&#10;nC5cPQCXGjkiie6x0Qrtvu2Z7U1xBjFnus7wlm9qJN8yHx6YQyvgwRiWcI+llAZJTG9RUhn35V/n&#10;MR4VgpeSBq2VU41JokS+16gcAMNguMHYD4Y+qjuDXp1gCC1PJi64IAezdEZ9xgStYg64mObIlNMw&#10;mHeha29MIBerVQpCr1kWtnpneYSO4nm7OgYImHSNonRK9Fqh21Jl+smI7fznPkU9/g2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ctDybSsCAABVBAAADgAAAAAAAAABACAAAAA1AQAAZHJz&#10;L2Uyb0RvYy54bWxQSwUGAAAAAAYABgBZAQAA0g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v6PlLAIAAFUEAAAOAAAAZHJz&#10;L2Uyb0RvYy54bWytVM2O0zAQviPxDpbvNGkRq27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odcsCxv9YHmEjuJ5u9wHCJh0jaL0Spy1QrelypwnI7bzn/sU9fg3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s0lY7tAAAAAFAQAADwAAAAAAAAABACAAAAA4AAAAZHJzL2Rv&#10;d25yZXYueG1sUEsBAhQAFAAAAAgAh07iQMq/o+UsAgAAVQQAAA4AAAAAAAAAAQAgAAAANQEAAGRy&#10;cy9lMm9Eb2MueG1sUEsFBgAAAAAGAAYAWQEAANM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r>
      <w:drawing>
        <wp:anchor distT="0" distB="0" distL="114300" distR="114300" simplePos="0" relativeHeight="251663360" behindDoc="0" locked="0" layoutInCell="1" allowOverlap="1">
          <wp:simplePos x="0" y="0"/>
          <wp:positionH relativeFrom="column">
            <wp:posOffset>-970280</wp:posOffset>
          </wp:positionH>
          <wp:positionV relativeFrom="paragraph">
            <wp:posOffset>39370</wp:posOffset>
          </wp:positionV>
          <wp:extent cx="7539990" cy="741680"/>
          <wp:effectExtent l="0" t="0" r="3810" b="1270"/>
          <wp:wrapSquare wrapText="bothSides"/>
          <wp:docPr id="20" name="图片 24" descr="E:\工作文件夹\✍\Z_自治区\自治区\网站年度工作报告、信息公开年报\政府信息工作年报\页脚.jpg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E:\工作文件夹\✍\Z_自治区\自治区\网站年度工作报告、信息公开年报\政府信息工作年报\页脚.jpg页脚"/>
                  <pic:cNvPicPr>
                    <a:picLocks noChangeAspect="1"/>
                  </pic:cNvPicPr>
                </pic:nvPicPr>
                <pic:blipFill>
                  <a:blip r:embed="rId1"/>
                  <a:srcRect/>
                  <a:stretch>
                    <a:fillRect/>
                  </a:stretch>
                </pic:blipFill>
                <pic:spPr>
                  <a:xfrm>
                    <a:off x="0" y="0"/>
                    <a:ext cx="7539990" cy="741680"/>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ikIRMKwIAAFcEAAAOAAAAZHJz&#10;L2Uyb0RvYy54bWytVM2O0zAQviPxDpbvNG0Rq6pquipbFSFV7EoFcXYdp4nkP9luk/IA8AacuHDn&#10;ufocfHaSLlo47IGLM/aMv5nvm3EWt62S5CScr43O6WQ0pkRobopaH3L66ePm1YwSH5gumDRa5PQs&#10;PL1dvnyxaOxcTE1lZCEcAYj288bmtArBzrPM80oo5kfGCg1naZxiAVt3yArHGqArmU3H45usMa6w&#10;znDhPU7XnZP2iO45gKYsay7Whh+V0KFDdUKyAEq+qq2ny1RtWQoe7svSi0BkTsE0pBVJYO/jmi0X&#10;bH5wzFY170tgzynhCSfFao2kV6g1C4wcXf0XlKq5M96UYcSNyjoiSRGwmIyfaLOrmBWJC6T29iq6&#10;/3+w/MPpwZG6wCRMKNFMoeOX798uP35dfn4lOINAjfVzxO0sIkP71rQIHs49DiPvtnQqfsGIwA95&#10;z1d5RRsIj5dm09lsDBeHb9gAP3u8bp0P74RRJBo5dehfkpWdtj50oUNIzKbNppYy9VBq0uT05vWb&#10;cbpw9QBcauSIJLpioxXafdsz25viDGLOdLPhLd/USL5lPjwwh2FAwXgu4R5LKQ2SmN6ipDLuy7/O&#10;Yzx6BC8lDYYrpxpviRL5XqN3AAyD4QZjPxj6qO4MphXtQC3JxAUX5GCWzqjPeEOrmAMupjky5TQM&#10;5l3oBhxvkIvVKgVh2iwLW72zPEJH8bxdHQMETLpGUToleq0wb6kz/duIA/3nPkU9/g+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YpCETCsCAABXBAAADgAAAAAAAAABACAAAAA1AQAAZHJz&#10;L2Uyb0RvYy54bWxQSwUGAAAAAAYABgBZAQAA0g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5793740</wp:posOffset>
              </wp:positionH>
              <wp:positionV relativeFrom="paragraph">
                <wp:posOffset>-4754880</wp:posOffset>
              </wp:positionV>
              <wp:extent cx="549910" cy="381000"/>
              <wp:effectExtent l="0" t="0" r="2540" b="0"/>
              <wp:wrapNone/>
              <wp:docPr id="16" name="自选图形 18"/>
              <wp:cNvGraphicFramePr/>
              <a:graphic xmlns:a="http://schemas.openxmlformats.org/drawingml/2006/main">
                <a:graphicData uri="http://schemas.microsoft.com/office/word/2010/wordprocessingShape">
                  <wps:wsp>
                    <wps:cNvSpPr/>
                    <wps:spPr>
                      <a:xfrm>
                        <a:off x="4670425" y="9658985"/>
                        <a:ext cx="549910" cy="381000"/>
                      </a:xfrm>
                      <a:prstGeom prst="leftArrow">
                        <a:avLst>
                          <a:gd name="adj1" fmla="val 57666"/>
                          <a:gd name="adj2" fmla="val 57165"/>
                        </a:avLst>
                      </a:prstGeom>
                      <a:solidFill>
                        <a:srgbClr val="C00000"/>
                      </a:solidFill>
                      <a:ln>
                        <a:noFill/>
                      </a:ln>
                    </wps:spPr>
                    <wps:bodyPr vert="horz" anchor="t" anchorCtr="0" upright="1"/>
                  </wps:wsp>
                </a:graphicData>
              </a:graphic>
            </wp:anchor>
          </w:drawing>
        </mc:Choice>
        <mc:Fallback>
          <w:pict>
            <v:shape id="自选图形 18" o:spid="_x0000_s1026" o:spt="66" type="#_x0000_t66" style="position:absolute;left:0pt;margin-left:456.2pt;margin-top:-374.4pt;height:30pt;width:43.3pt;z-index:251659264;mso-width-relative:page;mso-height-relative:page;" fillcolor="#C00000" filled="t" stroked="f" coordsize="21600,21600" o:gfxdata="UEsFBgAAAAAAAAAAAAAAAAAAAAAAAFBLAwQKAAAAAACHTuJAAAAAAAAAAAAAAAAABAAAAGRycy9Q&#10;SwMEFAAAAAgAh07iQOPiq5LdAAAADQEAAA8AAABkcnMvZG93bnJldi54bWxNj11LwzAUhu8F/0M4&#10;gjeypZ1zprXpUEEQBso2QS/PmtgUm6Qm2Vb99R6v9PK85+H9qJaj7dlBh9h5JyGfZsC0a7zqXCvh&#10;ZfswEcBiQqew905L+NIRlvXpSYWl8ke31odNahmZuFiiBJPSUHIeG6MtxqkftKPfuw8WE52h5Srg&#10;kcxtz2dZtuAWO0cJBgd9b3TzsdlbCSKYqxYv715Xz+OFePrkb9+3zaOU52d5dgMs6TH9wfBbn6pD&#10;TZ12fu9UZL2EIp/NCZUwuZ4LGkFIURQ0b0fSQpDE64r/X1H/AFBLAwQUAAAACACHTuJAbMkK+QYC&#10;AADtAwAADgAAAGRycy9lMm9Eb2MueG1srVPNjtMwEL4j8Q6W7zRJabNt1XSFWi0XBCstPIDrOI2R&#10;/zR2my4nbohn4MaRd4C3WQnegrGT7f5w2QMXZ8b+8s18n8fL86NW5CDAS2sqWoxySoThtpZmV9EP&#10;7y9ezCjxgZmaKWtERa+Fp+er58+WnVuIsW2tqgUQJDF+0bmKtiG4RZZ53grN/Mg6YfCwsaBZwBR2&#10;WQ2sQ3atsnGel1lnoXZgufAedzf9IR0Y4SmEtmkkFxvL91qY0LOCUCygJN9K5+kqdds0god3TeNF&#10;IKqiqDSkFYtgvI1rtlqyxQ6YayUfWmBPaeGRJs2kwaInqg0LjOxB/kOlJQfrbRNG3OqsF5IcQRVF&#10;/sibq5Y5kbSg1d6dTPf/j5a/PVwCkTVOQkmJYRpv/PeXH38+f7359uvm53dSzKJHnfMLhF65Sxgy&#10;j2EUfGxAxy9KIceKTsqzfDKeUnJd0Xk5nc1n095jcQyEI2A6mc8LdJ8j4OWsyPN0B9kdkQMfXgur&#10;SQwqqkQTXgHYLtnLDm98SD7XQ7Os/lhQ0miF13ZgikzPyrIcrvUeZvwQU5SpLSw7MGJ0WzjSe6tk&#10;fSGVSgnstmsFBOkrusaOTz0/gCkTwcbG39AkZIw7WbSuNytGW1tfo+H4/lBba+ETJcxwDCoabsN1&#10;6Ad070DuWsQVUU8iwilIzMPExjG7nyfU3Std/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j4quS&#10;3QAAAA0BAAAPAAAAAAAAAAEAIAAAADgAAABkcnMvZG93bnJldi54bWxQSwECFAAUAAAACACHTuJA&#10;bMkK+QYCAADtAwAADgAAAAAAAAABACAAAABCAQAAZHJzL2Uyb0RvYy54bWxQSwUGAAAAAAYABgBZ&#10;AQAAugUAAAAA&#10;" adj="8554,4572">
              <v:fill on="t" focussize="0,0"/>
              <v:stroke on="f"/>
              <v:imagedata o:title=""/>
              <o:lock v:ext="edit" aspectratio="f"/>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3dcMKgIAAFc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BToBkmimUPHL92+XH78uP78SnEGgxvo54nYWkaF9a1oED+ceh5F3WzoVv2BE4AfW&#10;+SqvaAPh8dJsOpuN4eLwDRvgZ4/XrfPhnTCKRCOnDvVLsrLT1ocudAiJ2bTZ1FKmGkpNmpzevH4z&#10;TheuHoBLjRyRRPfYaIV23/bM9qY4g5gzXW94yzc1km+ZDw/MoRnwYIxLuMdSSoMkprcoqYz78q/z&#10;GI8awUtJg+bKqcYsUSLfa9QOgGEw3GDsB0Mf1Z1Bt04whpYnExdckINZOqM+Y4ZWMQdcTHNkymkY&#10;zLvQNThmkIvVKgWh2ywLW72zPEJH8bxdHQMETLpGUToleq3Qb6ky/WzEhv5zn6Ie/wf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LNJWO7QAAAABQEAAA8AAAAAAAAAAQAgAAAAOAAAAGRycy9kb3du&#10;cmV2LnhtbFBLAQIUABQAAAAIAIdO4kDK3dcMKgIAAFcEAAAOAAAAAAAAAAEAIAAAADUBAABkcnMv&#10;ZTJvRG9jLnhtbFBLBQYAAAAABgAGAFkBAADR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p>
  <w:p>
    <w:pPr>
      <w:pStyle w:val="9"/>
      <w:jc w:val="both"/>
    </w:pPr>
    <w:r>
      <w:drawing>
        <wp:anchor distT="0" distB="0" distL="114300" distR="114300" simplePos="0" relativeHeight="251661312" behindDoc="0" locked="0" layoutInCell="1" allowOverlap="1">
          <wp:simplePos x="0" y="0"/>
          <wp:positionH relativeFrom="column">
            <wp:posOffset>-930910</wp:posOffset>
          </wp:positionH>
          <wp:positionV relativeFrom="paragraph">
            <wp:posOffset>-184150</wp:posOffset>
          </wp:positionV>
          <wp:extent cx="7449820" cy="732155"/>
          <wp:effectExtent l="0" t="0" r="17780" b="10795"/>
          <wp:wrapSquare wrapText="bothSides"/>
          <wp:docPr id="18" name="图片 19" descr="E:\工作文件夹\✍\Z_自治区\自治区\网站年度工作报告、信息公开年报\政府信息工作年报\WPS图片(1).jpg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E:\工作文件夹\✍\Z_自治区\自治区\网站年度工作报告、信息公开年报\政府信息工作年报\WPS图片(1).jpgWPS图片(1)"/>
                  <pic:cNvPicPr>
                    <a:picLocks noChangeAspect="1"/>
                  </pic:cNvPicPr>
                </pic:nvPicPr>
                <pic:blipFill>
                  <a:blip r:embed="rId1"/>
                  <a:srcRect/>
                  <a:stretch>
                    <a:fillRect/>
                  </a:stretch>
                </pic:blipFill>
                <pic:spPr>
                  <a:xfrm>
                    <a:off x="0" y="0"/>
                    <a:ext cx="7449820" cy="73215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114300" distR="114300" simplePos="0" relativeHeight="251665408" behindDoc="0" locked="0" layoutInCell="1" allowOverlap="1">
          <wp:simplePos x="0" y="0"/>
          <wp:positionH relativeFrom="column">
            <wp:posOffset>-926465</wp:posOffset>
          </wp:positionH>
          <wp:positionV relativeFrom="paragraph">
            <wp:posOffset>-42545</wp:posOffset>
          </wp:positionV>
          <wp:extent cx="7449820" cy="732155"/>
          <wp:effectExtent l="0" t="0" r="17780" b="10795"/>
          <wp:wrapSquare wrapText="bothSides"/>
          <wp:docPr id="24" name="图片 19" descr="E:\工作文件夹\✍\Z_自治区\自治区\网站年度工作报告、信息公开年报\政府信息工作年报\WPS图片(1).jpg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E:\工作文件夹\✍\Z_自治区\自治区\网站年度工作报告、信息公开年报\政府信息工作年报\WPS图片(1).jpgWPS图片(1)"/>
                  <pic:cNvPicPr>
                    <a:picLocks noChangeAspect="1"/>
                  </pic:cNvPicPr>
                </pic:nvPicPr>
                <pic:blipFill>
                  <a:blip r:embed="rId1"/>
                  <a:srcRect/>
                  <a:stretch>
                    <a:fillRect/>
                  </a:stretch>
                </pic:blipFill>
                <pic:spPr>
                  <a:xfrm>
                    <a:off x="0" y="0"/>
                    <a:ext cx="7449820" cy="73215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documentProtection w:enforcement="0"/>
  <w:defaultTabStop w:val="420"/>
  <w:drawingGridHorizontalSpacing w:val="160"/>
  <w:drawingGridVerticalSpacing w:val="435"/>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jY2JjZGU3ZDA3YmJiNzRkYjljYjlhYmY3ZDIxYjMifQ=="/>
  </w:docVars>
  <w:rsids>
    <w:rsidRoot w:val="001F4B1F"/>
    <w:rsid w:val="00033F97"/>
    <w:rsid w:val="00034CAE"/>
    <w:rsid w:val="00045313"/>
    <w:rsid w:val="00046EAE"/>
    <w:rsid w:val="000543D8"/>
    <w:rsid w:val="00064AC4"/>
    <w:rsid w:val="00084494"/>
    <w:rsid w:val="0008718A"/>
    <w:rsid w:val="000B5CBB"/>
    <w:rsid w:val="000D4C42"/>
    <w:rsid w:val="000D5623"/>
    <w:rsid w:val="00111878"/>
    <w:rsid w:val="001321C6"/>
    <w:rsid w:val="00141A2D"/>
    <w:rsid w:val="00160C04"/>
    <w:rsid w:val="0016306B"/>
    <w:rsid w:val="001701E1"/>
    <w:rsid w:val="00181751"/>
    <w:rsid w:val="001A07B5"/>
    <w:rsid w:val="001E0BF4"/>
    <w:rsid w:val="001E5A6F"/>
    <w:rsid w:val="001E7957"/>
    <w:rsid w:val="001F068B"/>
    <w:rsid w:val="001F10B7"/>
    <w:rsid w:val="001F31EE"/>
    <w:rsid w:val="001F4B1F"/>
    <w:rsid w:val="00226E04"/>
    <w:rsid w:val="00234198"/>
    <w:rsid w:val="00242AD8"/>
    <w:rsid w:val="002463B7"/>
    <w:rsid w:val="0027077E"/>
    <w:rsid w:val="0028309E"/>
    <w:rsid w:val="00285346"/>
    <w:rsid w:val="002870AE"/>
    <w:rsid w:val="002A0C51"/>
    <w:rsid w:val="002D336F"/>
    <w:rsid w:val="002E677C"/>
    <w:rsid w:val="002E68FC"/>
    <w:rsid w:val="002E7292"/>
    <w:rsid w:val="002F4A9E"/>
    <w:rsid w:val="002F79E2"/>
    <w:rsid w:val="00303CA8"/>
    <w:rsid w:val="00313809"/>
    <w:rsid w:val="0033294F"/>
    <w:rsid w:val="00333003"/>
    <w:rsid w:val="003464A6"/>
    <w:rsid w:val="0034792F"/>
    <w:rsid w:val="00370D13"/>
    <w:rsid w:val="00377B4F"/>
    <w:rsid w:val="00380876"/>
    <w:rsid w:val="003846E3"/>
    <w:rsid w:val="00385826"/>
    <w:rsid w:val="00385F9D"/>
    <w:rsid w:val="00392831"/>
    <w:rsid w:val="00392C06"/>
    <w:rsid w:val="00395027"/>
    <w:rsid w:val="003969C8"/>
    <w:rsid w:val="003A6A10"/>
    <w:rsid w:val="003C472A"/>
    <w:rsid w:val="003D7092"/>
    <w:rsid w:val="003E6A18"/>
    <w:rsid w:val="003F7E29"/>
    <w:rsid w:val="004008FC"/>
    <w:rsid w:val="004029C7"/>
    <w:rsid w:val="004039F2"/>
    <w:rsid w:val="00410770"/>
    <w:rsid w:val="00412828"/>
    <w:rsid w:val="0042139F"/>
    <w:rsid w:val="00423AB2"/>
    <w:rsid w:val="00425614"/>
    <w:rsid w:val="00436C51"/>
    <w:rsid w:val="0044104E"/>
    <w:rsid w:val="0044454B"/>
    <w:rsid w:val="00444CF8"/>
    <w:rsid w:val="00452CA8"/>
    <w:rsid w:val="00463FCF"/>
    <w:rsid w:val="00466B26"/>
    <w:rsid w:val="004902DB"/>
    <w:rsid w:val="004A637C"/>
    <w:rsid w:val="004B1058"/>
    <w:rsid w:val="004B13F1"/>
    <w:rsid w:val="004B1B02"/>
    <w:rsid w:val="004B4B97"/>
    <w:rsid w:val="004B588E"/>
    <w:rsid w:val="004D379A"/>
    <w:rsid w:val="004E2CF4"/>
    <w:rsid w:val="004E7A25"/>
    <w:rsid w:val="004F0E41"/>
    <w:rsid w:val="005004E0"/>
    <w:rsid w:val="00501373"/>
    <w:rsid w:val="00501B0F"/>
    <w:rsid w:val="00503EBB"/>
    <w:rsid w:val="005138C9"/>
    <w:rsid w:val="00521FC4"/>
    <w:rsid w:val="00550F8F"/>
    <w:rsid w:val="0057167E"/>
    <w:rsid w:val="00592ECC"/>
    <w:rsid w:val="005D39C6"/>
    <w:rsid w:val="005E2432"/>
    <w:rsid w:val="005E3B3D"/>
    <w:rsid w:val="005F10D9"/>
    <w:rsid w:val="006126C4"/>
    <w:rsid w:val="00612D34"/>
    <w:rsid w:val="00622896"/>
    <w:rsid w:val="0063042C"/>
    <w:rsid w:val="006440D1"/>
    <w:rsid w:val="00662DFA"/>
    <w:rsid w:val="00664585"/>
    <w:rsid w:val="00675086"/>
    <w:rsid w:val="006863B9"/>
    <w:rsid w:val="00690171"/>
    <w:rsid w:val="006B4FBF"/>
    <w:rsid w:val="006C2EF5"/>
    <w:rsid w:val="006D28E6"/>
    <w:rsid w:val="006D3002"/>
    <w:rsid w:val="006E30CD"/>
    <w:rsid w:val="007133CC"/>
    <w:rsid w:val="00717CAB"/>
    <w:rsid w:val="00717F89"/>
    <w:rsid w:val="00731EF9"/>
    <w:rsid w:val="00732B64"/>
    <w:rsid w:val="00734EA0"/>
    <w:rsid w:val="00740557"/>
    <w:rsid w:val="00743436"/>
    <w:rsid w:val="007475EB"/>
    <w:rsid w:val="00750A2B"/>
    <w:rsid w:val="007611B5"/>
    <w:rsid w:val="00764270"/>
    <w:rsid w:val="00781CDA"/>
    <w:rsid w:val="00784A42"/>
    <w:rsid w:val="007959CC"/>
    <w:rsid w:val="007A74AC"/>
    <w:rsid w:val="007B3567"/>
    <w:rsid w:val="007B5A5C"/>
    <w:rsid w:val="007C2325"/>
    <w:rsid w:val="007C6C50"/>
    <w:rsid w:val="007C73B4"/>
    <w:rsid w:val="007D2858"/>
    <w:rsid w:val="007E56FD"/>
    <w:rsid w:val="007E5BE4"/>
    <w:rsid w:val="00830CF4"/>
    <w:rsid w:val="008326FB"/>
    <w:rsid w:val="0083460A"/>
    <w:rsid w:val="00836A5A"/>
    <w:rsid w:val="008444B8"/>
    <w:rsid w:val="008526E0"/>
    <w:rsid w:val="00862D08"/>
    <w:rsid w:val="00865ECE"/>
    <w:rsid w:val="0087082F"/>
    <w:rsid w:val="008847C1"/>
    <w:rsid w:val="008906A6"/>
    <w:rsid w:val="00892864"/>
    <w:rsid w:val="008A1B8B"/>
    <w:rsid w:val="008A75C9"/>
    <w:rsid w:val="008B1AA2"/>
    <w:rsid w:val="008C01E4"/>
    <w:rsid w:val="008C07C4"/>
    <w:rsid w:val="00913381"/>
    <w:rsid w:val="00915DC6"/>
    <w:rsid w:val="00923838"/>
    <w:rsid w:val="00941594"/>
    <w:rsid w:val="00950EC5"/>
    <w:rsid w:val="00967A9F"/>
    <w:rsid w:val="00971532"/>
    <w:rsid w:val="00973F28"/>
    <w:rsid w:val="00974D40"/>
    <w:rsid w:val="00976E73"/>
    <w:rsid w:val="009922AC"/>
    <w:rsid w:val="009943DE"/>
    <w:rsid w:val="0099785A"/>
    <w:rsid w:val="009A2CE5"/>
    <w:rsid w:val="009E74EB"/>
    <w:rsid w:val="009F6879"/>
    <w:rsid w:val="00A12604"/>
    <w:rsid w:val="00A21544"/>
    <w:rsid w:val="00A23D67"/>
    <w:rsid w:val="00A34EDB"/>
    <w:rsid w:val="00A50CB8"/>
    <w:rsid w:val="00A60FE2"/>
    <w:rsid w:val="00A63AD7"/>
    <w:rsid w:val="00A83F93"/>
    <w:rsid w:val="00A8535E"/>
    <w:rsid w:val="00A91AA4"/>
    <w:rsid w:val="00AA0F25"/>
    <w:rsid w:val="00AA778E"/>
    <w:rsid w:val="00AB0C3C"/>
    <w:rsid w:val="00AB1722"/>
    <w:rsid w:val="00AC1737"/>
    <w:rsid w:val="00AF0D83"/>
    <w:rsid w:val="00AF0FB9"/>
    <w:rsid w:val="00AF1058"/>
    <w:rsid w:val="00B00A73"/>
    <w:rsid w:val="00B01289"/>
    <w:rsid w:val="00B04C6C"/>
    <w:rsid w:val="00B14602"/>
    <w:rsid w:val="00B146FF"/>
    <w:rsid w:val="00B40DFF"/>
    <w:rsid w:val="00B63AE8"/>
    <w:rsid w:val="00B668D1"/>
    <w:rsid w:val="00B72173"/>
    <w:rsid w:val="00B72745"/>
    <w:rsid w:val="00B90E35"/>
    <w:rsid w:val="00BA2286"/>
    <w:rsid w:val="00BA45C4"/>
    <w:rsid w:val="00BC2D43"/>
    <w:rsid w:val="00BC6345"/>
    <w:rsid w:val="00BE3052"/>
    <w:rsid w:val="00C1398F"/>
    <w:rsid w:val="00C31150"/>
    <w:rsid w:val="00C31247"/>
    <w:rsid w:val="00C364FE"/>
    <w:rsid w:val="00C4107A"/>
    <w:rsid w:val="00C72E3F"/>
    <w:rsid w:val="00C82458"/>
    <w:rsid w:val="00C86D8B"/>
    <w:rsid w:val="00C95EAE"/>
    <w:rsid w:val="00CA5E02"/>
    <w:rsid w:val="00CB0FB7"/>
    <w:rsid w:val="00CB4DC5"/>
    <w:rsid w:val="00CC2C58"/>
    <w:rsid w:val="00CC3EF0"/>
    <w:rsid w:val="00CD6D3F"/>
    <w:rsid w:val="00CD6D46"/>
    <w:rsid w:val="00CE4D8A"/>
    <w:rsid w:val="00CF3DC0"/>
    <w:rsid w:val="00D04AD3"/>
    <w:rsid w:val="00D12CA1"/>
    <w:rsid w:val="00D168F0"/>
    <w:rsid w:val="00D21F33"/>
    <w:rsid w:val="00D21FB4"/>
    <w:rsid w:val="00D46D3E"/>
    <w:rsid w:val="00D55A69"/>
    <w:rsid w:val="00D66EB5"/>
    <w:rsid w:val="00D72796"/>
    <w:rsid w:val="00D76F29"/>
    <w:rsid w:val="00DA0778"/>
    <w:rsid w:val="00DC5937"/>
    <w:rsid w:val="00DD73D0"/>
    <w:rsid w:val="00DF2DA3"/>
    <w:rsid w:val="00E01E26"/>
    <w:rsid w:val="00E02485"/>
    <w:rsid w:val="00E21D11"/>
    <w:rsid w:val="00E345A2"/>
    <w:rsid w:val="00E528AF"/>
    <w:rsid w:val="00E602F5"/>
    <w:rsid w:val="00E737E8"/>
    <w:rsid w:val="00E77215"/>
    <w:rsid w:val="00E86E3F"/>
    <w:rsid w:val="00E90332"/>
    <w:rsid w:val="00E9210F"/>
    <w:rsid w:val="00EB38CF"/>
    <w:rsid w:val="00EB5B86"/>
    <w:rsid w:val="00EC5F8A"/>
    <w:rsid w:val="00ED4892"/>
    <w:rsid w:val="00EE1324"/>
    <w:rsid w:val="00EE18FD"/>
    <w:rsid w:val="00EE4B18"/>
    <w:rsid w:val="00EF4340"/>
    <w:rsid w:val="00EF4C4A"/>
    <w:rsid w:val="00EF5CBF"/>
    <w:rsid w:val="00EF70B0"/>
    <w:rsid w:val="00F00B15"/>
    <w:rsid w:val="00F03206"/>
    <w:rsid w:val="00F06DDA"/>
    <w:rsid w:val="00F10125"/>
    <w:rsid w:val="00F1666B"/>
    <w:rsid w:val="00F27A5B"/>
    <w:rsid w:val="00F42CD4"/>
    <w:rsid w:val="00F6426E"/>
    <w:rsid w:val="00F730B0"/>
    <w:rsid w:val="00F73E6D"/>
    <w:rsid w:val="00F945B0"/>
    <w:rsid w:val="00F95FC5"/>
    <w:rsid w:val="00FA388F"/>
    <w:rsid w:val="00FB2BBD"/>
    <w:rsid w:val="00FB2C4C"/>
    <w:rsid w:val="00FC0356"/>
    <w:rsid w:val="00FC6D78"/>
    <w:rsid w:val="00FD5F19"/>
    <w:rsid w:val="00FE0DE6"/>
    <w:rsid w:val="00FF0B53"/>
    <w:rsid w:val="00FF56D4"/>
    <w:rsid w:val="01687703"/>
    <w:rsid w:val="02134A4E"/>
    <w:rsid w:val="03C65B8C"/>
    <w:rsid w:val="06A45C4A"/>
    <w:rsid w:val="06BF1090"/>
    <w:rsid w:val="085E70EE"/>
    <w:rsid w:val="0ADB2F12"/>
    <w:rsid w:val="0B290458"/>
    <w:rsid w:val="0F5C0DE5"/>
    <w:rsid w:val="0F755EAC"/>
    <w:rsid w:val="0F960FF5"/>
    <w:rsid w:val="0FA92BAE"/>
    <w:rsid w:val="10302D71"/>
    <w:rsid w:val="10754B4B"/>
    <w:rsid w:val="12FDE2F0"/>
    <w:rsid w:val="141D4996"/>
    <w:rsid w:val="141F355B"/>
    <w:rsid w:val="161231C6"/>
    <w:rsid w:val="174C526D"/>
    <w:rsid w:val="174F7047"/>
    <w:rsid w:val="1C384C72"/>
    <w:rsid w:val="1CF80111"/>
    <w:rsid w:val="1D1F052F"/>
    <w:rsid w:val="1D2222ED"/>
    <w:rsid w:val="1DC33830"/>
    <w:rsid w:val="1E1D2337"/>
    <w:rsid w:val="1F9C6A9E"/>
    <w:rsid w:val="204C70BA"/>
    <w:rsid w:val="21052279"/>
    <w:rsid w:val="21164837"/>
    <w:rsid w:val="211C20D4"/>
    <w:rsid w:val="22601159"/>
    <w:rsid w:val="22E4374C"/>
    <w:rsid w:val="23016D2B"/>
    <w:rsid w:val="23E444B0"/>
    <w:rsid w:val="24FF7244"/>
    <w:rsid w:val="252A0498"/>
    <w:rsid w:val="282B532D"/>
    <w:rsid w:val="2996384D"/>
    <w:rsid w:val="2A49411B"/>
    <w:rsid w:val="2A4B6D99"/>
    <w:rsid w:val="2AAA1D8C"/>
    <w:rsid w:val="2C5D4163"/>
    <w:rsid w:val="2CC83B09"/>
    <w:rsid w:val="2DC9762F"/>
    <w:rsid w:val="2F192D8E"/>
    <w:rsid w:val="30DB1EE4"/>
    <w:rsid w:val="334A7BD0"/>
    <w:rsid w:val="364C320D"/>
    <w:rsid w:val="38715838"/>
    <w:rsid w:val="38C03A7A"/>
    <w:rsid w:val="3AE724CE"/>
    <w:rsid w:val="3B6F4378"/>
    <w:rsid w:val="3C4D55F3"/>
    <w:rsid w:val="3CA86768"/>
    <w:rsid w:val="3D3E037C"/>
    <w:rsid w:val="3D532F90"/>
    <w:rsid w:val="3D53419E"/>
    <w:rsid w:val="3EBB7457"/>
    <w:rsid w:val="3F4151BA"/>
    <w:rsid w:val="3F5208C5"/>
    <w:rsid w:val="3F5682AD"/>
    <w:rsid w:val="402F7891"/>
    <w:rsid w:val="41A6616D"/>
    <w:rsid w:val="434037C1"/>
    <w:rsid w:val="43682C62"/>
    <w:rsid w:val="439717DD"/>
    <w:rsid w:val="43C4189E"/>
    <w:rsid w:val="43D2272A"/>
    <w:rsid w:val="4419762A"/>
    <w:rsid w:val="46056582"/>
    <w:rsid w:val="48FA4628"/>
    <w:rsid w:val="4B136EAD"/>
    <w:rsid w:val="4BC97B00"/>
    <w:rsid w:val="4C0B20AC"/>
    <w:rsid w:val="4C825883"/>
    <w:rsid w:val="4E521E50"/>
    <w:rsid w:val="4F03700C"/>
    <w:rsid w:val="4FC27CB3"/>
    <w:rsid w:val="50B972DA"/>
    <w:rsid w:val="53061FB1"/>
    <w:rsid w:val="533338DF"/>
    <w:rsid w:val="552C331F"/>
    <w:rsid w:val="55C52481"/>
    <w:rsid w:val="55E65A30"/>
    <w:rsid w:val="57D8223E"/>
    <w:rsid w:val="58446CBC"/>
    <w:rsid w:val="5A6F62B1"/>
    <w:rsid w:val="5A730C4F"/>
    <w:rsid w:val="5A9A79D8"/>
    <w:rsid w:val="5C442812"/>
    <w:rsid w:val="5C696895"/>
    <w:rsid w:val="5C904F00"/>
    <w:rsid w:val="5D206234"/>
    <w:rsid w:val="5D471ADA"/>
    <w:rsid w:val="5D905DBA"/>
    <w:rsid w:val="5E260D99"/>
    <w:rsid w:val="5FCE31F2"/>
    <w:rsid w:val="60482814"/>
    <w:rsid w:val="60A4122C"/>
    <w:rsid w:val="60DA3FC6"/>
    <w:rsid w:val="617E3145"/>
    <w:rsid w:val="61BA0E14"/>
    <w:rsid w:val="62343FFC"/>
    <w:rsid w:val="62C247BC"/>
    <w:rsid w:val="66A17AD9"/>
    <w:rsid w:val="67190129"/>
    <w:rsid w:val="67197CB0"/>
    <w:rsid w:val="674D2AEF"/>
    <w:rsid w:val="683804E1"/>
    <w:rsid w:val="68CB0E27"/>
    <w:rsid w:val="6A4449BB"/>
    <w:rsid w:val="6B9D5C7B"/>
    <w:rsid w:val="6CE8716E"/>
    <w:rsid w:val="6EE559A0"/>
    <w:rsid w:val="6FCA3AFD"/>
    <w:rsid w:val="706B4F03"/>
    <w:rsid w:val="729629F6"/>
    <w:rsid w:val="72D46465"/>
    <w:rsid w:val="73A805C7"/>
    <w:rsid w:val="74203CE3"/>
    <w:rsid w:val="74FB0CAF"/>
    <w:rsid w:val="7504251A"/>
    <w:rsid w:val="775FCDE8"/>
    <w:rsid w:val="789C4425"/>
    <w:rsid w:val="78AC43B2"/>
    <w:rsid w:val="79940965"/>
    <w:rsid w:val="7A5C4880"/>
    <w:rsid w:val="7B1E374E"/>
    <w:rsid w:val="7C446527"/>
    <w:rsid w:val="7C46578B"/>
    <w:rsid w:val="7D26379F"/>
    <w:rsid w:val="7EDD4BA5"/>
    <w:rsid w:val="7F0710A1"/>
    <w:rsid w:val="7FED1E9A"/>
    <w:rsid w:val="DEBFF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jc w:val="both"/>
    </w:pPr>
    <w:rPr>
      <w:rFonts w:ascii="仿宋" w:hAnsi="仿宋" w:eastAsia="方正仿宋_GBK" w:cs="Times New Roman"/>
      <w:kern w:val="2"/>
      <w:sz w:val="32"/>
      <w:szCs w:val="22"/>
      <w:lang w:val="en-US" w:eastAsia="zh-CN" w:bidi="ar-SA"/>
    </w:rPr>
  </w:style>
  <w:style w:type="paragraph" w:styleId="2">
    <w:name w:val="heading 1"/>
    <w:basedOn w:val="1"/>
    <w:next w:val="1"/>
    <w:link w:val="16"/>
    <w:qFormat/>
    <w:uiPriority w:val="0"/>
    <w:pPr>
      <w:ind w:firstLine="200" w:firstLineChars="200"/>
      <w:outlineLvl w:val="0"/>
    </w:pPr>
    <w:rPr>
      <w:rFonts w:eastAsia="黑体" w:cs="宋体"/>
      <w:bCs/>
      <w:kern w:val="44"/>
      <w:szCs w:val="44"/>
    </w:rPr>
  </w:style>
  <w:style w:type="paragraph" w:styleId="3">
    <w:name w:val="heading 2"/>
    <w:basedOn w:val="1"/>
    <w:next w:val="1"/>
    <w:link w:val="17"/>
    <w:unhideWhenUsed/>
    <w:qFormat/>
    <w:uiPriority w:val="0"/>
    <w:pPr>
      <w:ind w:firstLine="200" w:firstLineChars="200"/>
      <w:outlineLvl w:val="1"/>
    </w:pPr>
    <w:rPr>
      <w:rFonts w:eastAsia="方正楷体_GBK" w:cs="宋体"/>
      <w:b/>
      <w:bCs/>
      <w:kern w:val="0"/>
      <w:szCs w:val="32"/>
    </w:rPr>
  </w:style>
  <w:style w:type="paragraph" w:styleId="4">
    <w:name w:val="heading 3"/>
    <w:basedOn w:val="1"/>
    <w:next w:val="1"/>
    <w:link w:val="18"/>
    <w:unhideWhenUsed/>
    <w:qFormat/>
    <w:uiPriority w:val="0"/>
    <w:pPr>
      <w:ind w:firstLine="200" w:firstLineChars="200"/>
      <w:outlineLvl w:val="2"/>
    </w:pPr>
    <w:rPr>
      <w:rFonts w:cs="宋体"/>
      <w:b/>
      <w:bCs/>
      <w:kern w:val="0"/>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35"/>
    <w:rPr>
      <w:rFonts w:ascii="Cambria" w:hAnsi="Cambria" w:eastAsia="黑体" w:cs="Mongolian Baiti"/>
      <w:sz w:val="20"/>
      <w:szCs w:val="20"/>
    </w:rPr>
  </w:style>
  <w:style w:type="paragraph" w:styleId="6">
    <w:name w:val="Plain Text"/>
    <w:basedOn w:val="1"/>
    <w:link w:val="19"/>
    <w:unhideWhenUsed/>
    <w:qFormat/>
    <w:uiPriority w:val="99"/>
    <w:pPr>
      <w:ind w:firstLine="200" w:firstLineChars="200"/>
    </w:pPr>
    <w:rPr>
      <w:rFonts w:ascii="宋体" w:hAnsi="Courier New" w:eastAsia="宋体" w:cs="Courier New"/>
      <w:kern w:val="0"/>
      <w:sz w:val="20"/>
      <w:szCs w:val="21"/>
    </w:rPr>
  </w:style>
  <w:style w:type="paragraph" w:styleId="7">
    <w:name w:val="Balloon Text"/>
    <w:basedOn w:val="1"/>
    <w:link w:val="20"/>
    <w:unhideWhenUsed/>
    <w:qFormat/>
    <w:uiPriority w:val="99"/>
    <w:pPr>
      <w:spacing w:line="240" w:lineRule="auto"/>
    </w:pPr>
    <w:rPr>
      <w:sz w:val="18"/>
      <w:szCs w:val="18"/>
    </w:rPr>
  </w:style>
  <w:style w:type="paragraph" w:styleId="8">
    <w:name w:val="footer"/>
    <w:basedOn w:val="1"/>
    <w:link w:val="21"/>
    <w:unhideWhenUsed/>
    <w:qFormat/>
    <w:uiPriority w:val="99"/>
    <w:pPr>
      <w:tabs>
        <w:tab w:val="center" w:pos="4153"/>
        <w:tab w:val="right" w:pos="8306"/>
      </w:tabs>
      <w:snapToGrid w:val="0"/>
      <w:spacing w:line="240" w:lineRule="atLeast"/>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0">
    <w:name w:val="Normal (Web)"/>
    <w:basedOn w:val="1"/>
    <w:unhideWhenUsed/>
    <w:qFormat/>
    <w:uiPriority w:val="0"/>
    <w:pPr>
      <w:spacing w:before="100" w:beforeAutospacing="1" w:after="100" w:afterAutospacing="1"/>
      <w:jc w:val="left"/>
    </w:pPr>
    <w:rPr>
      <w:kern w:val="0"/>
      <w:sz w:val="24"/>
    </w:rPr>
  </w:style>
  <w:style w:type="table" w:styleId="12">
    <w:name w:val="Table Grid"/>
    <w:basedOn w:val="11"/>
    <w:qFormat/>
    <w:uiPriority w:val="59"/>
    <w:rPr>
      <w:rFonts w:ascii="Calibri" w:hAnsi="Calibri" w:cs="Mongolian Bait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rPr>
  </w:style>
  <w:style w:type="character" w:styleId="15">
    <w:name w:val="page number"/>
    <w:basedOn w:val="13"/>
    <w:unhideWhenUsed/>
    <w:qFormat/>
    <w:uiPriority w:val="99"/>
  </w:style>
  <w:style w:type="character" w:customStyle="1" w:styleId="16">
    <w:name w:val="标题 1 字符"/>
    <w:link w:val="2"/>
    <w:qFormat/>
    <w:uiPriority w:val="0"/>
    <w:rPr>
      <w:rFonts w:ascii="仿宋" w:hAnsi="仿宋" w:eastAsia="黑体" w:cs="宋体"/>
      <w:bCs/>
      <w:kern w:val="44"/>
      <w:sz w:val="32"/>
      <w:szCs w:val="44"/>
    </w:rPr>
  </w:style>
  <w:style w:type="character" w:customStyle="1" w:styleId="17">
    <w:name w:val="标题 2 字符"/>
    <w:link w:val="3"/>
    <w:qFormat/>
    <w:uiPriority w:val="0"/>
    <w:rPr>
      <w:rFonts w:ascii="仿宋" w:hAnsi="仿宋" w:eastAsia="方正楷体_GBK" w:cs="宋体"/>
      <w:b/>
      <w:bCs/>
      <w:kern w:val="0"/>
      <w:sz w:val="32"/>
      <w:szCs w:val="32"/>
    </w:rPr>
  </w:style>
  <w:style w:type="character" w:customStyle="1" w:styleId="18">
    <w:name w:val="标题 3 字符"/>
    <w:link w:val="4"/>
    <w:qFormat/>
    <w:uiPriority w:val="0"/>
    <w:rPr>
      <w:rFonts w:ascii="仿宋" w:hAnsi="仿宋" w:eastAsia="方正仿宋_GBK" w:cs="宋体"/>
      <w:b/>
      <w:bCs/>
      <w:kern w:val="0"/>
      <w:sz w:val="32"/>
      <w:szCs w:val="32"/>
    </w:rPr>
  </w:style>
  <w:style w:type="character" w:customStyle="1" w:styleId="19">
    <w:name w:val="纯文本 字符"/>
    <w:link w:val="6"/>
    <w:qFormat/>
    <w:uiPriority w:val="99"/>
    <w:rPr>
      <w:rFonts w:ascii="宋体" w:hAnsi="Courier New" w:eastAsia="宋体" w:cs="Courier New"/>
      <w:kern w:val="0"/>
      <w:sz w:val="20"/>
      <w:szCs w:val="21"/>
    </w:rPr>
  </w:style>
  <w:style w:type="character" w:customStyle="1" w:styleId="20">
    <w:name w:val="批注框文本 字符"/>
    <w:link w:val="7"/>
    <w:semiHidden/>
    <w:qFormat/>
    <w:uiPriority w:val="99"/>
    <w:rPr>
      <w:rFonts w:ascii="仿宋" w:hAnsi="仿宋" w:eastAsia="方正仿宋_GBK" w:cs="Times New Roman"/>
      <w:sz w:val="18"/>
      <w:szCs w:val="18"/>
    </w:rPr>
  </w:style>
  <w:style w:type="character" w:customStyle="1" w:styleId="21">
    <w:name w:val="页脚 字符"/>
    <w:link w:val="8"/>
    <w:qFormat/>
    <w:uiPriority w:val="99"/>
    <w:rPr>
      <w:rFonts w:ascii="仿宋" w:hAnsi="仿宋" w:eastAsia="方正仿宋_GBK" w:cs="Times New Roman"/>
      <w:sz w:val="18"/>
      <w:szCs w:val="18"/>
    </w:rPr>
  </w:style>
  <w:style w:type="character" w:customStyle="1" w:styleId="22">
    <w:name w:val="页眉 字符"/>
    <w:link w:val="9"/>
    <w:qFormat/>
    <w:uiPriority w:val="99"/>
    <w:rPr>
      <w:rFonts w:ascii="仿宋" w:hAnsi="仿宋" w:eastAsia="方正仿宋_GBK" w:cs="Times New Roman"/>
      <w:sz w:val="18"/>
      <w:szCs w:val="18"/>
    </w:rPr>
  </w:style>
  <w:style w:type="paragraph"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3412</Words>
  <Characters>3702</Characters>
  <Lines>29</Lines>
  <Paragraphs>8</Paragraphs>
  <TotalTime>6</TotalTime>
  <ScaleCrop>false</ScaleCrop>
  <LinksUpToDate>false</LinksUpToDate>
  <CharactersWithSpaces>3704</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2023-04-01T17:51:00Z</dcterms:created>
  <dc:creator>lenovo</dc:creator>
  <cp:lastModifiedBy>付林寅</cp:lastModifiedBy>
  <cp:lastPrinted>2023-04-01T17:50:00Z</cp:lastPrinted>
  <dcterms:modified xsi:type="dcterms:W3CDTF">2024-01-19T10:09:34Z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KSOSaveFontToCloudKey">
    <vt:lpwstr>2277129_btnclosed</vt:lpwstr>
  </property>
  <property fmtid="{D5CDD505-2E9C-101B-9397-08002B2CF9AE}" pid="4" name="ICV">
    <vt:lpwstr>3651275C61B4D02291A026648CDC3348</vt:lpwstr>
  </property>
</Properties>
</file>