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/>
          <w:b/>
          <w:color w:val="FF0000"/>
          <w:spacing w:val="-20"/>
          <w:w w:val="5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60" w:lineRule="exact"/>
        <w:ind w:firstLine="160" w:firstLineChars="5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w w:val="1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w w:val="100"/>
          <w:sz w:val="44"/>
          <w:szCs w:val="44"/>
          <w:lang w:eastAsia="zh-CN"/>
        </w:rPr>
        <w:t>内蒙古自治区人民政府办公厅关于印发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w w:val="1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w w:val="100"/>
          <w:sz w:val="44"/>
          <w:szCs w:val="44"/>
          <w:lang w:eastAsia="zh-CN"/>
        </w:rPr>
        <w:t>自治区低空空域管理改革实施方案的通知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内政办发〔2024〕</w:t>
      </w:r>
      <w:r>
        <w:rPr>
          <w:rFonts w:hint="eastAsia" w:ascii="仿宋_GB2312" w:hAnsi="华文仿宋" w:eastAsia="仿宋_GB2312"/>
          <w:sz w:val="32"/>
          <w:lang w:val="en-US" w:eastAsia="zh-CN"/>
        </w:rPr>
        <w:t>47</w:t>
      </w:r>
      <w:r>
        <w:rPr>
          <w:rFonts w:hint="eastAsia" w:ascii="仿宋_GB2312" w:hAnsi="华文仿宋" w:eastAsia="仿宋_GB2312"/>
          <w:sz w:val="32"/>
          <w:lang w:eastAsia="zh-CN"/>
        </w:rPr>
        <w:t>号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楷体_GBK" w:hAnsi="方正楷体_GBK" w:eastAsia="方正楷体_GBK" w:cs="方正楷体_GBK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" w:hAnsi="楷体" w:eastAsia="楷体" w:cs="楷体"/>
          <w:w w:val="100"/>
          <w:sz w:val="32"/>
          <w:szCs w:val="32"/>
        </w:rPr>
      </w:pPr>
      <w:r>
        <w:rPr>
          <w:rFonts w:hint="eastAsia" w:ascii="楷体" w:hAnsi="楷体" w:eastAsia="楷体" w:cs="楷体"/>
          <w:w w:val="100"/>
          <w:sz w:val="32"/>
          <w:szCs w:val="32"/>
          <w:lang w:eastAsia="zh-CN"/>
        </w:rPr>
        <w:t>各盟行政公署、市人民政府，自治区各委、办、厅、局，各大企业、事业单位</w:t>
      </w:r>
      <w:r>
        <w:rPr>
          <w:rFonts w:hint="eastAsia" w:ascii="楷体" w:hAnsi="楷体" w:eastAsia="楷体" w:cs="楷体"/>
          <w:w w:val="10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640"/>
        <w:textAlignment w:val="auto"/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  <w:t>经自治区人民政府同意，现将《内蒙古自治区低空空域管理改革实施方案》印发给你们，请结合实际，认真贯彻落实。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</w:pPr>
    </w:p>
    <w:p>
      <w:pPr>
        <w:rPr>
          <w:rFonts w:hint="eastAsia" w:ascii="楷体" w:hAnsi="楷体" w:eastAsia="楷体" w:cs="楷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" w:hAnsi="楷体" w:eastAsia="楷体" w:cs="楷体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  <w:t xml:space="preserve">                                 2024年11月10日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  <w:t>（此件公开发布）</w:t>
      </w:r>
    </w:p>
    <w:p>
      <w:pPr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</w:pPr>
    </w:p>
    <w:p>
      <w:pPr>
        <w:pStyle w:val="3"/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</w:pPr>
    </w:p>
    <w:p>
      <w:pPr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 w:eastAsia="宋体"/>
          <w:b/>
          <w:color w:val="FF0000"/>
          <w:spacing w:val="-20"/>
          <w:w w:val="100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w w:val="100"/>
          <w:sz w:val="44"/>
          <w:szCs w:val="44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highlight w:val="none"/>
          <w:lang w:val="en-US" w:eastAsia="zh-CN"/>
        </w:rPr>
        <w:t>内蒙古自治区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highlight w:val="none"/>
        </w:rPr>
        <w:t>低空空域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highlight w:val="none"/>
          <w:lang w:val="en-US"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highlight w:val="none"/>
        </w:rPr>
        <w:t>改革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highlight w:val="none"/>
          <w:lang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highlight w:val="none"/>
          <w:lang w:val="en-US"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w w:val="100"/>
          <w:sz w:val="40"/>
          <w:szCs w:val="4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100"/>
          <w:sz w:val="32"/>
          <w:szCs w:val="32"/>
          <w:highlight w:val="none"/>
        </w:rPr>
        <w:t>低空空域是发展低空经济和通航产业的基础。为进一步深化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lang w:eastAsia="zh-CN"/>
        </w:rPr>
        <w:t>全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</w:rPr>
        <w:t>区低空空域管理改革，规范低空空域管理，确保低空飞行安全顺畅和高效，提高空域资源利用率，助力低空经济高质量发展，结合自治区实际，制定本方案。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w w:val="100"/>
          <w:sz w:val="32"/>
          <w:szCs w:val="32"/>
          <w:highlight w:val="none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highlight w:val="none"/>
          <w:u w:val="none"/>
          <w:lang w:val="en-US" w:eastAsia="zh-CN"/>
        </w:rPr>
        <w:t>以习近平新时代中国特色社会主义思想为指导，深入贯彻党的二十大和二十届二中、三中全会精神，坚持以铸牢中华民族共同体意识为工作主线，以建立“军地民”三方协同管理机制为重点，以搭建低空综合监管服务平台为依托，以满足军方、民航管理要求和用户低空飞行需求为导向，以低空空域动态管理、灵活使用为目的，按照政府主导、多方协同、规划引领、需求牵引、市场化运营的原则，深化体制机制改革、稳妥有序布局基础设施，先期建设数据信息平台，同步完善运行规则，加快培育市场主体。到2027年，全区低空空域充分释放、高效利用，低空飞行基础设施有效覆盖，综合监管服务平台高效运行，规章制度健全规范，“军地民”三方低空空域协同管理体系基本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w w:val="100"/>
          <w:sz w:val="32"/>
          <w:szCs w:val="32"/>
          <w:highlight w:val="none"/>
        </w:rPr>
        <w:t>二、工作任务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highlight w:val="none"/>
          <w:lang w:val="en-US" w:eastAsia="zh-CN"/>
        </w:rPr>
        <w:t>（一）建立“军地民”协调机制。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lang w:val="en-US" w:eastAsia="zh-CN"/>
        </w:rPr>
        <w:t>加强军方、地方政府、民航部门空管手段建设和信息交互，建立空域管理协调机制（以下简称协调机制），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u w:val="none"/>
          <w:lang w:val="en-US" w:eastAsia="zh-CN"/>
        </w:rPr>
        <w:t>由自治区人民政府分管副主席担任总召集人，副召集人由自治区人民政府分管副秘书长及自治区交通运输厅、党委军民融合办和北部、中部、西部战区空军参谋部、民航华北地区管理局各1名领导担任，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lang w:val="en-US" w:eastAsia="zh-CN"/>
        </w:rPr>
        <w:t>负责统筹推进低空空域协同管理，协调解决重大问题。协调机制办公室设在自治区交通运输厅，负责日常事务。各盟市可建立“军地民”三方对接机制。（</w:t>
      </w:r>
      <w:r>
        <w:rPr>
          <w:rFonts w:hint="eastAsia" w:ascii="楷体" w:hAnsi="楷体" w:eastAsia="楷体" w:cs="楷体"/>
          <w:w w:val="100"/>
          <w:sz w:val="32"/>
          <w:szCs w:val="32"/>
          <w:highlight w:val="none"/>
          <w:lang w:val="en-US" w:eastAsia="zh-CN"/>
        </w:rPr>
        <w:t>责任单位：自治区交通运输厅、党委军民融合办。完成时限：2024年12月）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highlight w:val="none"/>
          <w:lang w:val="en-US" w:eastAsia="zh-CN"/>
        </w:rPr>
        <w:t>（二）合理划设低空空域。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lang w:val="en-US" w:eastAsia="zh-CN"/>
        </w:rPr>
        <w:t>按照中央空中交通管理委员会空域分类划设原则，统筹“军地民”航空运输需求，开展低空空域资源调查评估，摸清管理使用现状、需求和场景，编制低空空域规划，明确不同空域属性类别、功能定位，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u w:val="none"/>
          <w:lang w:val="en-US" w:eastAsia="zh-CN"/>
        </w:rPr>
        <w:t>完成3000米以下自治区全域管制、监视、报告空域分类划设，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lang w:val="en-US" w:eastAsia="zh-CN"/>
        </w:rPr>
        <w:t>精细划设低空空域航线；建立空域资源档案，满足区域内低空飞行需求。</w:t>
      </w:r>
      <w:r>
        <w:rPr>
          <w:rFonts w:hint="eastAsia" w:ascii="楷体" w:hAnsi="楷体" w:eastAsia="楷体" w:cs="楷体"/>
          <w:w w:val="100"/>
          <w:sz w:val="32"/>
          <w:szCs w:val="32"/>
          <w:highlight w:val="none"/>
          <w:lang w:val="en-US" w:eastAsia="zh-CN"/>
        </w:rPr>
        <w:t>（责任单位：自治区交通运输厅、党委军民融合办，各盟行政公署、市人民政府。完成时限：2025年12月）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highlight w:val="none"/>
          <w:lang w:val="en-US" w:eastAsia="zh-CN"/>
        </w:rPr>
        <w:t>（三）搭建监管服务平台。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lang w:val="en-US" w:eastAsia="zh-CN"/>
        </w:rPr>
        <w:t>建立全区低空综合监管服务平台及运行管理、飞行服务保障、通信监视3个支持系统，联通军民航飞行管理、情报、航空气象等系统，贯通低空飞行各部门单位、各环节，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u w:val="none"/>
          <w:lang w:val="en-US" w:eastAsia="zh-CN"/>
        </w:rPr>
        <w:t>实现低空飞行“一窗受理、一网通办”，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lang w:val="en-US" w:eastAsia="zh-CN"/>
        </w:rPr>
        <w:t>为军民航管理部门单位和低空用户集中办理审批报备，提供通信监视、应急救援、无人机监管等一体化飞行服务，实时共享低空空域使用状态，统一分配空域、航线，实现低空空域在不同时间、不同高度的灵活转换。</w:t>
      </w:r>
      <w:r>
        <w:rPr>
          <w:rFonts w:hint="eastAsia" w:ascii="楷体" w:hAnsi="楷体" w:eastAsia="楷体" w:cs="楷体"/>
          <w:w w:val="100"/>
          <w:sz w:val="32"/>
          <w:szCs w:val="32"/>
          <w:highlight w:val="none"/>
          <w:lang w:val="en-US" w:eastAsia="zh-CN"/>
        </w:rPr>
        <w:t>（责任单位：自治区交通运输厅、党委军民融合办。完成时限：2025年12月）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w w:val="100"/>
          <w:kern w:val="2"/>
          <w:sz w:val="32"/>
          <w:szCs w:val="32"/>
          <w:highlight w:val="none"/>
          <w:lang w:val="en-US" w:eastAsia="zh-CN" w:bidi="ar-SA"/>
        </w:rPr>
        <w:t>（四）稳妥有序布局基础设施。</w:t>
      </w:r>
      <w:r>
        <w:rPr>
          <w:rFonts w:hint="eastAsia" w:ascii="仿宋" w:hAnsi="仿宋" w:eastAsia="仿宋" w:cs="仿宋"/>
          <w:w w:val="100"/>
          <w:kern w:val="2"/>
          <w:sz w:val="32"/>
          <w:szCs w:val="32"/>
          <w:highlight w:val="none"/>
          <w:lang w:val="en-US" w:eastAsia="zh-CN" w:bidi="ar-SA"/>
        </w:rPr>
        <w:t>编制低空基础设施规划，有序建设通用机场、飞行服务站、无人机起降场等设施，满足低空航空器起降需求。摸清补盲设施数量和位置，利用北斗数据链、5G、5G-A等通信技术，科学布局建设通信、导航、监视、低空气象等信息基础设施，按需实现低空通导监有效覆盖。</w:t>
      </w:r>
      <w:r>
        <w:rPr>
          <w:rFonts w:hint="eastAsia" w:ascii="楷体" w:hAnsi="楷体" w:eastAsia="楷体" w:cs="楷体"/>
          <w:w w:val="100"/>
          <w:kern w:val="2"/>
          <w:sz w:val="32"/>
          <w:szCs w:val="32"/>
          <w:highlight w:val="none"/>
          <w:lang w:val="en-US" w:eastAsia="zh-CN" w:bidi="ar-SA"/>
        </w:rPr>
        <w:t>（责任单位：自治区交通运输厅、发展改革委、党委军民融合办，内蒙古通信管理局，各盟行政公署、市人民政府。完成时限：2026年12月）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w w:val="100"/>
          <w:kern w:val="2"/>
          <w:sz w:val="32"/>
          <w:szCs w:val="32"/>
          <w:highlight w:val="none"/>
          <w:lang w:val="en-US" w:eastAsia="zh-CN" w:bidi="ar-SA"/>
        </w:rPr>
        <w:t>（五）构建安全高效运营模式。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lang w:val="en-US" w:eastAsia="zh-CN"/>
        </w:rPr>
        <w:t>组建专业运营管理机构，负责低空综合监管服务平台运维。充分利用市场化机制，鼓励国有企业参与投资建设基础设施。（</w:t>
      </w:r>
      <w:r>
        <w:rPr>
          <w:rFonts w:hint="eastAsia" w:ascii="楷体" w:hAnsi="楷体" w:eastAsia="楷体" w:cs="楷体"/>
          <w:w w:val="100"/>
          <w:sz w:val="32"/>
          <w:szCs w:val="32"/>
          <w:highlight w:val="none"/>
          <w:lang w:val="en-US" w:eastAsia="zh-CN"/>
        </w:rPr>
        <w:t>责任单位：自治区交通运输厅、国资委。完成时限：2025年6月）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w w:val="1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w w:val="100"/>
          <w:kern w:val="2"/>
          <w:sz w:val="32"/>
          <w:szCs w:val="32"/>
          <w:highlight w:val="none"/>
          <w:lang w:val="en-US" w:eastAsia="zh-CN" w:bidi="ar-SA"/>
        </w:rPr>
        <w:t>（六）制定地方管理办法。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lang w:eastAsia="zh-CN"/>
        </w:rPr>
        <w:t>推动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lang w:val="en-US" w:eastAsia="zh-CN"/>
        </w:rPr>
        <w:t>出台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</w:rPr>
        <w:t>自治区低空空域协同运行规则、无人机地方性法规等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lang w:eastAsia="zh-CN"/>
        </w:rPr>
        <w:t>法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</w:rPr>
        <w:t>规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lang w:val="en-US" w:eastAsia="zh-CN"/>
        </w:rPr>
        <w:t>制度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lang w:val="en-US" w:eastAsia="zh-CN"/>
        </w:rPr>
        <w:t>为低空空域管理服务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</w:rPr>
        <w:t>提供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lang w:eastAsia="zh-CN"/>
        </w:rPr>
        <w:t>制度保障。</w:t>
      </w:r>
      <w:r>
        <w:rPr>
          <w:rFonts w:hint="eastAsia" w:ascii="楷体" w:hAnsi="楷体" w:eastAsia="楷体" w:cs="楷体"/>
          <w:w w:val="100"/>
          <w:sz w:val="32"/>
          <w:szCs w:val="32"/>
          <w:highlight w:val="none"/>
          <w:lang w:val="en-US" w:eastAsia="zh-CN"/>
        </w:rPr>
        <w:t>（责任单位：自治区交通运输厅。完成时限：2025年12月）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w w:val="1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w w:val="100"/>
          <w:sz w:val="32"/>
          <w:szCs w:val="32"/>
          <w:highlight w:val="none"/>
          <w:u w:val="none"/>
          <w:lang w:val="en-US" w:eastAsia="zh-CN"/>
        </w:rPr>
        <w:t>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highlight w:val="none"/>
          <w:lang w:val="en-US" w:eastAsia="zh-CN"/>
        </w:rPr>
        <w:t>加强组织领导，由自治区人民政府分管副主席牵头，自治区交通运输厅、党委军民融合办、发展改革委、工业和信息化厅共同组建自治区低空空域管理改革工作专班，负责与军队、民航沟通对接，推动建立“军地民”协调机制；指导组建低空综合监管服务平台运营主体；指导编制低空空域和基础设施规划，有序推进基础设施建设。强化统筹协调，制定年度任务清单，细化落实举措，定期调度进展情况，推进工作落实。加强政策支持，通过直接补助、贷款贴息等方式，支持通用机场、飞行服务站、无人机起降场等民航基础设施建设及升级改造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u w:val="none"/>
          <w:lang w:val="en-US" w:eastAsia="zh-CN"/>
        </w:rPr>
        <w:t>。强化科技引领，加强大数据、人工智能等技术的应用，加快低空领域技术升级、成果</w:t>
      </w:r>
      <w:r>
        <w:rPr>
          <w:rFonts w:hint="eastAsia" w:ascii="仿宋" w:hAnsi="仿宋" w:eastAsia="仿宋" w:cs="仿宋"/>
          <w:spacing w:val="6"/>
          <w:w w:val="100"/>
          <w:sz w:val="32"/>
          <w:szCs w:val="32"/>
          <w:highlight w:val="none"/>
          <w:u w:val="none"/>
          <w:lang w:val="en-US" w:eastAsia="zh-CN"/>
        </w:rPr>
        <w:t>转化。鼓励区内高校、科研机构开设相关专业课程，产教融合，</w:t>
      </w:r>
      <w:r>
        <w:rPr>
          <w:rFonts w:hint="eastAsia" w:ascii="仿宋" w:hAnsi="仿宋" w:eastAsia="仿宋" w:cs="仿宋"/>
          <w:w w:val="100"/>
          <w:sz w:val="32"/>
          <w:szCs w:val="32"/>
          <w:highlight w:val="none"/>
          <w:u w:val="none"/>
          <w:lang w:val="en-US" w:eastAsia="zh-CN"/>
        </w:rPr>
        <w:t>支持企业承担各类低空科研项目，开展人员培训，打造专业人才队伍。</w:t>
      </w:r>
    </w:p>
    <w:p>
      <w:pPr>
        <w:pStyle w:val="2"/>
        <w:rPr>
          <w:rFonts w:hint="eastAsia" w:ascii="仿宋" w:hAnsi="仿宋" w:eastAsia="仿宋" w:cs="仿宋"/>
          <w:w w:val="100"/>
          <w:sz w:val="32"/>
          <w:szCs w:val="32"/>
          <w:highlight w:val="none"/>
          <w:u w:val="none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w w:val="100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w w:val="100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w w:val="100"/>
          <w:sz w:val="32"/>
          <w:szCs w:val="32"/>
          <w:highlight w:val="none"/>
          <w:u w:val="none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w w:val="100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w w:val="100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1" w:name="_GoBack"/>
      <w:bookmarkEnd w:id="1"/>
    </w:p>
    <w:p>
      <w:pPr>
        <w:adjustRightInd w:val="0"/>
        <w:snapToGrid w:val="0"/>
        <w:spacing w:line="58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9"/>
        <w:tblW w:w="8962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2" w:type="dxa"/>
            <w:noWrap w:val="0"/>
            <w:vAlign w:val="top"/>
          </w:tcPr>
          <w:p>
            <w:pPr>
              <w:pStyle w:val="2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page"/>
            </w: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spacing w:line="400" w:lineRule="exact"/>
              <w:ind w:firstLine="1148" w:firstLineChars="410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自治区监委，自治区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2" w:type="dxa"/>
            <w:noWrap w:val="0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内蒙古自治区人民政府办公厅文电处      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/>
        </w:rPr>
      </w:pPr>
      <w:r>
        <w:rPr>
          <w:rFonts w:hint="eastAsia" w:ascii="黑体" w:eastAsia="黑体"/>
          <w:sz w:val="32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0" w:name="二维条码"/>
                            <w:bookmarkEnd w:id="0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58315" cy="411480"/>
                                  <wp:effectExtent l="0" t="0" r="13335" b="7620"/>
                                  <wp:docPr id="2" name="图片 3" descr="20241114093351_70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3" descr="20241114093351_70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315" cy="41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hyOWj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0" w:name="二维条码"/>
                      <w:bookmarkEnd w:id="0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58315" cy="411480"/>
                            <wp:effectExtent l="0" t="0" r="13335" b="7620"/>
                            <wp:docPr id="2" name="图片 3" descr="20241114093351_70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3" descr="20241114093351_70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8315" cy="411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9452" w:y="-23"/>
      <w:rPr>
        <w:rStyle w:val="12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2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1892" w:y="-23"/>
      <w:rPr>
        <w:rStyle w:val="12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4FE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1C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2D64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C7819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867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01BD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B7A25"/>
    <w:rsid w:val="003C1EB9"/>
    <w:rsid w:val="003C3249"/>
    <w:rsid w:val="003C3EA0"/>
    <w:rsid w:val="003C419C"/>
    <w:rsid w:val="003C41EC"/>
    <w:rsid w:val="003C4942"/>
    <w:rsid w:val="003C7D67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1D4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2FD7"/>
    <w:rsid w:val="005045F2"/>
    <w:rsid w:val="0051102B"/>
    <w:rsid w:val="0051110B"/>
    <w:rsid w:val="00513E02"/>
    <w:rsid w:val="005141F0"/>
    <w:rsid w:val="00514727"/>
    <w:rsid w:val="0051691A"/>
    <w:rsid w:val="00517F09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447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136"/>
    <w:rsid w:val="005B39F8"/>
    <w:rsid w:val="005B3F4F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0DE3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042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2872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1BC7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6015"/>
    <w:rsid w:val="00886AA8"/>
    <w:rsid w:val="0088714E"/>
    <w:rsid w:val="00887FA5"/>
    <w:rsid w:val="008926B7"/>
    <w:rsid w:val="0089561E"/>
    <w:rsid w:val="008A0590"/>
    <w:rsid w:val="008A2476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D7BB6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49F5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10E9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66DFE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05E0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476B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43DB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54F7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4A4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1B684E"/>
    <w:rsid w:val="023B43DC"/>
    <w:rsid w:val="047E63FE"/>
    <w:rsid w:val="05C80F12"/>
    <w:rsid w:val="06B0793A"/>
    <w:rsid w:val="074D26E8"/>
    <w:rsid w:val="09681CC4"/>
    <w:rsid w:val="0AE75B4D"/>
    <w:rsid w:val="0CA94973"/>
    <w:rsid w:val="10AA3895"/>
    <w:rsid w:val="110F26B1"/>
    <w:rsid w:val="1335CB6F"/>
    <w:rsid w:val="13404ED0"/>
    <w:rsid w:val="17C42E58"/>
    <w:rsid w:val="1A7D41CF"/>
    <w:rsid w:val="1BBF5447"/>
    <w:rsid w:val="1FD3237E"/>
    <w:rsid w:val="210A377C"/>
    <w:rsid w:val="21CE0EBF"/>
    <w:rsid w:val="240B66DC"/>
    <w:rsid w:val="24167A06"/>
    <w:rsid w:val="24485B15"/>
    <w:rsid w:val="28D14D1F"/>
    <w:rsid w:val="29627CA6"/>
    <w:rsid w:val="298F67ED"/>
    <w:rsid w:val="2B662B7C"/>
    <w:rsid w:val="2F652BCF"/>
    <w:rsid w:val="32F6C1D2"/>
    <w:rsid w:val="331D3BE6"/>
    <w:rsid w:val="33DC4A4D"/>
    <w:rsid w:val="377FE513"/>
    <w:rsid w:val="3B1E3C21"/>
    <w:rsid w:val="3D3EA7D1"/>
    <w:rsid w:val="456E4695"/>
    <w:rsid w:val="457F55EF"/>
    <w:rsid w:val="462C2D9B"/>
    <w:rsid w:val="467F0332"/>
    <w:rsid w:val="498C3B89"/>
    <w:rsid w:val="4A456A7E"/>
    <w:rsid w:val="4BB12688"/>
    <w:rsid w:val="4ECD1B25"/>
    <w:rsid w:val="4ED7865E"/>
    <w:rsid w:val="4F7BFBF8"/>
    <w:rsid w:val="4F7D5131"/>
    <w:rsid w:val="51650C56"/>
    <w:rsid w:val="5191167B"/>
    <w:rsid w:val="56271AC9"/>
    <w:rsid w:val="57D96386"/>
    <w:rsid w:val="5A2B3E16"/>
    <w:rsid w:val="5BAE3879"/>
    <w:rsid w:val="5BFF4B0C"/>
    <w:rsid w:val="5EF953F3"/>
    <w:rsid w:val="5F150BC8"/>
    <w:rsid w:val="5FFFD0C0"/>
    <w:rsid w:val="630526FC"/>
    <w:rsid w:val="642C3B3E"/>
    <w:rsid w:val="64B86B45"/>
    <w:rsid w:val="679E01B4"/>
    <w:rsid w:val="69DA7509"/>
    <w:rsid w:val="6DEA2065"/>
    <w:rsid w:val="6F2C465B"/>
    <w:rsid w:val="6FFF9162"/>
    <w:rsid w:val="74FF71E5"/>
    <w:rsid w:val="762F1B32"/>
    <w:rsid w:val="76EF04F1"/>
    <w:rsid w:val="77CD76B1"/>
    <w:rsid w:val="77F5B911"/>
    <w:rsid w:val="77F93E15"/>
    <w:rsid w:val="77FC8AE5"/>
    <w:rsid w:val="790F05B9"/>
    <w:rsid w:val="7A7F2A5E"/>
    <w:rsid w:val="7B6831BE"/>
    <w:rsid w:val="7D164783"/>
    <w:rsid w:val="7DD76F17"/>
    <w:rsid w:val="7E5FDD10"/>
    <w:rsid w:val="7E960D71"/>
    <w:rsid w:val="7FDBA162"/>
    <w:rsid w:val="7FDFD15E"/>
    <w:rsid w:val="B3A7B342"/>
    <w:rsid w:val="B5FF94D9"/>
    <w:rsid w:val="BAFB2B9F"/>
    <w:rsid w:val="BE6F3B66"/>
    <w:rsid w:val="C3C3C368"/>
    <w:rsid w:val="CD774B5B"/>
    <w:rsid w:val="CDB32F87"/>
    <w:rsid w:val="CEBE3649"/>
    <w:rsid w:val="CEC8F301"/>
    <w:rsid w:val="CFBFFCC9"/>
    <w:rsid w:val="D3F75F31"/>
    <w:rsid w:val="D4FF6E15"/>
    <w:rsid w:val="D71B6970"/>
    <w:rsid w:val="DBD20DF3"/>
    <w:rsid w:val="DEB64B94"/>
    <w:rsid w:val="EFFBC2AE"/>
    <w:rsid w:val="EFFF2F54"/>
    <w:rsid w:val="F3BEE736"/>
    <w:rsid w:val="F7FD4BFB"/>
    <w:rsid w:val="F95FB4F3"/>
    <w:rsid w:val="F9FF5C3D"/>
    <w:rsid w:val="FBFB3CE0"/>
    <w:rsid w:val="FBFB5B45"/>
    <w:rsid w:val="FCE691C8"/>
    <w:rsid w:val="FDD7C430"/>
    <w:rsid w:val="FDFFA457"/>
    <w:rsid w:val="FEFF6417"/>
    <w:rsid w:val="FF4FFF54"/>
    <w:rsid w:val="FFBB92AF"/>
    <w:rsid w:val="FFD335A9"/>
    <w:rsid w:val="FFDD087B"/>
    <w:rsid w:val="FFF98F25"/>
    <w:rsid w:val="FFFB0AFA"/>
    <w:rsid w:val="FFFFE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Times New Roman"/>
      <w:kern w:val="0"/>
      <w:sz w:val="20"/>
      <w:szCs w:val="24"/>
      <w:lang w:bidi="ar-SA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 w:cs="Times New Roman"/>
      <w:szCs w:val="24"/>
      <w:lang w:bidi="ar-SA"/>
    </w:r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Date"/>
    <w:basedOn w:val="1"/>
    <w:next w:val="1"/>
    <w:link w:val="13"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link w:val="14"/>
    <w:semiHidden/>
    <w:uiPriority w:val="0"/>
    <w:rPr>
      <w:sz w:val="18"/>
      <w:szCs w:val="18"/>
    </w:rPr>
  </w:style>
  <w:style w:type="paragraph" w:styleId="7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uiPriority w:val="0"/>
  </w:style>
  <w:style w:type="character" w:customStyle="1" w:styleId="13">
    <w:name w:val=" Char Char2"/>
    <w:basedOn w:val="11"/>
    <w:link w:val="5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4">
    <w:name w:val="批注框文本 Char"/>
    <w:link w:val="6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 Char Char"/>
    <w:basedOn w:val="11"/>
    <w:link w:val="7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6">
    <w:name w:val=" Char Char1"/>
    <w:basedOn w:val="11"/>
    <w:link w:val="8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7">
    <w:name w:val="页眉 Char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Char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2012-09-20T12:59:00Z</dcterms:created>
  <dc:creator>阿拉善盟行政公署:打印</dc:creator>
  <cp:lastModifiedBy>哈斯高娃:通知发起人</cp:lastModifiedBy>
  <dcterms:modified xsi:type="dcterms:W3CDTF">2024-11-18T02:41:07Z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