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内蒙古自治区人民政府关于禁止在乌布林水库工程淹没区及枢纽工程建设区范围内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新增建设项目和迁入人口的通告</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bookmarkStart w:id="2" w:name="_GoBack"/>
      <w:bookmarkEnd w:id="2"/>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230</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兴安盟行政公署，自治区各有关委、办、厅、局：</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拟建的乌布林水库工程是自治区水网规划建设的重点水源工程。</w:t>
      </w:r>
      <w:r>
        <w:rPr>
          <w:rFonts w:hint="eastAsia" w:ascii="仿宋" w:hAnsi="仿宋" w:eastAsia="仿宋" w:cs="仿宋"/>
          <w:color w:val="000000"/>
          <w:sz w:val="32"/>
          <w:szCs w:val="32"/>
        </w:rPr>
        <w:t>为确保工程建设征地和移民安置工作顺利实施，</w:t>
      </w:r>
      <w:r>
        <w:rPr>
          <w:rFonts w:hint="eastAsia" w:ascii="仿宋" w:hAnsi="仿宋" w:eastAsia="仿宋" w:cs="仿宋"/>
          <w:sz w:val="32"/>
          <w:szCs w:val="32"/>
        </w:rPr>
        <w:t>根据《大中型水利水电工程建设征地补偿和移民安置条例》（国务院令第</w:t>
      </w:r>
      <w:r>
        <w:rPr>
          <w:rFonts w:hint="eastAsia" w:ascii="仿宋" w:hAnsi="仿宋" w:eastAsia="仿宋" w:cs="仿宋"/>
          <w:sz w:val="32"/>
          <w:szCs w:val="32"/>
          <w:lang w:val="en-US" w:eastAsia="zh-CN"/>
        </w:rPr>
        <w:t>679</w:t>
      </w:r>
      <w:r>
        <w:rPr>
          <w:rFonts w:hint="eastAsia" w:ascii="仿宋" w:hAnsi="仿宋" w:eastAsia="仿宋" w:cs="仿宋"/>
          <w:sz w:val="32"/>
          <w:szCs w:val="32"/>
        </w:rPr>
        <w:t>号）有关规定，现将有关事项通告如下：</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乌布林水库工程淹没区及枢纽工程建设区范围涉及科尔沁右翼前旗乌兰毛都苏木白音居力合嘎查、乌布林嘎查，</w:t>
      </w:r>
      <w:r>
        <w:rPr>
          <w:rFonts w:hint="eastAsia" w:ascii="仿宋" w:hAnsi="仿宋" w:eastAsia="仿宋" w:cs="仿宋"/>
          <w:sz w:val="32"/>
          <w:szCs w:val="32"/>
        </w:rPr>
        <w:t>具体范围</w:t>
      </w:r>
      <w:r>
        <w:rPr>
          <w:rFonts w:hint="eastAsia" w:ascii="仿宋" w:hAnsi="仿宋" w:eastAsia="仿宋" w:cs="仿宋"/>
          <w:color w:val="auto"/>
          <w:sz w:val="32"/>
          <w:szCs w:val="32"/>
        </w:rPr>
        <w:t>以现场定桩为准</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二、各级</w:t>
      </w:r>
      <w:r>
        <w:rPr>
          <w:rFonts w:hint="eastAsia" w:ascii="仿宋" w:hAnsi="仿宋" w:eastAsia="仿宋" w:cs="仿宋"/>
          <w:spacing w:val="0"/>
          <w:sz w:val="32"/>
          <w:szCs w:val="32"/>
          <w:lang w:eastAsia="zh-CN"/>
        </w:rPr>
        <w:t>人民</w:t>
      </w:r>
      <w:r>
        <w:rPr>
          <w:rFonts w:hint="eastAsia" w:ascii="仿宋" w:hAnsi="仿宋" w:eastAsia="仿宋" w:cs="仿宋"/>
          <w:spacing w:val="0"/>
          <w:sz w:val="32"/>
          <w:szCs w:val="32"/>
        </w:rPr>
        <w:t>政府及相关部门不得在</w:t>
      </w:r>
      <w:r>
        <w:rPr>
          <w:rFonts w:hint="eastAsia" w:ascii="仿宋" w:hAnsi="仿宋" w:eastAsia="仿宋" w:cs="仿宋"/>
          <w:spacing w:val="0"/>
          <w:sz w:val="32"/>
          <w:szCs w:val="32"/>
          <w:lang w:eastAsia="zh-CN"/>
        </w:rPr>
        <w:t>乌布林水库工程</w:t>
      </w:r>
      <w:r>
        <w:rPr>
          <w:rFonts w:hint="eastAsia" w:ascii="仿宋" w:hAnsi="仿宋" w:eastAsia="仿宋" w:cs="仿宋"/>
          <w:spacing w:val="0"/>
          <w:sz w:val="32"/>
          <w:szCs w:val="32"/>
        </w:rPr>
        <w:t>淹没区及枢纽工程建设区范围内批建各种基础设施（包括</w:t>
      </w:r>
      <w:r>
        <w:rPr>
          <w:rFonts w:hint="eastAsia" w:ascii="仿宋" w:hAnsi="仿宋" w:eastAsia="仿宋" w:cs="仿宋"/>
          <w:spacing w:val="0"/>
          <w:sz w:val="32"/>
          <w:szCs w:val="32"/>
          <w:lang w:eastAsia="zh-CN"/>
        </w:rPr>
        <w:t>苏木</w:t>
      </w:r>
      <w:r>
        <w:rPr>
          <w:rFonts w:hint="eastAsia" w:ascii="仿宋" w:hAnsi="仿宋" w:eastAsia="仿宋" w:cs="仿宋"/>
          <w:spacing w:val="0"/>
          <w:sz w:val="32"/>
          <w:szCs w:val="32"/>
        </w:rPr>
        <w:t>乡镇企业和民用住宅）。</w:t>
      </w:r>
    </w:p>
    <w:p>
      <w:pPr>
        <w:keepNext w:val="0"/>
        <w:keepLines w:val="0"/>
        <w:pageBreakBefore w:val="0"/>
        <w:widowControl w:val="0"/>
        <w:kinsoku/>
        <w:wordWrap/>
        <w:overflowPunct/>
        <w:topLinePunct/>
        <w:autoSpaceDE/>
        <w:autoSpaceDN/>
        <w:bidi w:val="0"/>
        <w:adjustRightInd/>
        <w:snapToGrid/>
        <w:spacing w:line="54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三、任何单位和个人不得在</w:t>
      </w:r>
      <w:r>
        <w:rPr>
          <w:rFonts w:hint="eastAsia" w:ascii="仿宋" w:hAnsi="仿宋" w:eastAsia="仿宋" w:cs="仿宋"/>
          <w:sz w:val="32"/>
          <w:szCs w:val="32"/>
          <w:lang w:eastAsia="zh-CN"/>
        </w:rPr>
        <w:t>乌布林水库工程</w:t>
      </w:r>
      <w:r>
        <w:rPr>
          <w:rFonts w:hint="eastAsia" w:ascii="仿宋" w:hAnsi="仿宋" w:eastAsia="仿宋" w:cs="仿宋"/>
          <w:sz w:val="32"/>
          <w:szCs w:val="32"/>
        </w:rPr>
        <w:t>淹没区和枢纽工程建设区范围内新建、扩建和改建项目，不得修建房屋及其他设</w:t>
      </w:r>
      <w:r>
        <w:rPr>
          <w:rFonts w:hint="eastAsia" w:ascii="仿宋" w:hAnsi="仿宋" w:eastAsia="仿宋" w:cs="仿宋"/>
          <w:spacing w:val="-6"/>
          <w:sz w:val="32"/>
          <w:szCs w:val="32"/>
        </w:rPr>
        <w:t>施，不得改变原地类、地貌，不得从事抢开耕地、园</w:t>
      </w:r>
      <w:r>
        <w:rPr>
          <w:rFonts w:hint="eastAsia" w:ascii="仿宋" w:hAnsi="仿宋" w:eastAsia="仿宋" w:cs="仿宋"/>
          <w:spacing w:val="-6"/>
          <w:sz w:val="32"/>
          <w:szCs w:val="32"/>
          <w:lang w:eastAsia="zh-CN"/>
        </w:rPr>
        <w:t>地</w:t>
      </w:r>
      <w:r>
        <w:rPr>
          <w:rFonts w:hint="eastAsia" w:ascii="仿宋" w:hAnsi="仿宋" w:eastAsia="仿宋" w:cs="仿宋"/>
          <w:spacing w:val="-6"/>
          <w:sz w:val="32"/>
          <w:szCs w:val="32"/>
          <w:lang w:val="en-US" w:eastAsia="zh-CN"/>
        </w:rPr>
        <w:t>及</w:t>
      </w:r>
      <w:r>
        <w:rPr>
          <w:rFonts w:hint="eastAsia" w:ascii="仿宋" w:hAnsi="仿宋" w:eastAsia="仿宋" w:cs="仿宋"/>
          <w:spacing w:val="-6"/>
          <w:sz w:val="32"/>
          <w:szCs w:val="32"/>
        </w:rPr>
        <w:t>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4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四、考虑</w:t>
      </w:r>
      <w:r>
        <w:rPr>
          <w:rFonts w:hint="eastAsia" w:ascii="仿宋" w:hAnsi="仿宋" w:eastAsia="仿宋" w:cs="仿宋"/>
          <w:sz w:val="32"/>
          <w:szCs w:val="32"/>
          <w:lang w:eastAsia="zh-CN"/>
        </w:rPr>
        <w:t>乌布林水库工程</w:t>
      </w:r>
      <w:r>
        <w:rPr>
          <w:rFonts w:hint="eastAsia" w:ascii="仿宋" w:hAnsi="仿宋" w:eastAsia="仿宋" w:cs="仿宋"/>
          <w:sz w:val="32"/>
          <w:szCs w:val="32"/>
        </w:rPr>
        <w:t>建设周期较长，为确保当地群众正常生产生活不因工程建设受到太大的影响</w:t>
      </w:r>
      <w:r>
        <w:rPr>
          <w:rFonts w:hint="eastAsia" w:ascii="仿宋" w:hAnsi="仿宋" w:eastAsia="仿宋" w:cs="仿宋"/>
          <w:sz w:val="32"/>
          <w:szCs w:val="32"/>
          <w:lang w:eastAsia="zh-CN"/>
        </w:rPr>
        <w:t>，</w:t>
      </w:r>
      <w:r>
        <w:rPr>
          <w:rFonts w:hint="eastAsia" w:ascii="仿宋" w:hAnsi="仿宋" w:eastAsia="仿宋" w:cs="仿宋"/>
          <w:sz w:val="32"/>
          <w:szCs w:val="32"/>
        </w:rPr>
        <w:t>对与当地群众生产生活直接相关的、确需建设的项目，要严格按照《大中型水利水电工程建设征地补偿和移民安置条例》有关规定精神，在报旗级以上人民政府批准后方可建设。</w:t>
      </w:r>
    </w:p>
    <w:p>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加强对</w:t>
      </w:r>
      <w:r>
        <w:rPr>
          <w:rFonts w:hint="eastAsia" w:ascii="仿宋" w:hAnsi="仿宋" w:eastAsia="仿宋" w:cs="仿宋"/>
          <w:sz w:val="32"/>
          <w:szCs w:val="32"/>
          <w:lang w:eastAsia="zh-CN"/>
        </w:rPr>
        <w:t>乌布林水库工程</w:t>
      </w:r>
      <w:r>
        <w:rPr>
          <w:rFonts w:hint="eastAsia" w:ascii="仿宋" w:hAnsi="仿宋" w:eastAsia="仿宋" w:cs="仿宋"/>
          <w:sz w:val="32"/>
          <w:szCs w:val="32"/>
        </w:rPr>
        <w:t>淹没区及枢纽工程建设区范围内的户籍管理，严格控制建设范围内的人口迁入。除出生、婚嫁、军人转业退伍、大中专毕业生、服刑期满释放人员等回籍人员外，各级</w:t>
      </w:r>
      <w:r>
        <w:rPr>
          <w:rFonts w:hint="eastAsia" w:ascii="仿宋" w:hAnsi="仿宋" w:eastAsia="仿宋" w:cs="仿宋"/>
          <w:sz w:val="32"/>
          <w:szCs w:val="32"/>
          <w:lang w:eastAsia="zh-CN"/>
        </w:rPr>
        <w:t>人民</w:t>
      </w:r>
      <w:r>
        <w:rPr>
          <w:rFonts w:hint="eastAsia" w:ascii="仿宋" w:hAnsi="仿宋" w:eastAsia="仿宋" w:cs="仿宋"/>
          <w:sz w:val="32"/>
          <w:szCs w:val="32"/>
        </w:rPr>
        <w:t>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4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对借工程征地搬迁之机煽动群众闹事，给征地搬迁工作制造障碍，阻碍工程建设等违法行为，由公安机关按照《中华人民共和国治安管理处罚法》</w:t>
      </w:r>
      <w:r>
        <w:rPr>
          <w:rFonts w:hint="eastAsia" w:ascii="仿宋" w:hAnsi="仿宋" w:eastAsia="仿宋" w:cs="仿宋"/>
          <w:sz w:val="32"/>
          <w:szCs w:val="32"/>
          <w:lang w:eastAsia="zh-CN"/>
        </w:rPr>
        <w:t>有关</w:t>
      </w:r>
      <w:r>
        <w:rPr>
          <w:rFonts w:hint="eastAsia" w:ascii="仿宋" w:hAnsi="仿宋" w:eastAsia="仿宋" w:cs="仿宋"/>
          <w:sz w:val="32"/>
          <w:szCs w:val="32"/>
        </w:rPr>
        <w:t>规定给予治安管理处罚</w:t>
      </w:r>
      <w:r>
        <w:rPr>
          <w:rFonts w:hint="eastAsia" w:ascii="仿宋" w:hAnsi="仿宋" w:eastAsia="仿宋" w:cs="仿宋"/>
          <w:sz w:val="32"/>
          <w:szCs w:val="32"/>
          <w:lang w:eastAsia="zh-CN"/>
        </w:rPr>
        <w:t>；</w:t>
      </w:r>
      <w:r>
        <w:rPr>
          <w:rFonts w:hint="eastAsia" w:ascii="仿宋" w:hAnsi="仿宋" w:eastAsia="仿宋" w:cs="仿宋"/>
          <w:sz w:val="32"/>
          <w:szCs w:val="32"/>
        </w:rPr>
        <w:t>构成犯罪的，依法追究刑事责任。</w:t>
      </w:r>
    </w:p>
    <w:p>
      <w:pPr>
        <w:keepNext w:val="0"/>
        <w:keepLines w:val="0"/>
        <w:pageBreakBefore w:val="0"/>
        <w:widowControl w:val="0"/>
        <w:kinsoku/>
        <w:wordWrap/>
        <w:overflowPunct/>
        <w:topLinePunct/>
        <w:autoSpaceDE/>
        <w:autoSpaceDN/>
        <w:bidi w:val="0"/>
        <w:adjustRightInd/>
        <w:snapToGrid/>
        <w:spacing w:line="54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本通告自发布之日起施行。</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方正仿宋_GBK" w:hAnsi="方正仿宋_GBK" w:eastAsia="方正仿宋_GBK" w:cs="方正仿宋_GBK"/>
          <w:sz w:val="32"/>
          <w:szCs w:val="32"/>
        </w:rPr>
        <w:t xml:space="preserve">                             </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lang w:val="en"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（此件公开发布）</w:t>
      </w:r>
    </w:p>
    <w:p>
      <w:pPr>
        <w:keepNext w:val="0"/>
        <w:keepLines w:val="0"/>
        <w:pageBreakBefore w:val="0"/>
        <w:widowControl w:val="0"/>
        <w:kinsoku/>
        <w:wordWrap/>
        <w:overflowPunct/>
        <w:topLinePunct/>
        <w:autoSpaceDE/>
        <w:autoSpaceDN/>
        <w:bidi w:val="0"/>
        <w:adjustRightInd/>
        <w:snapToGrid/>
        <w:spacing w:line="580" w:lineRule="exact"/>
        <w:textAlignment w:val="auto"/>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pPr>
    </w:p>
    <w:p>
      <w:pPr>
        <w:keepNext w:val="0"/>
        <w:keepLines w:val="0"/>
        <w:pageBreakBefore w:val="0"/>
        <w:widowControl w:val="0"/>
        <w:kinsoku/>
        <w:wordWrap/>
        <w:overflowPunct/>
        <w:topLine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textAlignment w:val="auto"/>
      </w:pPr>
    </w:p>
    <w:p/>
    <w:p/>
    <w:p/>
    <w:p/>
    <w:p/>
    <w:p/>
    <w:p/>
    <w:p/>
    <w:p/>
    <w:p/>
    <w:p/>
    <w:p/>
    <w:p/>
    <w:p/>
    <w:p/>
    <w:p/>
    <w:p/>
    <w:p/>
    <w:p/>
    <w:p/>
    <w:p/>
    <w:p/>
    <w:p/>
    <w:p>
      <w:pPr>
        <w:spacing w:line="400" w:lineRule="exact"/>
        <w:ind w:firstLine="280" w:firstLineChars="100"/>
        <w:rPr>
          <w:rFonts w:ascii="仿宋_GB2312" w:eastAsia="仿宋_GB2312"/>
          <w:sz w:val="28"/>
          <w:szCs w:val="28"/>
        </w:rPr>
      </w:pPr>
      <w:r>
        <w:rPr>
          <w:rFonts w:hint="eastAsia" w:ascii="仿宋_GB2312" w:eastAsia="仿宋_GB2312"/>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5" w:leftChars="531" w:right="210" w:rightChars="100" w:firstLine="3" w:firstLineChars="0"/>
        <w:textAlignment w:val="auto"/>
        <w:rPr>
          <w:rFonts w:hint="eastAsia" w:ascii="仿宋_GB2312" w:eastAsia="仿宋_GB2312"/>
          <w:sz w:val="28"/>
          <w:szCs w:val="28"/>
        </w:rPr>
      </w:pPr>
      <w:r>
        <w:rPr>
          <w:rFonts w:hint="eastAsia" w:ascii="仿宋_GB2312" w:eastAsia="仿宋_GB2312"/>
          <w:sz w:val="28"/>
          <w:szCs w:val="28"/>
        </w:rPr>
        <w:t>自治区人大常委会办公厅、政协办公厅，</w:t>
      </w:r>
      <w:r>
        <w:rPr>
          <w:rFonts w:hint="eastAsia" w:ascii="仿宋_GB2312" w:eastAsia="仿宋_GB2312"/>
          <w:sz w:val="28"/>
          <w:szCs w:val="28"/>
          <w:lang w:eastAsia="zh-CN"/>
        </w:rPr>
        <w:t>自治区监委，自治区</w:t>
      </w:r>
      <w:r>
        <w:rPr>
          <w:rFonts w:hint="eastAsia" w:ascii="仿宋_GB2312" w:eastAsia="仿宋_GB2312"/>
          <w:sz w:val="28"/>
          <w:szCs w:val="28"/>
        </w:rPr>
        <w:t>高级人民法院，检察院。</w:t>
      </w:r>
    </w:p>
    <w:p>
      <w:pPr>
        <w:spacing w:line="400" w:lineRule="exact"/>
        <w:ind w:firstLine="1148" w:firstLineChars="410"/>
      </w:pPr>
      <w:r>
        <w:rPr>
          <w:rFonts w:hint="eastAsia" w:ascii="仿宋_GB2312" w:eastAsia="仿宋_GB2312"/>
          <w:sz w:val="28"/>
          <w:szCs w:val="28"/>
        </w:rPr>
        <w:t>各人民团体，新闻单位。</w:t>
      </w: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rPr>
      </w:pPr>
      <w:bookmarkStart w:id="0" w:name="印章"/>
      <w:bookmarkEnd w:id="0"/>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84655" cy="465455"/>
                                  <wp:effectExtent l="0" t="0" r="10795" b="10795"/>
                                  <wp:docPr id="2" name="图片 3" descr="C:\Users\Administrator.WIN-OVGUSULTFN3\Desktop\NZZ230.jpgNZZ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Z230.jpgNZZ230"/>
                                          <pic:cNvPicPr>
                                            <a:picLocks noChangeAspect="1"/>
                                          </pic:cNvPicPr>
                                        </pic:nvPicPr>
                                        <pic:blipFill>
                                          <a:blip r:embed="rId9"/>
                                          <a:stretch>
                                            <a:fillRect/>
                                          </a:stretch>
                                        </pic:blipFill>
                                        <pic:spPr>
                                          <a:xfrm>
                                            <a:off x="0" y="0"/>
                                            <a:ext cx="1684655" cy="46545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84655" cy="465455"/>
                            <wp:effectExtent l="0" t="0" r="10795" b="10795"/>
                            <wp:docPr id="2" name="图片 3" descr="C:\Users\Administrator.WIN-OVGUSULTFN3\Desktop\NZZ230.jpgNZZ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WIN-OVGUSULTFN3\Desktop\NZZ230.jpgNZZ230"/>
                                    <pic:cNvPicPr>
                                      <a:picLocks noChangeAspect="1"/>
                                    </pic:cNvPicPr>
                                  </pic:nvPicPr>
                                  <pic:blipFill>
                                    <a:blip r:embed="rId9"/>
                                    <a:stretch>
                                      <a:fillRect/>
                                    </a:stretch>
                                  </pic:blipFill>
                                  <pic:spPr>
                                    <a:xfrm>
                                      <a:off x="0" y="0"/>
                                      <a:ext cx="1684655" cy="465455"/>
                                    </a:xfrm>
                                    <a:prstGeom prst="rect">
                                      <a:avLst/>
                                    </a:prstGeom>
                                    <a:noFill/>
                                    <a:ln>
                                      <a:noFill/>
                                    </a:ln>
                                  </pic:spPr>
                                </pic:pic>
                              </a:graphicData>
                            </a:graphic>
                          </wp:inline>
                        </w:drawing>
                      </w:r>
                    </w:p>
                  </w:txbxContent>
                </v:textbox>
              </v:shape>
            </w:pict>
          </mc:Fallback>
        </mc:AlternateContent>
      </w:r>
    </w:p>
    <w:sectPr>
      <w:footerReference r:id="rId7" w:type="first"/>
      <w:footerReference r:id="rId5" w:type="default"/>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Calibri" w:hAnsi="Calibri" w:cs="黑体"/>
        <w:sz w:val="21"/>
        <w:szCs w:val="24"/>
      </w:rPr>
      <w:drawing>
        <wp:inline distT="0" distB="0" distL="114300" distR="114300">
          <wp:extent cx="5737860" cy="76200"/>
          <wp:effectExtent l="0" t="0" r="15240"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
                  <a:stretch>
                    <a:fillRect/>
                  </a:stretch>
                </pic:blipFill>
                <pic:spPr>
                  <a:xfrm>
                    <a:off x="0" y="0"/>
                    <a:ext cx="5737860" cy="76200"/>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B1F0D"/>
    <w:multiLevelType w:val="singleLevel"/>
    <w:tmpl w:val="5C5B1F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649E1"/>
    <w:rsid w:val="0008038C"/>
    <w:rsid w:val="000D14CA"/>
    <w:rsid w:val="000D2C1E"/>
    <w:rsid w:val="000F6A27"/>
    <w:rsid w:val="000F7DFD"/>
    <w:rsid w:val="00172FC3"/>
    <w:rsid w:val="00187559"/>
    <w:rsid w:val="001A4789"/>
    <w:rsid w:val="001B7709"/>
    <w:rsid w:val="00221716"/>
    <w:rsid w:val="002970B9"/>
    <w:rsid w:val="002B29B9"/>
    <w:rsid w:val="00302982"/>
    <w:rsid w:val="00307579"/>
    <w:rsid w:val="00323128"/>
    <w:rsid w:val="00337358"/>
    <w:rsid w:val="00340367"/>
    <w:rsid w:val="00351DB4"/>
    <w:rsid w:val="0039177C"/>
    <w:rsid w:val="00396618"/>
    <w:rsid w:val="00416A0B"/>
    <w:rsid w:val="0044339D"/>
    <w:rsid w:val="00444154"/>
    <w:rsid w:val="00452C53"/>
    <w:rsid w:val="00455973"/>
    <w:rsid w:val="00483E09"/>
    <w:rsid w:val="004A5BD5"/>
    <w:rsid w:val="004B2561"/>
    <w:rsid w:val="004E31DF"/>
    <w:rsid w:val="00527E88"/>
    <w:rsid w:val="0053777E"/>
    <w:rsid w:val="00555E12"/>
    <w:rsid w:val="005C7397"/>
    <w:rsid w:val="006013A0"/>
    <w:rsid w:val="006048D6"/>
    <w:rsid w:val="006114C2"/>
    <w:rsid w:val="006359AF"/>
    <w:rsid w:val="006A2C65"/>
    <w:rsid w:val="006C633F"/>
    <w:rsid w:val="006C713C"/>
    <w:rsid w:val="006D5AE0"/>
    <w:rsid w:val="006E7B9B"/>
    <w:rsid w:val="00713000"/>
    <w:rsid w:val="00715454"/>
    <w:rsid w:val="007330E7"/>
    <w:rsid w:val="00742690"/>
    <w:rsid w:val="007512D9"/>
    <w:rsid w:val="00755D27"/>
    <w:rsid w:val="00773C5D"/>
    <w:rsid w:val="0077781A"/>
    <w:rsid w:val="007C6807"/>
    <w:rsid w:val="00806E28"/>
    <w:rsid w:val="008134FC"/>
    <w:rsid w:val="008153DF"/>
    <w:rsid w:val="00825CE1"/>
    <w:rsid w:val="008321A8"/>
    <w:rsid w:val="008408A0"/>
    <w:rsid w:val="00861E84"/>
    <w:rsid w:val="00896DF6"/>
    <w:rsid w:val="008D075D"/>
    <w:rsid w:val="008E482C"/>
    <w:rsid w:val="00926885"/>
    <w:rsid w:val="009606EB"/>
    <w:rsid w:val="009721B9"/>
    <w:rsid w:val="009B08A3"/>
    <w:rsid w:val="00A53147"/>
    <w:rsid w:val="00AA4AED"/>
    <w:rsid w:val="00AC3BB4"/>
    <w:rsid w:val="00B32830"/>
    <w:rsid w:val="00B33ED2"/>
    <w:rsid w:val="00B52F22"/>
    <w:rsid w:val="00B558E6"/>
    <w:rsid w:val="00B8542C"/>
    <w:rsid w:val="00B95CA8"/>
    <w:rsid w:val="00BB7C22"/>
    <w:rsid w:val="00C16941"/>
    <w:rsid w:val="00C809B3"/>
    <w:rsid w:val="00CA468C"/>
    <w:rsid w:val="00CB0B2B"/>
    <w:rsid w:val="00CC1415"/>
    <w:rsid w:val="00CC7C4A"/>
    <w:rsid w:val="00CF3722"/>
    <w:rsid w:val="00D3579F"/>
    <w:rsid w:val="00D45C81"/>
    <w:rsid w:val="00D672BC"/>
    <w:rsid w:val="00D83EF6"/>
    <w:rsid w:val="00D93C94"/>
    <w:rsid w:val="00D95E50"/>
    <w:rsid w:val="00DB1EEF"/>
    <w:rsid w:val="00DD4FCD"/>
    <w:rsid w:val="00DD700A"/>
    <w:rsid w:val="00DF62D9"/>
    <w:rsid w:val="00E751C2"/>
    <w:rsid w:val="00F16D0D"/>
    <w:rsid w:val="00F51616"/>
    <w:rsid w:val="00F651C3"/>
    <w:rsid w:val="00F71128"/>
    <w:rsid w:val="00F84924"/>
    <w:rsid w:val="00F94438"/>
    <w:rsid w:val="00FB760A"/>
    <w:rsid w:val="00FE2B87"/>
    <w:rsid w:val="01715CEB"/>
    <w:rsid w:val="020A5573"/>
    <w:rsid w:val="027163F5"/>
    <w:rsid w:val="02EF2149"/>
    <w:rsid w:val="03130023"/>
    <w:rsid w:val="031A556A"/>
    <w:rsid w:val="06DC3C4A"/>
    <w:rsid w:val="07DB7F7C"/>
    <w:rsid w:val="0A1149A8"/>
    <w:rsid w:val="0A7A38C3"/>
    <w:rsid w:val="0AE879CD"/>
    <w:rsid w:val="0BFD1999"/>
    <w:rsid w:val="0C9D102A"/>
    <w:rsid w:val="0D98569F"/>
    <w:rsid w:val="0E594789"/>
    <w:rsid w:val="0F380010"/>
    <w:rsid w:val="0F8F3712"/>
    <w:rsid w:val="10A62BEA"/>
    <w:rsid w:val="11A9203E"/>
    <w:rsid w:val="12026270"/>
    <w:rsid w:val="17FB24AC"/>
    <w:rsid w:val="180C2802"/>
    <w:rsid w:val="19A61559"/>
    <w:rsid w:val="1AF9B1E4"/>
    <w:rsid w:val="1BA7556B"/>
    <w:rsid w:val="1C1C4D73"/>
    <w:rsid w:val="1DDAEAC8"/>
    <w:rsid w:val="1E785972"/>
    <w:rsid w:val="1F0F06E9"/>
    <w:rsid w:val="1F6C47FF"/>
    <w:rsid w:val="1FBBF5C9"/>
    <w:rsid w:val="1FFF32A8"/>
    <w:rsid w:val="20B5562B"/>
    <w:rsid w:val="217D23BA"/>
    <w:rsid w:val="232734C6"/>
    <w:rsid w:val="25E33C69"/>
    <w:rsid w:val="26154A57"/>
    <w:rsid w:val="27054714"/>
    <w:rsid w:val="27355263"/>
    <w:rsid w:val="27B7431E"/>
    <w:rsid w:val="27E04077"/>
    <w:rsid w:val="29255FCE"/>
    <w:rsid w:val="29340AB0"/>
    <w:rsid w:val="29A62830"/>
    <w:rsid w:val="2A3A0933"/>
    <w:rsid w:val="2AF61794"/>
    <w:rsid w:val="2BBC4266"/>
    <w:rsid w:val="2BFF276F"/>
    <w:rsid w:val="2D73499D"/>
    <w:rsid w:val="2E6F52AB"/>
    <w:rsid w:val="2F978554"/>
    <w:rsid w:val="2FFF0D51"/>
    <w:rsid w:val="30CD6C9E"/>
    <w:rsid w:val="317B493D"/>
    <w:rsid w:val="326822C2"/>
    <w:rsid w:val="33C7BF87"/>
    <w:rsid w:val="351D2CFA"/>
    <w:rsid w:val="351F2917"/>
    <w:rsid w:val="36193767"/>
    <w:rsid w:val="36457CB4"/>
    <w:rsid w:val="39976A24"/>
    <w:rsid w:val="39C84E9E"/>
    <w:rsid w:val="39EF6CBF"/>
    <w:rsid w:val="3ADE2294"/>
    <w:rsid w:val="3AF834CA"/>
    <w:rsid w:val="3B0C717F"/>
    <w:rsid w:val="3BB75E87"/>
    <w:rsid w:val="3BBF3E81"/>
    <w:rsid w:val="3BFDE175"/>
    <w:rsid w:val="3C3E1034"/>
    <w:rsid w:val="3C6B6EA5"/>
    <w:rsid w:val="3DB93D7E"/>
    <w:rsid w:val="3E8003A9"/>
    <w:rsid w:val="3F7D8F91"/>
    <w:rsid w:val="3F7F10D3"/>
    <w:rsid w:val="3FABBDBB"/>
    <w:rsid w:val="3FFF8FFA"/>
    <w:rsid w:val="401D72F5"/>
    <w:rsid w:val="40F353F4"/>
    <w:rsid w:val="41386A17"/>
    <w:rsid w:val="42B61283"/>
    <w:rsid w:val="43ED3083"/>
    <w:rsid w:val="43FDDDEA"/>
    <w:rsid w:val="455967A9"/>
    <w:rsid w:val="455F3977"/>
    <w:rsid w:val="478C3379"/>
    <w:rsid w:val="4814620B"/>
    <w:rsid w:val="487A4700"/>
    <w:rsid w:val="488D2F75"/>
    <w:rsid w:val="4BB5B1BE"/>
    <w:rsid w:val="4CAC4573"/>
    <w:rsid w:val="4CB35C8A"/>
    <w:rsid w:val="4E077E93"/>
    <w:rsid w:val="4EEDEE3A"/>
    <w:rsid w:val="4EFF8FFC"/>
    <w:rsid w:val="4F87830B"/>
    <w:rsid w:val="4F923020"/>
    <w:rsid w:val="4FD33F1F"/>
    <w:rsid w:val="4FD817BC"/>
    <w:rsid w:val="500B2151"/>
    <w:rsid w:val="50591497"/>
    <w:rsid w:val="513B7C42"/>
    <w:rsid w:val="51942682"/>
    <w:rsid w:val="5232472D"/>
    <w:rsid w:val="54020F64"/>
    <w:rsid w:val="556E4ED2"/>
    <w:rsid w:val="56DA46E1"/>
    <w:rsid w:val="57351534"/>
    <w:rsid w:val="579144D5"/>
    <w:rsid w:val="57EB50F1"/>
    <w:rsid w:val="581234E4"/>
    <w:rsid w:val="5A9E268E"/>
    <w:rsid w:val="5ABF37D8"/>
    <w:rsid w:val="5BA5123A"/>
    <w:rsid w:val="5D182B8A"/>
    <w:rsid w:val="5E1126F6"/>
    <w:rsid w:val="5E773C76"/>
    <w:rsid w:val="5E9241CC"/>
    <w:rsid w:val="5EBE6860"/>
    <w:rsid w:val="5EE99A32"/>
    <w:rsid w:val="5F57E1EE"/>
    <w:rsid w:val="5FC47C57"/>
    <w:rsid w:val="5FEB1F25"/>
    <w:rsid w:val="5FEE05FD"/>
    <w:rsid w:val="5FFD6466"/>
    <w:rsid w:val="612A5090"/>
    <w:rsid w:val="6188231B"/>
    <w:rsid w:val="648D579B"/>
    <w:rsid w:val="64F7974A"/>
    <w:rsid w:val="650E2E84"/>
    <w:rsid w:val="651313E3"/>
    <w:rsid w:val="667494AC"/>
    <w:rsid w:val="66AE327B"/>
    <w:rsid w:val="671D4AA2"/>
    <w:rsid w:val="67C742AE"/>
    <w:rsid w:val="68C13D1E"/>
    <w:rsid w:val="69957DEC"/>
    <w:rsid w:val="69AA7AA3"/>
    <w:rsid w:val="6A567206"/>
    <w:rsid w:val="6ADE316A"/>
    <w:rsid w:val="6B5F7DFC"/>
    <w:rsid w:val="6B7A6F1A"/>
    <w:rsid w:val="6BF5BDD3"/>
    <w:rsid w:val="6C564AE8"/>
    <w:rsid w:val="6CE749E8"/>
    <w:rsid w:val="6CFFBA2A"/>
    <w:rsid w:val="6D664C1E"/>
    <w:rsid w:val="6DBF0EF9"/>
    <w:rsid w:val="6DF72075"/>
    <w:rsid w:val="6EF5462E"/>
    <w:rsid w:val="6F62E7E0"/>
    <w:rsid w:val="6FDA7D9C"/>
    <w:rsid w:val="6FE5FBA2"/>
    <w:rsid w:val="6FED0BAE"/>
    <w:rsid w:val="6FEE7DF7"/>
    <w:rsid w:val="70F375E6"/>
    <w:rsid w:val="71D85A59"/>
    <w:rsid w:val="72DC13D1"/>
    <w:rsid w:val="731829DE"/>
    <w:rsid w:val="739FA8B4"/>
    <w:rsid w:val="73FF391A"/>
    <w:rsid w:val="74022FCB"/>
    <w:rsid w:val="74EF59E3"/>
    <w:rsid w:val="75DE30EE"/>
    <w:rsid w:val="76167F2F"/>
    <w:rsid w:val="76240541"/>
    <w:rsid w:val="76FEF73E"/>
    <w:rsid w:val="777B0AE7"/>
    <w:rsid w:val="77BE697F"/>
    <w:rsid w:val="77D70D39"/>
    <w:rsid w:val="77D7335D"/>
    <w:rsid w:val="77D90340"/>
    <w:rsid w:val="77DF38D6"/>
    <w:rsid w:val="77FF9FA1"/>
    <w:rsid w:val="7828707F"/>
    <w:rsid w:val="79FE5433"/>
    <w:rsid w:val="7A0176CA"/>
    <w:rsid w:val="7A7F061A"/>
    <w:rsid w:val="7ADF7F2F"/>
    <w:rsid w:val="7B86F290"/>
    <w:rsid w:val="7BF97BE2"/>
    <w:rsid w:val="7BFFA5D5"/>
    <w:rsid w:val="7C7734A3"/>
    <w:rsid w:val="7CCF9041"/>
    <w:rsid w:val="7D1850A2"/>
    <w:rsid w:val="7D705487"/>
    <w:rsid w:val="7D75B6BF"/>
    <w:rsid w:val="7DA83E82"/>
    <w:rsid w:val="7DDB0693"/>
    <w:rsid w:val="7DF76372"/>
    <w:rsid w:val="7EBDC02D"/>
    <w:rsid w:val="7EF726A0"/>
    <w:rsid w:val="7EFB63BA"/>
    <w:rsid w:val="7F3E44CE"/>
    <w:rsid w:val="7F87508D"/>
    <w:rsid w:val="7F976C87"/>
    <w:rsid w:val="7F9F3BCD"/>
    <w:rsid w:val="7F9FC15A"/>
    <w:rsid w:val="7FAF464E"/>
    <w:rsid w:val="7FBB0781"/>
    <w:rsid w:val="7FBF702E"/>
    <w:rsid w:val="7FDAC2E9"/>
    <w:rsid w:val="7FDECF79"/>
    <w:rsid w:val="7FDF4317"/>
    <w:rsid w:val="95FB39B3"/>
    <w:rsid w:val="96BD70AC"/>
    <w:rsid w:val="9A333C0F"/>
    <w:rsid w:val="9BDF6FE6"/>
    <w:rsid w:val="9FBC0BC0"/>
    <w:rsid w:val="9FBFDCC0"/>
    <w:rsid w:val="A56F81A3"/>
    <w:rsid w:val="AF671117"/>
    <w:rsid w:val="B379B7D1"/>
    <w:rsid w:val="B3AF0106"/>
    <w:rsid w:val="B5FEEDE4"/>
    <w:rsid w:val="B74FF925"/>
    <w:rsid w:val="B76E2929"/>
    <w:rsid w:val="B7DB5169"/>
    <w:rsid w:val="B7EFD069"/>
    <w:rsid w:val="B7FB5A55"/>
    <w:rsid w:val="B84F1184"/>
    <w:rsid w:val="BBFFF7DB"/>
    <w:rsid w:val="BEF5D937"/>
    <w:rsid w:val="BEFF5188"/>
    <w:rsid w:val="BF59E108"/>
    <w:rsid w:val="CE7FD11B"/>
    <w:rsid w:val="CF77EDE0"/>
    <w:rsid w:val="D74F833F"/>
    <w:rsid w:val="D77B485D"/>
    <w:rsid w:val="D79FFA28"/>
    <w:rsid w:val="D944312A"/>
    <w:rsid w:val="DB3E96D5"/>
    <w:rsid w:val="DBF718CD"/>
    <w:rsid w:val="DBFE05A0"/>
    <w:rsid w:val="DF7F4891"/>
    <w:rsid w:val="DFD6DE0C"/>
    <w:rsid w:val="E9E45D5E"/>
    <w:rsid w:val="EBBA70E4"/>
    <w:rsid w:val="EBEEF91C"/>
    <w:rsid w:val="ED9E4AC1"/>
    <w:rsid w:val="EDD6168A"/>
    <w:rsid w:val="EF77BB86"/>
    <w:rsid w:val="EF7E5C53"/>
    <w:rsid w:val="EFDF44DB"/>
    <w:rsid w:val="F17F8E6E"/>
    <w:rsid w:val="F369EACE"/>
    <w:rsid w:val="F5BB2638"/>
    <w:rsid w:val="F74F21FA"/>
    <w:rsid w:val="F7B7CA2E"/>
    <w:rsid w:val="F7D67B83"/>
    <w:rsid w:val="F7E3B4CE"/>
    <w:rsid w:val="F7FBF9FD"/>
    <w:rsid w:val="F7FF5E12"/>
    <w:rsid w:val="F7FFCE8D"/>
    <w:rsid w:val="F9F70F35"/>
    <w:rsid w:val="F9FB3DFF"/>
    <w:rsid w:val="F9FDB5B3"/>
    <w:rsid w:val="FAEF105A"/>
    <w:rsid w:val="FB7D6491"/>
    <w:rsid w:val="FBAF5EDB"/>
    <w:rsid w:val="FBCE4444"/>
    <w:rsid w:val="FBEF5783"/>
    <w:rsid w:val="FBFF13A6"/>
    <w:rsid w:val="FBFF50D4"/>
    <w:rsid w:val="FD337F71"/>
    <w:rsid w:val="FDA6B2C9"/>
    <w:rsid w:val="FDF9417B"/>
    <w:rsid w:val="FDFE02C7"/>
    <w:rsid w:val="FEBB85AA"/>
    <w:rsid w:val="FEFFE1AC"/>
    <w:rsid w:val="FF792D48"/>
    <w:rsid w:val="FFB77FE9"/>
    <w:rsid w:val="FFBD62A9"/>
    <w:rsid w:val="FFD29D92"/>
    <w:rsid w:val="FFD75A5B"/>
    <w:rsid w:val="FFDAAA43"/>
    <w:rsid w:val="FFFF5C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uiPriority w:val="0"/>
    <w:pPr>
      <w:spacing w:after="120"/>
    </w:pPr>
    <w:rPr>
      <w:rFonts w:ascii="Calibri" w:hAnsi="Calibri" w:eastAsia="宋体" w:cs="Times New Roman"/>
      <w:szCs w:val="22"/>
    </w:rPr>
  </w:style>
  <w:style w:type="paragraph" w:styleId="3">
    <w:name w:val="Balloon Text"/>
    <w:basedOn w:val="1"/>
    <w:semiHidden/>
    <w:uiPriority w:val="0"/>
    <w:rPr>
      <w:rFonts w:ascii="Calibri" w:hAnsi="Calibri" w:eastAsia="宋体" w:cs="Times New Roman"/>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
    <w:link w:val="4"/>
    <w:uiPriority w:val="0"/>
    <w:rPr>
      <w:rFonts w:ascii="Times New Roman" w:hAnsi="Times New Roman" w:eastAsia="宋体" w:cs="Times New Roman"/>
      <w:sz w:val="18"/>
    </w:rPr>
  </w:style>
  <w:style w:type="character" w:customStyle="1" w:styleId="12">
    <w:name w:val=" Char Char1"/>
    <w:link w:val="5"/>
    <w:uiPriority w:val="0"/>
    <w:rPr>
      <w:rFonts w:ascii="Times New Roman" w:hAnsi="Times New Roman" w:eastAsia="宋体" w:cs="Times New Roman"/>
      <w:sz w:val="18"/>
    </w:rPr>
  </w:style>
  <w:style w:type="character" w:customStyle="1" w:styleId="13">
    <w:name w:val="页眉 Char"/>
    <w:uiPriority w:val="99"/>
    <w:rPr>
      <w:rFonts w:ascii="Calibri" w:hAnsi="Calibri" w:eastAsia="宋体" w:cs="Times New Roman"/>
      <w:kern w:val="2"/>
      <w:sz w:val="18"/>
      <w:szCs w:val="18"/>
    </w:rPr>
  </w:style>
  <w:style w:type="character" w:customStyle="1" w:styleId="14">
    <w:name w:val="页脚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2024-11-15T09:12:12Z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