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20" w:lineRule="exact"/>
        <w:ind w:right="0" w:firstLine="150" w:firstLineChars="50"/>
        <w:jc w:val="left"/>
        <w:textAlignment w:val="auto"/>
        <w:rPr>
          <w:rFonts w:hint="eastAsia"/>
          <w:sz w:val="30"/>
        </w:rPr>
      </w:pPr>
      <w:bookmarkStart w:id="0" w:name="标题"/>
      <w:bookmarkEnd w:id="0"/>
    </w:p>
    <w:p>
      <w:pPr>
        <w:keepNext w:val="0"/>
        <w:keepLines w:val="0"/>
        <w:pageBreakBefore w:val="0"/>
        <w:widowControl w:val="0"/>
        <w:kinsoku/>
        <w:wordWrap/>
        <w:overflowPunct/>
        <w:topLinePunct/>
        <w:autoSpaceDE/>
        <w:autoSpaceDN/>
        <w:bidi w:val="0"/>
        <w:spacing w:line="520" w:lineRule="exact"/>
        <w:jc w:val="center"/>
        <w:rPr>
          <w:rFonts w:hint="eastAsia" w:ascii="方正小标宋简体" w:eastAsia="方正小标宋简体"/>
          <w:b w:val="0"/>
          <w:bCs w:val="0"/>
          <w:sz w:val="44"/>
          <w:szCs w:val="44"/>
          <w:lang w:eastAsia="zh-CN"/>
        </w:rPr>
      </w:pPr>
      <w:r>
        <w:rPr>
          <w:rFonts w:hint="eastAsia" w:ascii="方正小标宋简体" w:eastAsia="方正小标宋简体"/>
          <w:b w:val="0"/>
          <w:bCs w:val="0"/>
          <w:sz w:val="44"/>
          <w:szCs w:val="44"/>
          <w:lang w:eastAsia="zh-CN"/>
        </w:rPr>
        <w:t>内蒙古自治区人民政府办公厅关于印发</w:t>
      </w:r>
    </w:p>
    <w:p>
      <w:pPr>
        <w:keepNext w:val="0"/>
        <w:keepLines w:val="0"/>
        <w:pageBreakBefore w:val="0"/>
        <w:widowControl w:val="0"/>
        <w:kinsoku/>
        <w:wordWrap/>
        <w:overflowPunct/>
        <w:topLinePunct/>
        <w:autoSpaceDE/>
        <w:autoSpaceDN/>
        <w:bidi w:val="0"/>
        <w:spacing w:line="520" w:lineRule="exact"/>
        <w:jc w:val="center"/>
        <w:rPr>
          <w:rFonts w:hint="eastAsia" w:ascii="方正小标宋简体" w:eastAsia="方正小标宋简体"/>
          <w:b w:val="0"/>
          <w:bCs w:val="0"/>
          <w:spacing w:val="-11"/>
          <w:sz w:val="44"/>
          <w:szCs w:val="44"/>
          <w:lang w:eastAsia="zh-CN"/>
        </w:rPr>
      </w:pPr>
      <w:r>
        <w:rPr>
          <w:rFonts w:hint="eastAsia" w:ascii="方正小标宋简体" w:eastAsia="方正小标宋简体"/>
          <w:b w:val="0"/>
          <w:bCs w:val="0"/>
          <w:spacing w:val="-11"/>
          <w:sz w:val="44"/>
          <w:szCs w:val="44"/>
          <w:lang w:eastAsia="zh-CN"/>
        </w:rPr>
        <w:t>自治区深入推进跨部门综合监管实施方案的通知</w:t>
      </w:r>
    </w:p>
    <w:p>
      <w:pPr>
        <w:keepNext w:val="0"/>
        <w:keepLines w:val="0"/>
        <w:pageBreakBefore w:val="0"/>
        <w:widowControl w:val="0"/>
        <w:kinsoku/>
        <w:wordWrap/>
        <w:overflowPunct/>
        <w:topLinePunct/>
        <w:autoSpaceDE/>
        <w:autoSpaceDN/>
        <w:bidi w:val="0"/>
        <w:spacing w:line="520" w:lineRule="exact"/>
        <w:jc w:val="center"/>
        <w:rPr>
          <w:rFonts w:hint="eastAsia" w:ascii="方正小标宋简体" w:eastAsia="方正小标宋简体"/>
          <w:b w:val="0"/>
          <w:bCs w:val="0"/>
          <w:spacing w:val="-11"/>
          <w:sz w:val="44"/>
          <w:szCs w:val="44"/>
          <w:lang w:eastAsia="zh-CN"/>
        </w:rPr>
      </w:pPr>
    </w:p>
    <w:p>
      <w:pPr>
        <w:keepNext w:val="0"/>
        <w:keepLines w:val="0"/>
        <w:pageBreakBefore w:val="0"/>
        <w:widowControl w:val="0"/>
        <w:kinsoku/>
        <w:wordWrap/>
        <w:overflowPunct/>
        <w:topLinePunct/>
        <w:autoSpaceDE/>
        <w:autoSpaceDN/>
        <w:bidi w:val="0"/>
        <w:spacing w:line="520" w:lineRule="exact"/>
        <w:jc w:val="center"/>
        <w:rPr>
          <w:rFonts w:hint="eastAsia" w:ascii="仿宋_GB2312" w:hAnsi="华文仿宋" w:eastAsia="仿宋_GB2312"/>
          <w:sz w:val="32"/>
          <w:lang w:eastAsia="zh-CN"/>
        </w:rPr>
      </w:pPr>
      <w:r>
        <w:rPr>
          <w:rFonts w:hint="eastAsia" w:ascii="仿宋_GB2312" w:hAnsi="华文仿宋" w:eastAsia="仿宋_GB2312"/>
          <w:sz w:val="32"/>
          <w:lang w:eastAsia="zh-CN"/>
        </w:rPr>
        <w:t>内政办发〔2023〕6</w:t>
      </w:r>
      <w:r>
        <w:rPr>
          <w:rFonts w:hint="eastAsia" w:ascii="仿宋_GB2312" w:hAnsi="华文仿宋" w:eastAsia="仿宋_GB2312"/>
          <w:sz w:val="32"/>
          <w:lang w:val="en-US" w:eastAsia="zh-CN"/>
        </w:rPr>
        <w:t>6</w:t>
      </w:r>
      <w:r>
        <w:rPr>
          <w:rFonts w:hint="eastAsia" w:ascii="仿宋_GB2312" w:hAnsi="华文仿宋" w:eastAsia="仿宋_GB2312"/>
          <w:sz w:val="32"/>
          <w:lang w:eastAsia="zh-CN"/>
        </w:rPr>
        <w:t>号</w:t>
      </w:r>
    </w:p>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firstLine="0" w:firstLineChars="0"/>
        <w:jc w:val="left"/>
        <w:textAlignment w:val="baseline"/>
        <w:rPr>
          <w:rFonts w:hint="eastAsia" w:ascii="方正楷体_GBK" w:hAnsi="方正楷体_GBK" w:eastAsia="方正楷体_GBK" w:cs="方正楷体_GBK"/>
          <w:b w:val="0"/>
          <w:i w:val="0"/>
          <w:caps w:val="0"/>
          <w:spacing w:val="0"/>
          <w:w w:val="100"/>
          <w:kern w:val="0"/>
          <w:sz w:val="32"/>
          <w:szCs w:val="32"/>
        </w:rPr>
      </w:pPr>
    </w:p>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firstLine="0" w:firstLineChars="0"/>
        <w:jc w:val="left"/>
        <w:textAlignment w:val="baseline"/>
        <w:rPr>
          <w:rFonts w:hint="eastAsia" w:ascii="方正楷体_GBK" w:hAnsi="方正楷体_GBK" w:eastAsia="方正楷体_GBK" w:cs="方正楷体_GBK"/>
          <w:b w:val="0"/>
          <w:i w:val="0"/>
          <w:caps w:val="0"/>
          <w:spacing w:val="0"/>
          <w:w w:val="100"/>
          <w:kern w:val="0"/>
          <w:sz w:val="32"/>
          <w:szCs w:val="32"/>
        </w:rPr>
      </w:pPr>
      <w:bookmarkStart w:id="2" w:name="_GoBack"/>
      <w:r>
        <w:rPr>
          <w:rFonts w:hint="eastAsia" w:ascii="方正楷体_GBK" w:hAnsi="方正楷体_GBK" w:eastAsia="方正楷体_GBK" w:cs="方正楷体_GBK"/>
          <w:b w:val="0"/>
          <w:i w:val="0"/>
          <w:caps w:val="0"/>
          <w:spacing w:val="0"/>
          <w:w w:val="100"/>
          <w:kern w:val="0"/>
          <w:sz w:val="32"/>
          <w:szCs w:val="32"/>
        </w:rPr>
        <w:t>各盟行政公署、市人民政府,自治区</w:t>
      </w:r>
      <w:r>
        <w:rPr>
          <w:rFonts w:hint="eastAsia" w:ascii="方正楷体_GBK" w:hAnsi="方正楷体_GBK" w:eastAsia="方正楷体_GBK" w:cs="方正楷体_GBK"/>
          <w:b w:val="0"/>
          <w:i w:val="0"/>
          <w:caps w:val="0"/>
          <w:spacing w:val="0"/>
          <w:w w:val="100"/>
          <w:kern w:val="0"/>
          <w:sz w:val="32"/>
          <w:szCs w:val="32"/>
          <w:lang w:eastAsia="zh-CN"/>
        </w:rPr>
        <w:t>各委、办、厅、局，各大企业、事业单位</w:t>
      </w:r>
      <w:r>
        <w:rPr>
          <w:rFonts w:hint="eastAsia" w:ascii="方正楷体_GBK" w:hAnsi="方正楷体_GBK" w:eastAsia="方正楷体_GBK" w:cs="方正楷体_GBK"/>
          <w:b w:val="0"/>
          <w:i w:val="0"/>
          <w:caps w:val="0"/>
          <w:spacing w:val="0"/>
          <w:w w:val="100"/>
          <w:kern w:val="0"/>
          <w:sz w:val="32"/>
          <w:szCs w:val="32"/>
        </w:rPr>
        <w:t>：</w:t>
      </w:r>
    </w:p>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firstLine="640"/>
        <w:jc w:val="left"/>
        <w:textAlignment w:val="baseline"/>
        <w:rPr>
          <w:rFonts w:hint="eastAsia" w:ascii="方正楷体_GBK" w:hAnsi="方正楷体_GBK" w:eastAsia="方正楷体_GBK" w:cs="方正楷体_GBK"/>
          <w:b w:val="0"/>
          <w:i w:val="0"/>
          <w:caps w:val="0"/>
          <w:spacing w:val="0"/>
          <w:w w:val="100"/>
          <w:kern w:val="0"/>
          <w:sz w:val="32"/>
          <w:szCs w:val="32"/>
        </w:rPr>
      </w:pPr>
      <w:r>
        <w:rPr>
          <w:rFonts w:hint="eastAsia" w:ascii="方正楷体_GBK" w:hAnsi="方正楷体_GBK" w:eastAsia="方正楷体_GBK" w:cs="方正楷体_GBK"/>
          <w:b w:val="0"/>
          <w:i w:val="0"/>
          <w:caps w:val="0"/>
          <w:spacing w:val="0"/>
          <w:w w:val="100"/>
          <w:kern w:val="0"/>
          <w:sz w:val="32"/>
          <w:szCs w:val="32"/>
        </w:rPr>
        <w:t>经自治区人民政府同意，现将</w:t>
      </w:r>
      <w:r>
        <w:rPr>
          <w:rFonts w:hint="eastAsia" w:ascii="方正楷体_GBK" w:hAnsi="方正楷体_GBK" w:eastAsia="方正楷体_GBK" w:cs="方正楷体_GBK"/>
          <w:color w:val="auto"/>
          <w:kern w:val="0"/>
          <w:sz w:val="32"/>
          <w:szCs w:val="32"/>
          <w:lang w:eastAsia="zh-CN"/>
        </w:rPr>
        <w:t>《</w:t>
      </w:r>
      <w:r>
        <w:rPr>
          <w:rFonts w:hint="eastAsia" w:ascii="方正楷体_GBK" w:hAnsi="方正楷体_GBK" w:eastAsia="方正楷体_GBK" w:cs="方正楷体_GBK"/>
          <w:color w:val="auto"/>
          <w:kern w:val="0"/>
          <w:sz w:val="32"/>
          <w:szCs w:val="32"/>
        </w:rPr>
        <w:t>内蒙古自治区</w:t>
      </w:r>
      <w:r>
        <w:rPr>
          <w:rFonts w:hint="eastAsia" w:ascii="方正楷体_GBK" w:hAnsi="方正楷体_GBK" w:eastAsia="方正楷体_GBK" w:cs="方正楷体_GBK"/>
          <w:color w:val="auto"/>
          <w:kern w:val="0"/>
          <w:sz w:val="32"/>
          <w:szCs w:val="32"/>
          <w:lang w:eastAsia="zh-CN"/>
        </w:rPr>
        <w:t>深入推进跨部门综合监管实施方案》</w:t>
      </w:r>
      <w:r>
        <w:rPr>
          <w:rFonts w:hint="eastAsia" w:ascii="方正楷体_GBK" w:hAnsi="方正楷体_GBK" w:eastAsia="方正楷体_GBK" w:cs="方正楷体_GBK"/>
          <w:b w:val="0"/>
          <w:i w:val="0"/>
          <w:caps w:val="0"/>
          <w:spacing w:val="0"/>
          <w:w w:val="100"/>
          <w:kern w:val="0"/>
          <w:sz w:val="32"/>
          <w:szCs w:val="32"/>
        </w:rPr>
        <w:t>印发给你们，请结合实际，认真贯彻落实。</w:t>
      </w:r>
    </w:p>
    <w:p>
      <w:pPr>
        <w:keepNext w:val="0"/>
        <w:keepLines w:val="0"/>
        <w:pageBreakBefore w:val="0"/>
        <w:widowControl w:val="0"/>
        <w:kinsoku/>
        <w:wordWrap/>
        <w:overflowPunct/>
        <w:topLinePunct/>
        <w:autoSpaceDE/>
        <w:autoSpaceDN/>
        <w:bidi w:val="0"/>
        <w:adjustRightInd/>
        <w:snapToGrid/>
        <w:spacing w:before="0" w:beforeAutospacing="0" w:after="0" w:afterAutospacing="0" w:line="440" w:lineRule="exact"/>
        <w:ind w:firstLine="640"/>
        <w:jc w:val="left"/>
        <w:textAlignment w:val="baseline"/>
        <w:rPr>
          <w:rFonts w:hint="eastAsia" w:ascii="方正楷体_GBK" w:hAnsi="方正楷体_GBK" w:eastAsia="方正楷体_GBK" w:cs="方正楷体_GBK"/>
          <w:b w:val="0"/>
          <w:i w:val="0"/>
          <w:caps w:val="0"/>
          <w:spacing w:val="0"/>
          <w:w w:val="100"/>
          <w:kern w:val="0"/>
          <w:sz w:val="32"/>
          <w:szCs w:val="32"/>
        </w:rPr>
      </w:pPr>
      <w:r>
        <w:rPr>
          <w:rFonts w:hint="eastAsia" w:ascii="方正楷体_GBK" w:hAnsi="方正楷体_GBK" w:eastAsia="方正楷体_GBK" w:cs="方正楷体_GBK"/>
          <w:b w:val="0"/>
          <w:i w:val="0"/>
          <w:caps w:val="0"/>
          <w:spacing w:val="0"/>
          <w:w w:val="100"/>
          <w:kern w:val="0"/>
          <w:sz w:val="32"/>
          <w:szCs w:val="32"/>
        </w:rPr>
        <w:t xml:space="preserve">      </w:t>
      </w:r>
    </w:p>
    <w:p>
      <w:pPr>
        <w:keepNext w:val="0"/>
        <w:keepLines w:val="0"/>
        <w:pageBreakBefore w:val="0"/>
        <w:widowControl w:val="0"/>
        <w:kinsoku/>
        <w:wordWrap/>
        <w:overflowPunct/>
        <w:topLinePunct/>
        <w:autoSpaceDE/>
        <w:autoSpaceDN/>
        <w:bidi w:val="0"/>
        <w:adjustRightInd/>
        <w:snapToGrid/>
        <w:spacing w:before="0" w:beforeAutospacing="0" w:after="0" w:afterAutospacing="0" w:line="440" w:lineRule="exact"/>
        <w:ind w:firstLine="640"/>
        <w:jc w:val="left"/>
        <w:textAlignment w:val="baseline"/>
        <w:rPr>
          <w:rFonts w:hint="eastAsia" w:ascii="方正楷体_GBK" w:hAnsi="方正楷体_GBK" w:eastAsia="方正楷体_GBK" w:cs="方正楷体_GBK"/>
          <w:b w:val="0"/>
          <w:i w:val="0"/>
          <w:caps w:val="0"/>
          <w:spacing w:val="0"/>
          <w:w w:val="100"/>
          <w:kern w:val="0"/>
          <w:sz w:val="32"/>
          <w:szCs w:val="32"/>
        </w:rPr>
      </w:pPr>
    </w:p>
    <w:p>
      <w:pPr>
        <w:keepNext w:val="0"/>
        <w:keepLines w:val="0"/>
        <w:pageBreakBefore w:val="0"/>
        <w:widowControl w:val="0"/>
        <w:kinsoku/>
        <w:wordWrap/>
        <w:overflowPunct/>
        <w:topLinePunct/>
        <w:autoSpaceDE/>
        <w:autoSpaceDN/>
        <w:bidi w:val="0"/>
        <w:adjustRightInd/>
        <w:snapToGrid/>
        <w:spacing w:before="0" w:beforeAutospacing="0" w:after="0" w:afterAutospacing="0" w:line="440" w:lineRule="exact"/>
        <w:ind w:firstLine="641"/>
        <w:jc w:val="left"/>
        <w:textAlignment w:val="baseline"/>
        <w:rPr>
          <w:rFonts w:hint="eastAsia" w:ascii="方正楷体_GBK" w:hAnsi="方正楷体_GBK" w:eastAsia="方正楷体_GBK" w:cs="方正楷体_GBK"/>
          <w:b w:val="0"/>
          <w:i w:val="0"/>
          <w:caps w:val="0"/>
          <w:spacing w:val="0"/>
          <w:w w:val="100"/>
          <w:kern w:val="0"/>
          <w:sz w:val="32"/>
          <w:szCs w:val="32"/>
        </w:rPr>
      </w:pPr>
    </w:p>
    <w:p>
      <w:pPr>
        <w:keepNext w:val="0"/>
        <w:keepLines w:val="0"/>
        <w:pageBreakBefore w:val="0"/>
        <w:widowControl w:val="0"/>
        <w:kinsoku/>
        <w:wordWrap/>
        <w:overflowPunct/>
        <w:topLinePunct/>
        <w:autoSpaceDE/>
        <w:autoSpaceDN/>
        <w:bidi w:val="0"/>
        <w:adjustRightInd/>
        <w:snapToGrid/>
        <w:spacing w:before="0" w:beforeAutospacing="0" w:after="0" w:afterAutospacing="0" w:line="440" w:lineRule="exact"/>
        <w:jc w:val="left"/>
        <w:textAlignment w:val="baseline"/>
        <w:rPr>
          <w:rFonts w:hint="eastAsia" w:ascii="方正楷体_GBK" w:hAnsi="方正楷体_GBK" w:eastAsia="方正楷体_GBK" w:cs="方正楷体_GBK"/>
          <w:b w:val="0"/>
          <w:i w:val="0"/>
          <w:caps w:val="0"/>
          <w:spacing w:val="0"/>
          <w:w w:val="100"/>
          <w:kern w:val="0"/>
          <w:sz w:val="32"/>
          <w:szCs w:val="32"/>
        </w:rPr>
      </w:pPr>
      <w:r>
        <w:rPr>
          <w:rFonts w:hint="eastAsia" w:ascii="方正楷体_GBK" w:hAnsi="方正楷体_GBK" w:eastAsia="方正楷体_GBK" w:cs="方正楷体_GBK"/>
          <w:b w:val="0"/>
          <w:i w:val="0"/>
          <w:caps w:val="0"/>
          <w:spacing w:val="0"/>
          <w:w w:val="100"/>
          <w:kern w:val="0"/>
          <w:sz w:val="32"/>
          <w:szCs w:val="32"/>
        </w:rPr>
        <w:t xml:space="preserve">               </w:t>
      </w:r>
    </w:p>
    <w:p>
      <w:pPr>
        <w:keepNext w:val="0"/>
        <w:keepLines w:val="0"/>
        <w:pageBreakBefore w:val="0"/>
        <w:widowControl w:val="0"/>
        <w:kinsoku/>
        <w:wordWrap/>
        <w:overflowPunct/>
        <w:topLinePunct/>
        <w:autoSpaceDE/>
        <w:autoSpaceDN/>
        <w:bidi w:val="0"/>
        <w:adjustRightInd/>
        <w:snapToGrid/>
        <w:spacing w:before="0" w:beforeAutospacing="0" w:after="0" w:afterAutospacing="0" w:line="440" w:lineRule="exact"/>
        <w:ind w:firstLine="640"/>
        <w:jc w:val="left"/>
        <w:textAlignment w:val="baseline"/>
        <w:rPr>
          <w:rFonts w:hint="eastAsia" w:ascii="方正楷体_GBK" w:hAnsi="方正楷体_GBK" w:eastAsia="方正楷体_GBK" w:cs="方正楷体_GBK"/>
          <w:b w:val="0"/>
          <w:i w:val="0"/>
          <w:caps w:val="0"/>
          <w:spacing w:val="0"/>
          <w:w w:val="100"/>
          <w:kern w:val="0"/>
          <w:sz w:val="32"/>
          <w:szCs w:val="32"/>
        </w:rPr>
      </w:pPr>
    </w:p>
    <w:p>
      <w:pPr>
        <w:keepNext w:val="0"/>
        <w:keepLines w:val="0"/>
        <w:pageBreakBefore w:val="0"/>
        <w:widowControl w:val="0"/>
        <w:tabs>
          <w:tab w:val="left" w:pos="5820"/>
          <w:tab w:val="left" w:pos="7560"/>
        </w:tabs>
        <w:kinsoku/>
        <w:wordWrap/>
        <w:overflowPunct/>
        <w:topLinePunct/>
        <w:autoSpaceDE/>
        <w:autoSpaceDN/>
        <w:bidi w:val="0"/>
        <w:adjustRightInd/>
        <w:snapToGrid/>
        <w:spacing w:before="0" w:beforeAutospacing="0" w:after="0" w:afterAutospacing="0" w:line="400" w:lineRule="exact"/>
        <w:ind w:left="0" w:leftChars="0" w:firstLine="4979" w:firstLineChars="1556"/>
        <w:jc w:val="left"/>
        <w:textAlignment w:val="baseline"/>
        <w:rPr>
          <w:rFonts w:hint="eastAsia" w:ascii="方正楷体_GBK" w:hAnsi="方正楷体_GBK" w:eastAsia="方正楷体_GBK" w:cs="方正楷体_GBK"/>
          <w:b w:val="0"/>
          <w:i w:val="0"/>
          <w:caps w:val="0"/>
          <w:spacing w:val="0"/>
          <w:w w:val="100"/>
          <w:kern w:val="0"/>
          <w:sz w:val="32"/>
          <w:szCs w:val="32"/>
        </w:rPr>
      </w:pPr>
      <w:r>
        <w:rPr>
          <w:rFonts w:hint="eastAsia" w:ascii="方正楷体_GBK" w:hAnsi="方正楷体_GBK" w:eastAsia="方正楷体_GBK" w:cs="方正楷体_GBK"/>
          <w:b w:val="0"/>
          <w:i w:val="0"/>
          <w:caps w:val="0"/>
          <w:spacing w:val="0"/>
          <w:w w:val="100"/>
          <w:kern w:val="0"/>
          <w:sz w:val="32"/>
          <w:szCs w:val="32"/>
        </w:rPr>
        <w:t>202</w:t>
      </w:r>
      <w:r>
        <w:rPr>
          <w:rFonts w:hint="eastAsia" w:ascii="方正楷体_GBK" w:hAnsi="方正楷体_GBK" w:eastAsia="方正楷体_GBK" w:cs="方正楷体_GBK"/>
          <w:b w:val="0"/>
          <w:i w:val="0"/>
          <w:caps w:val="0"/>
          <w:spacing w:val="0"/>
          <w:w w:val="100"/>
          <w:kern w:val="0"/>
          <w:sz w:val="32"/>
          <w:szCs w:val="32"/>
          <w:lang w:val="en-US" w:eastAsia="zh-CN"/>
        </w:rPr>
        <w:t>3</w:t>
      </w:r>
      <w:r>
        <w:rPr>
          <w:rFonts w:hint="eastAsia" w:ascii="方正楷体_GBK" w:hAnsi="方正楷体_GBK" w:eastAsia="方正楷体_GBK" w:cs="方正楷体_GBK"/>
          <w:b w:val="0"/>
          <w:i w:val="0"/>
          <w:caps w:val="0"/>
          <w:spacing w:val="0"/>
          <w:w w:val="100"/>
          <w:kern w:val="0"/>
          <w:sz w:val="32"/>
          <w:szCs w:val="32"/>
        </w:rPr>
        <w:t>年</w:t>
      </w:r>
      <w:r>
        <w:rPr>
          <w:rFonts w:hint="eastAsia" w:ascii="方正楷体_GBK" w:hAnsi="方正楷体_GBK" w:eastAsia="方正楷体_GBK" w:cs="方正楷体_GBK"/>
          <w:b w:val="0"/>
          <w:i w:val="0"/>
          <w:caps w:val="0"/>
          <w:spacing w:val="0"/>
          <w:w w:val="100"/>
          <w:kern w:val="0"/>
          <w:sz w:val="32"/>
          <w:szCs w:val="32"/>
          <w:lang w:val="en-US" w:eastAsia="zh-CN"/>
        </w:rPr>
        <w:t>10</w:t>
      </w:r>
      <w:r>
        <w:rPr>
          <w:rFonts w:hint="eastAsia" w:ascii="方正楷体_GBK" w:hAnsi="方正楷体_GBK" w:eastAsia="方正楷体_GBK" w:cs="方正楷体_GBK"/>
          <w:b w:val="0"/>
          <w:i w:val="0"/>
          <w:caps w:val="0"/>
          <w:spacing w:val="0"/>
          <w:w w:val="100"/>
          <w:kern w:val="0"/>
          <w:sz w:val="32"/>
          <w:szCs w:val="32"/>
        </w:rPr>
        <w:t>月</w:t>
      </w:r>
      <w:r>
        <w:rPr>
          <w:rFonts w:hint="eastAsia" w:ascii="方正楷体_GBK" w:hAnsi="方正楷体_GBK" w:eastAsia="方正楷体_GBK" w:cs="方正楷体_GBK"/>
          <w:b w:val="0"/>
          <w:i w:val="0"/>
          <w:caps w:val="0"/>
          <w:spacing w:val="0"/>
          <w:w w:val="100"/>
          <w:kern w:val="0"/>
          <w:sz w:val="32"/>
          <w:szCs w:val="32"/>
          <w:lang w:val="en-US" w:eastAsia="zh-CN"/>
        </w:rPr>
        <w:t>18</w:t>
      </w:r>
      <w:r>
        <w:rPr>
          <w:rFonts w:hint="eastAsia" w:ascii="方正楷体_GBK" w:hAnsi="方正楷体_GBK" w:eastAsia="方正楷体_GBK" w:cs="方正楷体_GBK"/>
          <w:b w:val="0"/>
          <w:i w:val="0"/>
          <w:caps w:val="0"/>
          <w:spacing w:val="0"/>
          <w:w w:val="100"/>
          <w:kern w:val="0"/>
          <w:sz w:val="32"/>
          <w:szCs w:val="32"/>
        </w:rPr>
        <w:t>日</w:t>
      </w:r>
    </w:p>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firstLine="640" w:firstLineChars="200"/>
        <w:jc w:val="left"/>
        <w:textAlignment w:val="baseline"/>
        <w:rPr>
          <w:rFonts w:hint="eastAsia" w:ascii="方正楷体_GBK" w:hAnsi="方正楷体_GBK" w:eastAsia="方正楷体_GBK" w:cs="方正楷体_GBK"/>
          <w:b w:val="0"/>
          <w:i w:val="0"/>
          <w:caps w:val="0"/>
          <w:spacing w:val="0"/>
          <w:w w:val="100"/>
          <w:kern w:val="0"/>
          <w:sz w:val="32"/>
          <w:szCs w:val="32"/>
        </w:rPr>
      </w:pPr>
      <w:r>
        <w:rPr>
          <w:rFonts w:hint="eastAsia" w:ascii="方正楷体_GBK" w:hAnsi="方正楷体_GBK" w:eastAsia="方正楷体_GBK" w:cs="方正楷体_GBK"/>
          <w:b w:val="0"/>
          <w:i w:val="0"/>
          <w:caps w:val="0"/>
          <w:spacing w:val="0"/>
          <w:w w:val="100"/>
          <w:kern w:val="0"/>
          <w:sz w:val="32"/>
          <w:szCs w:val="32"/>
        </w:rPr>
        <w:t>（此件公开发布）</w:t>
      </w:r>
    </w:p>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firstLine="640" w:firstLineChars="200"/>
        <w:jc w:val="left"/>
        <w:textAlignment w:val="baseline"/>
        <w:rPr>
          <w:rFonts w:hint="eastAsia" w:ascii="方正楷体_GBK" w:hAnsi="方正楷体_GBK" w:eastAsia="方正楷体_GBK" w:cs="方正楷体_GBK"/>
          <w:b w:val="0"/>
          <w:i w:val="0"/>
          <w:caps w:val="0"/>
          <w:spacing w:val="0"/>
          <w:w w:val="100"/>
          <w:kern w:val="0"/>
          <w:sz w:val="32"/>
          <w:szCs w:val="32"/>
        </w:rPr>
      </w:pPr>
    </w:p>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firstLine="640" w:firstLineChars="200"/>
        <w:jc w:val="left"/>
        <w:textAlignment w:val="baseline"/>
        <w:rPr>
          <w:rFonts w:hint="eastAsia" w:ascii="方正楷体_GBK" w:hAnsi="方正楷体_GBK" w:eastAsia="方正楷体_GBK" w:cs="方正楷体_GBK"/>
          <w:b w:val="0"/>
          <w:i w:val="0"/>
          <w:caps w:val="0"/>
          <w:spacing w:val="0"/>
          <w:w w:val="100"/>
          <w:kern w:val="0"/>
          <w:sz w:val="32"/>
          <w:szCs w:val="32"/>
        </w:rPr>
      </w:pPr>
    </w:p>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firstLine="640" w:firstLineChars="200"/>
        <w:jc w:val="left"/>
        <w:textAlignment w:val="baseline"/>
        <w:rPr>
          <w:rFonts w:hint="eastAsia" w:ascii="方正楷体_GBK" w:hAnsi="方正楷体_GBK" w:eastAsia="方正楷体_GBK" w:cs="方正楷体_GBK"/>
          <w:b w:val="0"/>
          <w:i w:val="0"/>
          <w:caps w:val="0"/>
          <w:spacing w:val="0"/>
          <w:w w:val="100"/>
          <w:kern w:val="0"/>
          <w:sz w:val="32"/>
          <w:szCs w:val="32"/>
        </w:rPr>
      </w:pPr>
    </w:p>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firstLine="640" w:firstLineChars="200"/>
        <w:jc w:val="left"/>
        <w:textAlignment w:val="baseline"/>
        <w:rPr>
          <w:rFonts w:hint="eastAsia" w:ascii="方正楷体_GBK" w:hAnsi="方正楷体_GBK" w:eastAsia="方正楷体_GBK" w:cs="方正楷体_GBK"/>
          <w:b w:val="0"/>
          <w:i w:val="0"/>
          <w:caps w:val="0"/>
          <w:spacing w:val="0"/>
          <w:w w:val="100"/>
          <w:kern w:val="0"/>
          <w:sz w:val="32"/>
          <w:szCs w:val="32"/>
        </w:rPr>
      </w:pPr>
    </w:p>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firstLine="640" w:firstLineChars="200"/>
        <w:jc w:val="left"/>
        <w:textAlignment w:val="baseline"/>
        <w:rPr>
          <w:rFonts w:hint="eastAsia" w:ascii="方正楷体_GBK" w:hAnsi="方正楷体_GBK" w:eastAsia="方正楷体_GBK" w:cs="方正楷体_GBK"/>
          <w:b w:val="0"/>
          <w:i w:val="0"/>
          <w:caps w:val="0"/>
          <w:spacing w:val="0"/>
          <w:w w:val="100"/>
          <w:kern w:val="0"/>
          <w:sz w:val="32"/>
          <w:szCs w:val="32"/>
        </w:rPr>
      </w:pPr>
    </w:p>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firstLine="640" w:firstLineChars="200"/>
        <w:jc w:val="left"/>
        <w:textAlignment w:val="baseline"/>
        <w:rPr>
          <w:rFonts w:hint="eastAsia" w:ascii="方正楷体_GBK" w:hAnsi="方正楷体_GBK" w:eastAsia="方正楷体_GBK" w:cs="方正楷体_GBK"/>
          <w:b w:val="0"/>
          <w:i w:val="0"/>
          <w:caps w:val="0"/>
          <w:spacing w:val="0"/>
          <w:w w:val="100"/>
          <w:kern w:val="0"/>
          <w:sz w:val="32"/>
          <w:szCs w:val="32"/>
        </w:rPr>
      </w:pPr>
    </w:p>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firstLine="640" w:firstLineChars="200"/>
        <w:jc w:val="left"/>
        <w:textAlignment w:val="baseline"/>
        <w:rPr>
          <w:rFonts w:hint="eastAsia" w:ascii="方正楷体_GBK" w:hAnsi="方正楷体_GBK" w:eastAsia="方正楷体_GBK" w:cs="方正楷体_GBK"/>
          <w:b w:val="0"/>
          <w:i w:val="0"/>
          <w:caps w:val="0"/>
          <w:spacing w:val="0"/>
          <w:w w:val="100"/>
          <w:kern w:val="0"/>
          <w:sz w:val="32"/>
          <w:szCs w:val="32"/>
        </w:rPr>
      </w:pPr>
    </w:p>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firstLine="640" w:firstLineChars="200"/>
        <w:jc w:val="left"/>
        <w:textAlignment w:val="baseline"/>
        <w:rPr>
          <w:rFonts w:hint="eastAsia" w:ascii="方正楷体_GBK" w:hAnsi="方正楷体_GBK" w:eastAsia="方正楷体_GBK" w:cs="方正楷体_GBK"/>
          <w:b w:val="0"/>
          <w:i w:val="0"/>
          <w:caps w:val="0"/>
          <w:spacing w:val="0"/>
          <w:w w:val="100"/>
          <w:kern w:val="0"/>
          <w:sz w:val="32"/>
          <w:szCs w:val="32"/>
        </w:rPr>
      </w:pPr>
    </w:p>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firstLine="640" w:firstLineChars="200"/>
        <w:jc w:val="left"/>
        <w:textAlignment w:val="baseline"/>
        <w:rPr>
          <w:rFonts w:hint="eastAsia" w:ascii="方正楷体_GBK" w:hAnsi="方正楷体_GBK" w:eastAsia="方正楷体_GBK" w:cs="方正楷体_GBK"/>
          <w:b w:val="0"/>
          <w:i w:val="0"/>
          <w:caps w:val="0"/>
          <w:spacing w:val="0"/>
          <w:w w:val="100"/>
          <w:kern w:val="0"/>
          <w:sz w:val="32"/>
          <w:szCs w:val="32"/>
        </w:rPr>
      </w:pPr>
    </w:p>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firstLine="640" w:firstLineChars="200"/>
        <w:jc w:val="left"/>
        <w:textAlignment w:val="baseline"/>
        <w:rPr>
          <w:rFonts w:hint="eastAsia" w:ascii="方正楷体_GBK" w:hAnsi="方正楷体_GBK" w:eastAsia="方正楷体_GBK" w:cs="方正楷体_GBK"/>
          <w:b w:val="0"/>
          <w:i w:val="0"/>
          <w:caps w:val="0"/>
          <w:spacing w:val="0"/>
          <w:w w:val="100"/>
          <w:kern w:val="0"/>
          <w:sz w:val="32"/>
          <w:szCs w:val="32"/>
        </w:rPr>
      </w:pPr>
    </w:p>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firstLine="640" w:firstLineChars="200"/>
        <w:jc w:val="left"/>
        <w:textAlignment w:val="baseline"/>
        <w:rPr>
          <w:rFonts w:hint="eastAsia" w:ascii="方正楷体_GBK" w:hAnsi="方正楷体_GBK" w:eastAsia="方正楷体_GBK" w:cs="方正楷体_GBK"/>
          <w:b w:val="0"/>
          <w:i w:val="0"/>
          <w:caps w:val="0"/>
          <w:spacing w:val="0"/>
          <w:w w:val="100"/>
          <w:kern w:val="0"/>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firstLine="0" w:firstLineChars="0"/>
        <w:jc w:val="center"/>
        <w:textAlignment w:val="auto"/>
        <w:rPr>
          <w:rFonts w:hint="eastAsia" w:ascii="方正小标宋简体" w:eastAsia="方正小标宋简体"/>
          <w:sz w:val="44"/>
          <w:szCs w:val="44"/>
          <w:highlight w:val="none"/>
        </w:rPr>
      </w:pPr>
    </w:p>
    <w:p>
      <w:pPr>
        <w:keepNext w:val="0"/>
        <w:keepLines w:val="0"/>
        <w:pageBreakBefore w:val="0"/>
        <w:widowControl w:val="0"/>
        <w:kinsoku/>
        <w:wordWrap/>
        <w:overflowPunct/>
        <w:topLinePunct/>
        <w:autoSpaceDE/>
        <w:autoSpaceDN/>
        <w:bidi w:val="0"/>
        <w:adjustRightInd/>
        <w:snapToGrid/>
        <w:spacing w:line="580" w:lineRule="exact"/>
        <w:ind w:left="0" w:leftChars="0" w:firstLine="0" w:firstLineChars="0"/>
        <w:jc w:val="center"/>
        <w:textAlignment w:val="auto"/>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内蒙古自治区深入推进</w:t>
      </w:r>
    </w:p>
    <w:p>
      <w:pPr>
        <w:keepNext w:val="0"/>
        <w:keepLines w:val="0"/>
        <w:pageBreakBefore w:val="0"/>
        <w:widowControl w:val="0"/>
        <w:kinsoku/>
        <w:wordWrap/>
        <w:overflowPunct/>
        <w:topLinePunct/>
        <w:autoSpaceDE/>
        <w:autoSpaceDN/>
        <w:bidi w:val="0"/>
        <w:adjustRightInd/>
        <w:snapToGrid/>
        <w:spacing w:line="580" w:lineRule="exact"/>
        <w:ind w:left="0" w:leftChars="0" w:firstLine="0" w:firstLineChars="0"/>
        <w:jc w:val="center"/>
        <w:textAlignment w:val="auto"/>
        <w:rPr>
          <w:rFonts w:hint="eastAsia" w:ascii="方正小标宋简体" w:eastAsia="方正小标宋简体"/>
          <w:spacing w:val="45"/>
          <w:sz w:val="44"/>
          <w:szCs w:val="44"/>
          <w:highlight w:val="none"/>
        </w:rPr>
      </w:pPr>
      <w:r>
        <w:rPr>
          <w:rFonts w:hint="eastAsia" w:ascii="方正小标宋简体" w:eastAsia="方正小标宋简体"/>
          <w:spacing w:val="45"/>
          <w:sz w:val="44"/>
          <w:szCs w:val="44"/>
          <w:highlight w:val="none"/>
        </w:rPr>
        <w:t>跨部门综合监管实施方案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为深入贯彻落实《国务院办公厅关于深入推进跨部门综合监管的指导意见》（国办发〔2023〕1号）</w:t>
      </w:r>
      <w:r>
        <w:rPr>
          <w:rFonts w:hint="eastAsia" w:ascii="仿宋" w:hAnsi="仿宋" w:eastAsia="仿宋" w:cs="仿宋"/>
          <w:color w:val="auto"/>
          <w:sz w:val="32"/>
          <w:szCs w:val="32"/>
          <w:lang w:eastAsia="zh-CN"/>
        </w:rPr>
        <w:t>精神</w:t>
      </w:r>
      <w:r>
        <w:rPr>
          <w:rFonts w:hint="eastAsia" w:ascii="仿宋" w:hAnsi="仿宋" w:eastAsia="仿宋" w:cs="仿宋"/>
          <w:color w:val="auto"/>
          <w:sz w:val="32"/>
          <w:szCs w:val="32"/>
        </w:rPr>
        <w:t>，进一步加强跨部门</w:t>
      </w:r>
      <w:r>
        <w:rPr>
          <w:rFonts w:hint="eastAsia" w:ascii="仿宋" w:hAnsi="仿宋" w:eastAsia="仿宋" w:cs="仿宋"/>
          <w:color w:val="auto"/>
          <w:spacing w:val="6"/>
          <w:sz w:val="32"/>
          <w:szCs w:val="32"/>
        </w:rPr>
        <w:t>综合监管，提高政府监管效能，切实维护公平有序的市场环境，</w:t>
      </w:r>
      <w:r>
        <w:rPr>
          <w:rFonts w:hint="eastAsia" w:ascii="仿宋" w:hAnsi="仿宋" w:eastAsia="仿宋" w:cs="仿宋"/>
          <w:color w:val="auto"/>
          <w:sz w:val="32"/>
          <w:szCs w:val="32"/>
        </w:rPr>
        <w:t>降低市场主体制度性交易成本，</w:t>
      </w:r>
      <w:r>
        <w:rPr>
          <w:rFonts w:hint="eastAsia" w:ascii="仿宋" w:hAnsi="仿宋" w:eastAsia="仿宋" w:cs="仿宋"/>
          <w:color w:val="auto"/>
          <w:sz w:val="32"/>
          <w:szCs w:val="32"/>
          <w:lang w:eastAsia="zh-CN"/>
        </w:rPr>
        <w:t>推动</w:t>
      </w:r>
      <w:r>
        <w:rPr>
          <w:rFonts w:hint="eastAsia" w:ascii="仿宋" w:hAnsi="仿宋" w:eastAsia="仿宋" w:cs="仿宋"/>
          <w:color w:val="auto"/>
          <w:sz w:val="32"/>
          <w:szCs w:val="32"/>
        </w:rPr>
        <w:t>高质量发展，</w:t>
      </w:r>
      <w:r>
        <w:rPr>
          <w:rFonts w:hint="eastAsia" w:ascii="仿宋" w:hAnsi="仿宋" w:eastAsia="仿宋" w:cs="仿宋"/>
          <w:color w:val="auto"/>
          <w:sz w:val="32"/>
          <w:szCs w:val="32"/>
          <w:lang w:eastAsia="zh-CN"/>
        </w:rPr>
        <w:t>结合自治区实际，</w:t>
      </w:r>
      <w:r>
        <w:rPr>
          <w:rFonts w:hint="eastAsia" w:ascii="仿宋" w:hAnsi="仿宋" w:eastAsia="仿宋" w:cs="仿宋"/>
          <w:color w:val="auto"/>
          <w:sz w:val="32"/>
          <w:szCs w:val="32"/>
        </w:rPr>
        <w:t>制定本方案。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一、总体要求</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eastAsia="zh-CN"/>
        </w:rPr>
      </w:pPr>
      <w:r>
        <w:rPr>
          <w:rFonts w:hint="eastAsia" w:ascii="楷体" w:hAnsi="楷体" w:eastAsia="楷体" w:cs="楷体"/>
          <w:color w:val="auto"/>
          <w:sz w:val="32"/>
          <w:szCs w:val="32"/>
        </w:rPr>
        <w:t>（一）指导思想。</w:t>
      </w:r>
      <w:r>
        <w:rPr>
          <w:rFonts w:hint="eastAsia" w:ascii="仿宋" w:hAnsi="仿宋" w:eastAsia="仿宋" w:cs="仿宋"/>
          <w:color w:val="auto"/>
          <w:sz w:val="32"/>
          <w:szCs w:val="32"/>
        </w:rPr>
        <w:t>以习近平新时代中国特色社会主义思想为指导，深入贯彻党的二十大精神，全面</w:t>
      </w:r>
      <w:r>
        <w:rPr>
          <w:rFonts w:hint="eastAsia" w:ascii="仿宋" w:hAnsi="仿宋" w:eastAsia="仿宋" w:cs="仿宋"/>
          <w:color w:val="auto"/>
          <w:sz w:val="32"/>
          <w:szCs w:val="32"/>
          <w:lang w:eastAsia="zh-CN"/>
        </w:rPr>
        <w:t>落实</w:t>
      </w:r>
      <w:r>
        <w:rPr>
          <w:rFonts w:hint="eastAsia" w:ascii="仿宋" w:hAnsi="仿宋" w:eastAsia="仿宋" w:cs="仿宋"/>
          <w:color w:val="auto"/>
          <w:sz w:val="32"/>
          <w:szCs w:val="32"/>
        </w:rPr>
        <w:t>习近平总书记</w:t>
      </w:r>
      <w:r>
        <w:rPr>
          <w:rFonts w:hint="eastAsia" w:ascii="仿宋" w:hAnsi="仿宋" w:eastAsia="仿宋" w:cs="仿宋"/>
          <w:color w:val="auto"/>
          <w:sz w:val="32"/>
          <w:szCs w:val="32"/>
          <w:lang w:eastAsia="zh-CN"/>
        </w:rPr>
        <w:t>对内蒙古的重要指示</w:t>
      </w:r>
      <w:r>
        <w:rPr>
          <w:rFonts w:hint="eastAsia" w:ascii="仿宋" w:hAnsi="仿宋" w:eastAsia="仿宋" w:cs="仿宋"/>
          <w:color w:val="auto"/>
          <w:sz w:val="32"/>
          <w:szCs w:val="32"/>
        </w:rPr>
        <w:t>精神，完整、准确、全面贯彻新发展理念，积极服</w:t>
      </w:r>
      <w:r>
        <w:rPr>
          <w:rFonts w:hint="eastAsia" w:ascii="仿宋" w:hAnsi="仿宋" w:eastAsia="仿宋" w:cs="仿宋"/>
          <w:color w:val="auto"/>
          <w:spacing w:val="6"/>
          <w:sz w:val="32"/>
          <w:szCs w:val="32"/>
        </w:rPr>
        <w:t>务和融入新发展格局，坚持</w:t>
      </w:r>
      <w:r>
        <w:rPr>
          <w:rFonts w:hint="eastAsia" w:ascii="仿宋" w:hAnsi="仿宋" w:eastAsia="仿宋" w:cs="仿宋"/>
          <w:color w:val="auto"/>
          <w:spacing w:val="6"/>
          <w:sz w:val="32"/>
          <w:szCs w:val="32"/>
          <w:lang w:eastAsia="zh-CN"/>
        </w:rPr>
        <w:t>科</w:t>
      </w:r>
      <w:r>
        <w:rPr>
          <w:rFonts w:hint="eastAsia" w:ascii="仿宋" w:hAnsi="仿宋" w:eastAsia="仿宋" w:cs="仿宋"/>
          <w:color w:val="auto"/>
          <w:spacing w:val="6"/>
          <w:sz w:val="32"/>
          <w:szCs w:val="32"/>
          <w:highlight w:val="none"/>
          <w:lang w:eastAsia="zh-CN"/>
        </w:rPr>
        <w:t>学谋划、统</w:t>
      </w:r>
      <w:r>
        <w:rPr>
          <w:rFonts w:hint="eastAsia" w:ascii="仿宋" w:hAnsi="仿宋" w:eastAsia="仿宋" w:cs="仿宋"/>
          <w:color w:val="auto"/>
          <w:spacing w:val="6"/>
          <w:sz w:val="32"/>
          <w:szCs w:val="32"/>
          <w:lang w:eastAsia="zh-CN"/>
        </w:rPr>
        <w:t>筹</w:t>
      </w:r>
      <w:r>
        <w:rPr>
          <w:rFonts w:hint="eastAsia" w:ascii="仿宋" w:hAnsi="仿宋" w:eastAsia="仿宋" w:cs="仿宋"/>
          <w:color w:val="auto"/>
          <w:spacing w:val="6"/>
          <w:sz w:val="32"/>
          <w:szCs w:val="32"/>
        </w:rPr>
        <w:t>推进，坚持协同联动、</w:t>
      </w:r>
      <w:r>
        <w:rPr>
          <w:rFonts w:hint="eastAsia" w:ascii="仿宋" w:hAnsi="仿宋" w:eastAsia="仿宋" w:cs="仿宋"/>
          <w:color w:val="auto"/>
          <w:sz w:val="32"/>
          <w:szCs w:val="32"/>
        </w:rPr>
        <w:t>务实高效，坚持问题导向、突出重点，坚持创新</w:t>
      </w:r>
      <w:r>
        <w:rPr>
          <w:rFonts w:hint="eastAsia" w:ascii="仿宋" w:hAnsi="仿宋" w:eastAsia="仿宋" w:cs="仿宋"/>
          <w:color w:val="auto"/>
          <w:sz w:val="32"/>
          <w:szCs w:val="32"/>
          <w:lang w:eastAsia="zh-CN"/>
        </w:rPr>
        <w:t>驱动</w:t>
      </w:r>
      <w:r>
        <w:rPr>
          <w:rFonts w:hint="eastAsia" w:ascii="仿宋" w:hAnsi="仿宋" w:eastAsia="仿宋" w:cs="仿宋"/>
          <w:color w:val="auto"/>
          <w:sz w:val="32"/>
          <w:szCs w:val="32"/>
        </w:rPr>
        <w:t>、数字赋能，对涉及多个部门、管理难度大、风险隐患突出的监管事项，建立健全跨部门综合监管制度，强化条块结合、区域联动，完善协同监管机制，提升监管的精准性和有效性，维护公平竞争的市场秩序，</w:t>
      </w:r>
      <w:r>
        <w:rPr>
          <w:rFonts w:hint="eastAsia" w:ascii="仿宋" w:hAnsi="仿宋" w:eastAsia="仿宋" w:cs="仿宋"/>
          <w:color w:val="auto"/>
          <w:sz w:val="32"/>
          <w:szCs w:val="32"/>
          <w:lang w:eastAsia="zh-CN"/>
        </w:rPr>
        <w:t>为保护和</w:t>
      </w:r>
      <w:r>
        <w:rPr>
          <w:rFonts w:hint="eastAsia" w:ascii="仿宋" w:hAnsi="仿宋" w:eastAsia="仿宋" w:cs="仿宋"/>
          <w:color w:val="auto"/>
          <w:sz w:val="32"/>
          <w:szCs w:val="32"/>
        </w:rPr>
        <w:t>激发市场主体活力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推动</w:t>
      </w:r>
      <w:r>
        <w:rPr>
          <w:rFonts w:hint="eastAsia" w:ascii="仿宋" w:hAnsi="仿宋" w:eastAsia="仿宋" w:cs="仿宋"/>
          <w:color w:val="auto"/>
          <w:sz w:val="32"/>
          <w:szCs w:val="32"/>
          <w:lang w:eastAsia="zh-CN"/>
        </w:rPr>
        <w:t>自治区</w:t>
      </w:r>
      <w:r>
        <w:rPr>
          <w:rFonts w:hint="eastAsia" w:ascii="仿宋" w:hAnsi="仿宋" w:eastAsia="仿宋" w:cs="仿宋"/>
          <w:color w:val="auto"/>
          <w:sz w:val="32"/>
          <w:szCs w:val="32"/>
        </w:rPr>
        <w:t>高质量发展</w:t>
      </w:r>
      <w:r>
        <w:rPr>
          <w:rFonts w:hint="eastAsia" w:ascii="仿宋" w:hAnsi="仿宋" w:eastAsia="仿宋" w:cs="仿宋"/>
          <w:color w:val="auto"/>
          <w:sz w:val="32"/>
          <w:szCs w:val="32"/>
          <w:lang w:eastAsia="zh-CN"/>
        </w:rPr>
        <w:t>提供有力支撑。</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rPr>
      </w:pPr>
      <w:r>
        <w:rPr>
          <w:rFonts w:hint="eastAsia" w:ascii="楷体" w:hAnsi="楷体" w:eastAsia="楷体" w:cs="楷体"/>
          <w:color w:val="auto"/>
          <w:sz w:val="32"/>
          <w:szCs w:val="32"/>
          <w:lang w:val="en-US" w:eastAsia="zh-CN"/>
        </w:rPr>
        <w:t>（二）</w:t>
      </w:r>
      <w:r>
        <w:rPr>
          <w:rFonts w:hint="eastAsia" w:ascii="楷体" w:hAnsi="楷体" w:eastAsia="楷体" w:cs="楷体"/>
          <w:color w:val="auto"/>
          <w:sz w:val="32"/>
          <w:szCs w:val="32"/>
          <w:lang w:eastAsia="zh-CN"/>
        </w:rPr>
        <w:t>工作</w:t>
      </w:r>
      <w:r>
        <w:rPr>
          <w:rFonts w:hint="eastAsia" w:ascii="楷体" w:hAnsi="楷体" w:eastAsia="楷体" w:cs="楷体"/>
          <w:color w:val="auto"/>
          <w:sz w:val="32"/>
          <w:szCs w:val="32"/>
        </w:rPr>
        <w:t>目标。</w:t>
      </w:r>
      <w:r>
        <w:rPr>
          <w:rFonts w:hint="eastAsia" w:ascii="仿宋" w:hAnsi="仿宋" w:eastAsia="仿宋" w:cs="仿宋"/>
          <w:color w:val="auto"/>
          <w:sz w:val="32"/>
          <w:szCs w:val="32"/>
        </w:rPr>
        <w:t>2023年底前，建立跨部门综合监管重点事项清单管理和动态更新机制，在部分领域</w:t>
      </w:r>
      <w:r>
        <w:rPr>
          <w:rFonts w:hint="eastAsia" w:ascii="仿宋" w:hAnsi="仿宋" w:eastAsia="仿宋" w:cs="仿宋"/>
          <w:color w:val="auto"/>
          <w:sz w:val="32"/>
          <w:szCs w:val="32"/>
          <w:lang w:eastAsia="zh-CN"/>
        </w:rPr>
        <w:t>、地区</w:t>
      </w:r>
      <w:r>
        <w:rPr>
          <w:rFonts w:hint="eastAsia" w:ascii="仿宋" w:hAnsi="仿宋" w:eastAsia="仿宋" w:cs="仿宋"/>
          <w:color w:val="auto"/>
          <w:sz w:val="32"/>
          <w:szCs w:val="32"/>
        </w:rPr>
        <w:t>开展跨部门综合监管试点，按事项建立健全跨部门综合监管制度，完善各司其职、</w:t>
      </w:r>
      <w:r>
        <w:rPr>
          <w:rFonts w:hint="eastAsia" w:ascii="仿宋" w:hAnsi="仿宋" w:eastAsia="仿宋" w:cs="仿宋"/>
          <w:color w:val="auto"/>
          <w:spacing w:val="6"/>
          <w:sz w:val="32"/>
          <w:szCs w:val="32"/>
        </w:rPr>
        <w:t>各负其责、相互配合、齐抓共管的协同监管机制。到2025年，</w:t>
      </w:r>
      <w:r>
        <w:rPr>
          <w:rFonts w:hint="eastAsia" w:ascii="仿宋" w:hAnsi="仿宋" w:eastAsia="仿宋" w:cs="仿宋"/>
          <w:color w:val="auto"/>
          <w:sz w:val="32"/>
          <w:szCs w:val="32"/>
        </w:rPr>
        <w:t>在更多领域、更大范围建立健全跨部门综合监管制度，进一步优化协同监管机制和方式，大幅提升发现问题和处置风险能力，推动市场竞争更加公平有序、市场活力充分释放。</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rPr>
      </w:pPr>
      <w:r>
        <w:rPr>
          <w:rFonts w:hint="eastAsia" w:ascii="楷体" w:hAnsi="楷体" w:eastAsia="楷体" w:cs="楷体"/>
          <w:color w:val="auto"/>
          <w:sz w:val="32"/>
          <w:szCs w:val="32"/>
          <w:lang w:val="en-US" w:eastAsia="zh-CN"/>
        </w:rPr>
        <w:t>（三）试点领域。</w:t>
      </w:r>
      <w:r>
        <w:rPr>
          <w:rFonts w:hint="eastAsia" w:ascii="仿宋" w:hAnsi="仿宋" w:eastAsia="仿宋" w:cs="仿宋"/>
          <w:color w:val="auto"/>
          <w:sz w:val="32"/>
          <w:szCs w:val="32"/>
        </w:rPr>
        <w:t>以</w:t>
      </w:r>
      <w:r>
        <w:rPr>
          <w:rFonts w:hint="eastAsia" w:ascii="仿宋" w:hAnsi="仿宋" w:eastAsia="仿宋" w:cs="仿宋"/>
          <w:color w:val="auto"/>
          <w:sz w:val="32"/>
          <w:szCs w:val="32"/>
          <w:lang w:eastAsia="zh-CN"/>
        </w:rPr>
        <w:t>跨部门综合监管事项清单</w:t>
      </w:r>
      <w:r>
        <w:rPr>
          <w:rFonts w:hint="eastAsia" w:ascii="仿宋" w:hAnsi="仿宋" w:eastAsia="仿宋" w:cs="仿宋"/>
          <w:color w:val="auto"/>
          <w:sz w:val="32"/>
          <w:szCs w:val="32"/>
        </w:rPr>
        <w:t>为基础</w:t>
      </w:r>
      <w:r>
        <w:rPr>
          <w:rFonts w:hint="eastAsia" w:ascii="仿宋" w:hAnsi="仿宋" w:eastAsia="仿宋" w:cs="仿宋"/>
          <w:color w:val="auto"/>
          <w:sz w:val="32"/>
          <w:szCs w:val="32"/>
          <w:lang w:eastAsia="zh-CN"/>
        </w:rPr>
        <w:t>，以</w:t>
      </w:r>
      <w:r>
        <w:rPr>
          <w:rFonts w:hint="eastAsia" w:ascii="仿宋" w:hAnsi="仿宋" w:eastAsia="仿宋" w:cs="仿宋"/>
          <w:color w:val="auto"/>
          <w:sz w:val="32"/>
          <w:szCs w:val="32"/>
        </w:rPr>
        <w:t>高效管好“一件事”为目标，选取食品、药品、燃气、建筑工程质量、非法金融活动等直接关系人民群众生命财产安全、公共安全和潜在风险大、社会风险高的重点领域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作为综合监管</w:t>
      </w:r>
      <w:r>
        <w:rPr>
          <w:rFonts w:hint="eastAsia" w:ascii="仿宋" w:hAnsi="仿宋" w:eastAsia="仿宋" w:cs="仿宋"/>
          <w:color w:val="auto"/>
          <w:sz w:val="32"/>
          <w:szCs w:val="32"/>
          <w:lang w:eastAsia="zh-CN"/>
        </w:rPr>
        <w:t>“一件事”</w:t>
      </w:r>
      <w:r>
        <w:rPr>
          <w:rFonts w:hint="eastAsia" w:ascii="仿宋" w:hAnsi="仿宋" w:eastAsia="仿宋" w:cs="仿宋"/>
          <w:color w:val="auto"/>
          <w:sz w:val="32"/>
          <w:szCs w:val="32"/>
        </w:rPr>
        <w:t>第一批场景先行探索，形成一套成熟的综合监管运行机制，</w:t>
      </w:r>
      <w:r>
        <w:rPr>
          <w:rFonts w:hint="eastAsia" w:ascii="仿宋" w:hAnsi="仿宋" w:eastAsia="仿宋" w:cs="仿宋"/>
          <w:color w:val="auto"/>
          <w:sz w:val="32"/>
          <w:szCs w:val="32"/>
          <w:lang w:eastAsia="zh-CN"/>
        </w:rPr>
        <w:t>并</w:t>
      </w:r>
      <w:r>
        <w:rPr>
          <w:rFonts w:hint="eastAsia" w:ascii="仿宋" w:hAnsi="仿宋" w:eastAsia="仿宋" w:cs="仿宋"/>
          <w:color w:val="auto"/>
          <w:sz w:val="32"/>
          <w:szCs w:val="32"/>
        </w:rPr>
        <w:t>逐步进行场景拓展。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二、主要任务</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（一）夯实跨部门综合监管工作基础。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color w:val="auto"/>
          <w:sz w:val="32"/>
          <w:szCs w:val="32"/>
          <w:lang w:val="en-US" w:eastAsia="zh-CN"/>
        </w:rPr>
      </w:pPr>
      <w:r>
        <w:rPr>
          <w:rFonts w:hint="eastAsia" w:ascii="仿宋" w:hAnsi="仿宋" w:eastAsia="仿宋" w:cs="仿宋"/>
          <w:b w:val="0"/>
          <w:bCs w:val="0"/>
          <w:color w:val="auto"/>
          <w:sz w:val="32"/>
          <w:szCs w:val="32"/>
          <w:lang w:val="en-US" w:eastAsia="zh-CN"/>
        </w:rPr>
        <w:t>1.</w:t>
      </w:r>
      <w:r>
        <w:rPr>
          <w:rFonts w:hint="eastAsia" w:ascii="仿宋" w:hAnsi="仿宋" w:eastAsia="仿宋" w:cs="仿宋"/>
          <w:b w:val="0"/>
          <w:bCs w:val="0"/>
          <w:color w:val="auto"/>
          <w:sz w:val="32"/>
          <w:szCs w:val="32"/>
          <w:lang w:eastAsia="zh-CN"/>
        </w:rPr>
        <w:t>编制</w:t>
      </w:r>
      <w:r>
        <w:rPr>
          <w:rFonts w:hint="eastAsia" w:ascii="仿宋" w:hAnsi="仿宋" w:eastAsia="仿宋" w:cs="仿宋"/>
          <w:b w:val="0"/>
          <w:bCs w:val="0"/>
          <w:color w:val="auto"/>
          <w:sz w:val="32"/>
          <w:szCs w:val="32"/>
        </w:rPr>
        <w:t>跨部门综合监管事项</w:t>
      </w:r>
      <w:r>
        <w:rPr>
          <w:rFonts w:hint="eastAsia" w:ascii="仿宋" w:hAnsi="仿宋" w:eastAsia="仿宋" w:cs="仿宋"/>
          <w:b w:val="0"/>
          <w:bCs w:val="0"/>
          <w:color w:val="auto"/>
          <w:sz w:val="32"/>
          <w:szCs w:val="32"/>
          <w:lang w:eastAsia="zh-CN"/>
        </w:rPr>
        <w:t>清单</w:t>
      </w:r>
      <w:r>
        <w:rPr>
          <w:rFonts w:hint="eastAsia" w:ascii="仿宋" w:hAnsi="仿宋" w:eastAsia="仿宋" w:cs="仿宋"/>
          <w:b w:val="0"/>
          <w:bCs w:val="0"/>
          <w:color w:val="auto"/>
          <w:sz w:val="32"/>
          <w:szCs w:val="32"/>
        </w:rPr>
        <w:t>。</w:t>
      </w:r>
      <w:r>
        <w:rPr>
          <w:rFonts w:hint="eastAsia" w:ascii="仿宋" w:hAnsi="仿宋" w:eastAsia="仿宋" w:cs="仿宋"/>
          <w:color w:val="auto"/>
          <w:sz w:val="32"/>
          <w:szCs w:val="32"/>
        </w:rPr>
        <w:t>行业主管部门或法律法规规定的主管部门（以下统称行业主管部门）要严格按照法律法规和“三定”规定明确的监管职责，会同相关监管部门梳理并提出需实施跨部门综合监管的重点事项</w:t>
      </w:r>
      <w:r>
        <w:rPr>
          <w:rFonts w:hint="eastAsia" w:ascii="仿宋" w:hAnsi="仿宋" w:eastAsia="仿宋" w:cs="仿宋"/>
          <w:color w:val="auto"/>
          <w:sz w:val="32"/>
          <w:szCs w:val="32"/>
          <w:lang w:eastAsia="zh-CN"/>
        </w:rPr>
        <w:t>清单（详见附件），并纳入自</w:t>
      </w:r>
      <w:r>
        <w:rPr>
          <w:rFonts w:hint="eastAsia" w:ascii="仿宋" w:hAnsi="仿宋" w:eastAsia="仿宋" w:cs="仿宋"/>
          <w:color w:val="auto"/>
          <w:spacing w:val="6"/>
          <w:sz w:val="32"/>
          <w:szCs w:val="32"/>
          <w:lang w:eastAsia="zh-CN"/>
        </w:rPr>
        <w:t>治区</w:t>
      </w:r>
      <w:r>
        <w:rPr>
          <w:rFonts w:hint="eastAsia" w:ascii="仿宋" w:hAnsi="仿宋" w:eastAsia="仿宋" w:cs="仿宋"/>
          <w:color w:val="auto"/>
          <w:spacing w:val="6"/>
          <w:sz w:val="32"/>
          <w:szCs w:val="32"/>
        </w:rPr>
        <w:t>“互联网+监管”系统</w:t>
      </w:r>
      <w:r>
        <w:rPr>
          <w:rFonts w:hint="eastAsia" w:ascii="仿宋" w:hAnsi="仿宋" w:eastAsia="仿宋" w:cs="仿宋"/>
          <w:color w:val="auto"/>
          <w:spacing w:val="6"/>
          <w:sz w:val="32"/>
          <w:szCs w:val="32"/>
          <w:lang w:eastAsia="zh-CN"/>
        </w:rPr>
        <w:t>统一管理。重点事项清单</w:t>
      </w:r>
      <w:r>
        <w:rPr>
          <w:rFonts w:hint="eastAsia" w:ascii="仿宋" w:hAnsi="仿宋" w:eastAsia="仿宋" w:cs="仿宋"/>
          <w:color w:val="auto"/>
          <w:spacing w:val="6"/>
          <w:sz w:val="32"/>
          <w:szCs w:val="32"/>
        </w:rPr>
        <w:t>根据法律、</w:t>
      </w:r>
      <w:r>
        <w:rPr>
          <w:rFonts w:hint="eastAsia" w:ascii="仿宋" w:hAnsi="仿宋" w:eastAsia="仿宋" w:cs="仿宋"/>
          <w:color w:val="auto"/>
          <w:sz w:val="32"/>
          <w:szCs w:val="32"/>
        </w:rPr>
        <w:t>法规、规章的“立、改、废、释”或权责清单的变动</w:t>
      </w:r>
      <w:r>
        <w:rPr>
          <w:rFonts w:hint="eastAsia" w:ascii="仿宋" w:hAnsi="仿宋" w:eastAsia="仿宋" w:cs="仿宋"/>
          <w:color w:val="auto"/>
          <w:sz w:val="32"/>
          <w:szCs w:val="32"/>
          <w:lang w:eastAsia="zh-CN"/>
        </w:rPr>
        <w:t>情况需</w:t>
      </w:r>
      <w:r>
        <w:rPr>
          <w:rFonts w:hint="eastAsia" w:ascii="仿宋" w:hAnsi="仿宋" w:eastAsia="仿宋" w:cs="仿宋"/>
          <w:color w:val="auto"/>
          <w:sz w:val="32"/>
          <w:szCs w:val="32"/>
        </w:rPr>
        <w:t>调整</w:t>
      </w:r>
      <w:r>
        <w:rPr>
          <w:rFonts w:hint="eastAsia" w:ascii="仿宋" w:hAnsi="仿宋" w:eastAsia="仿宋" w:cs="仿宋"/>
          <w:color w:val="auto"/>
          <w:sz w:val="32"/>
          <w:szCs w:val="32"/>
          <w:lang w:eastAsia="zh-CN"/>
        </w:rPr>
        <w:t>的，由</w:t>
      </w:r>
      <w:r>
        <w:rPr>
          <w:rFonts w:hint="eastAsia" w:ascii="仿宋" w:hAnsi="仿宋" w:eastAsia="仿宋" w:cs="仿宋"/>
          <w:color w:val="auto"/>
          <w:sz w:val="32"/>
          <w:szCs w:val="32"/>
        </w:rPr>
        <w:t>行业主管部门会同相关监管部门</w:t>
      </w:r>
      <w:r>
        <w:rPr>
          <w:rFonts w:hint="eastAsia" w:ascii="仿宋" w:hAnsi="仿宋" w:eastAsia="仿宋" w:cs="仿宋"/>
          <w:color w:val="auto"/>
          <w:sz w:val="32"/>
          <w:szCs w:val="32"/>
          <w:lang w:eastAsia="zh-CN"/>
        </w:rPr>
        <w:t>提出，经合法性审核确认后报送自治区政府职能转变和数字政府建设领导小组办公室（设在自治区政务服务局）汇总，按程序报审后进行动态调整，实现数据同源、联动管理</w:t>
      </w:r>
      <w:r>
        <w:rPr>
          <w:rFonts w:hint="eastAsia" w:ascii="仿宋" w:hAnsi="仿宋" w:eastAsia="仿宋" w:cs="仿宋"/>
          <w:color w:val="auto"/>
          <w:sz w:val="32"/>
          <w:szCs w:val="32"/>
        </w:rPr>
        <w:t>。</w:t>
      </w:r>
      <w:r>
        <w:rPr>
          <w:rFonts w:hint="eastAsia" w:ascii="楷体" w:hAnsi="楷体" w:eastAsia="楷体" w:cs="楷体"/>
          <w:color w:val="auto"/>
          <w:sz w:val="32"/>
          <w:szCs w:val="32"/>
          <w:lang w:val="en-US" w:eastAsia="zh-CN"/>
        </w:rPr>
        <w:t>（自治区司法厅、政务服务局、大数据中心、行业主管部门，各盟行政公署、市人民政府按职责分工负责。以下任务均需各盟行政公署、市人民政府落实，不再列出）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color w:val="auto"/>
          <w:sz w:val="32"/>
          <w:szCs w:val="32"/>
          <w:lang w:val="en-US" w:eastAsia="zh-CN"/>
        </w:rPr>
      </w:pPr>
      <w:r>
        <w:rPr>
          <w:rFonts w:hint="eastAsia" w:ascii="仿宋" w:hAnsi="仿宋" w:eastAsia="仿宋" w:cs="仿宋"/>
          <w:b w:val="0"/>
          <w:bCs w:val="0"/>
          <w:color w:val="auto"/>
          <w:sz w:val="32"/>
          <w:szCs w:val="32"/>
          <w:lang w:val="en-US" w:eastAsia="zh-CN"/>
        </w:rPr>
        <w:t>2.明确跨部门综合监管责任分工。</w:t>
      </w:r>
      <w:r>
        <w:rPr>
          <w:rFonts w:hint="eastAsia" w:ascii="仿宋" w:hAnsi="仿宋" w:eastAsia="仿宋" w:cs="仿宋"/>
          <w:color w:val="auto"/>
          <w:kern w:val="2"/>
          <w:sz w:val="32"/>
          <w:szCs w:val="32"/>
          <w:lang w:val="en-US" w:eastAsia="zh-CN" w:bidi="ar-SA"/>
        </w:rPr>
        <w:t>自治区级行业主管部门要会同相关监管部门依照法律法规、“三定”规定和权责清单，逐项明确各级跨部门综合监管事项责任分工。对行业主管部门不明</w:t>
      </w:r>
      <w:r>
        <w:rPr>
          <w:rFonts w:hint="eastAsia" w:ascii="仿宋" w:hAnsi="仿宋" w:eastAsia="仿宋" w:cs="仿宋"/>
          <w:color w:val="auto"/>
          <w:spacing w:val="6"/>
          <w:kern w:val="2"/>
          <w:sz w:val="32"/>
          <w:szCs w:val="32"/>
          <w:lang w:val="en-US" w:eastAsia="zh-CN" w:bidi="ar-SA"/>
        </w:rPr>
        <w:t>确、监管边界模糊、监管责任存在争议的新产业新业态新模式，</w:t>
      </w:r>
      <w:r>
        <w:rPr>
          <w:rFonts w:hint="eastAsia" w:ascii="仿宋" w:hAnsi="仿宋" w:eastAsia="仿宋" w:cs="仿宋"/>
          <w:color w:val="auto"/>
          <w:kern w:val="2"/>
          <w:sz w:val="32"/>
          <w:szCs w:val="32"/>
          <w:lang w:val="en-US" w:eastAsia="zh-CN" w:bidi="ar-SA"/>
        </w:rPr>
        <w:t>与之相关的各部门都要主动履职、密切配合，防止出现监管空白；要按照领域归口、业务相近原则，依据新产业新业态新模式的主</w:t>
      </w:r>
      <w:r>
        <w:rPr>
          <w:rFonts w:hint="eastAsia" w:ascii="仿宋" w:hAnsi="仿宋" w:eastAsia="仿宋" w:cs="仿宋"/>
          <w:color w:val="auto"/>
          <w:spacing w:val="6"/>
          <w:kern w:val="2"/>
          <w:sz w:val="32"/>
          <w:szCs w:val="32"/>
          <w:lang w:val="en-US" w:eastAsia="zh-CN" w:bidi="ar-SA"/>
        </w:rPr>
        <w:t>要行为特征，会同有关方面及时对其研判定性、明确监管职责。</w:t>
      </w:r>
      <w:r>
        <w:rPr>
          <w:rFonts w:hint="eastAsia" w:ascii="仿宋" w:hAnsi="仿宋" w:eastAsia="仿宋" w:cs="仿宋"/>
          <w:color w:val="auto"/>
          <w:kern w:val="2"/>
          <w:sz w:val="32"/>
          <w:szCs w:val="32"/>
          <w:highlight w:val="none"/>
          <w:lang w:val="en-US" w:eastAsia="zh-CN" w:bidi="ar-SA"/>
        </w:rPr>
        <w:t>各地区要全面落实属地管理责任，对</w:t>
      </w:r>
      <w:r>
        <w:rPr>
          <w:rFonts w:hint="eastAsia" w:ascii="仿宋" w:hAnsi="仿宋" w:eastAsia="仿宋" w:cs="仿宋"/>
          <w:color w:val="auto"/>
          <w:kern w:val="2"/>
          <w:sz w:val="32"/>
          <w:szCs w:val="32"/>
          <w:lang w:val="en-US" w:eastAsia="zh-CN" w:bidi="ar-SA"/>
        </w:rPr>
        <w:t>本地区涉及多部门监管的事项，要结合地方机构设置和监管力量配置等情况确定监管部门和职责划分，确保事有人管、责有人负。</w:t>
      </w:r>
      <w:r>
        <w:rPr>
          <w:rFonts w:hint="eastAsia" w:ascii="楷体" w:hAnsi="楷体" w:eastAsia="楷体" w:cs="楷体"/>
          <w:color w:val="auto"/>
          <w:sz w:val="32"/>
          <w:szCs w:val="32"/>
          <w:lang w:val="en-US" w:eastAsia="zh-CN"/>
        </w:rPr>
        <w:t>（自治区行业主管部门按职责分工负责）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color w:val="auto"/>
          <w:kern w:val="2"/>
          <w:sz w:val="32"/>
          <w:szCs w:val="32"/>
          <w:lang w:val="en-US" w:eastAsia="zh-CN" w:bidi="ar-SA"/>
        </w:rPr>
      </w:pPr>
      <w:r>
        <w:rPr>
          <w:rFonts w:hint="eastAsia" w:ascii="仿宋" w:hAnsi="仿宋" w:eastAsia="仿宋" w:cs="仿宋"/>
          <w:b w:val="0"/>
          <w:bCs w:val="0"/>
          <w:color w:val="auto"/>
          <w:sz w:val="32"/>
          <w:szCs w:val="32"/>
          <w:lang w:val="en-US" w:eastAsia="zh-CN"/>
        </w:rPr>
        <w:t>3.完善跨部门综合监管制度规则。</w:t>
      </w:r>
      <w:r>
        <w:rPr>
          <w:rFonts w:hint="eastAsia" w:ascii="仿宋" w:hAnsi="仿宋" w:eastAsia="仿宋" w:cs="仿宋"/>
          <w:color w:val="auto"/>
          <w:kern w:val="2"/>
          <w:sz w:val="32"/>
          <w:szCs w:val="32"/>
          <w:lang w:val="en-US" w:eastAsia="zh-CN" w:bidi="ar-SA"/>
        </w:rPr>
        <w:t>自治区级行业主管部门要积极制定跨部门综合监管政策措施，探索推动出台相关地方性法规、政府规章，为跨部门综合监管提供制度依据。自治区各监管部门要积极清理、修订现有监管制度规则，进一步明确综合监管对象、内容、频次、方式、程序、分工等要求，实施集成化、清单化、要素化管理，确保标准一致、相互衔接、规则统一。</w:t>
      </w:r>
      <w:r>
        <w:rPr>
          <w:rFonts w:hint="eastAsia" w:ascii="楷体" w:hAnsi="楷体" w:eastAsia="楷体" w:cs="楷体"/>
          <w:color w:val="auto"/>
          <w:kern w:val="2"/>
          <w:sz w:val="32"/>
          <w:szCs w:val="32"/>
          <w:lang w:val="en-US" w:eastAsia="zh-CN" w:bidi="ar-SA"/>
        </w:rPr>
        <w:t>（自治区司法厅、行业主管部门按职责分工负责）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color w:val="auto"/>
          <w:kern w:val="2"/>
          <w:sz w:val="32"/>
          <w:szCs w:val="32"/>
          <w:lang w:val="en-US" w:eastAsia="zh-CN" w:bidi="ar-SA"/>
        </w:rPr>
      </w:pPr>
      <w:r>
        <w:rPr>
          <w:rFonts w:hint="eastAsia" w:ascii="仿宋" w:hAnsi="仿宋" w:eastAsia="仿宋" w:cs="仿宋"/>
          <w:b w:val="0"/>
          <w:bCs w:val="0"/>
          <w:color w:val="auto"/>
          <w:sz w:val="32"/>
          <w:szCs w:val="32"/>
          <w:lang w:val="en-US" w:eastAsia="zh-CN"/>
        </w:rPr>
        <w:t>4.优化跨部门综合监管联动机制。</w:t>
      </w:r>
      <w:r>
        <w:rPr>
          <w:rFonts w:hint="eastAsia" w:ascii="仿宋" w:hAnsi="仿宋" w:eastAsia="仿宋" w:cs="仿宋"/>
          <w:color w:val="auto"/>
          <w:kern w:val="2"/>
          <w:sz w:val="32"/>
          <w:szCs w:val="32"/>
          <w:lang w:val="en-US" w:eastAsia="zh-CN" w:bidi="ar-SA"/>
        </w:rPr>
        <w:t>强化部门联动，分事项建立健全协同高效的跨部门综合监管工作机制，明确议事会商、情况通报等工作要求，及时研究解决综合监管过程中遇到的难点堵点问题。已建立有关工作机制的，要进一步完善运行规则，加强业务统筹，强化跨部门综合监管职能作用。强化自治区级行业主管部门与地方政府的协同联动，发挥好上级部门在政策制定、业务指导、技术支撑、风险研判等方面的作用，统筹推进地方业务协同、资源配置、执法联动等高效运转。强化行政执法与刑事司法联动，实现线索移送、案件移交、双向咨询、情况通报、联合调查、信息共享互认等方面有序衔接。</w:t>
      </w:r>
      <w:r>
        <w:rPr>
          <w:rFonts w:hint="eastAsia" w:ascii="楷体" w:hAnsi="楷体" w:eastAsia="楷体" w:cs="楷体"/>
          <w:color w:val="auto"/>
          <w:kern w:val="2"/>
          <w:sz w:val="32"/>
          <w:szCs w:val="32"/>
          <w:lang w:val="en-US" w:eastAsia="zh-CN" w:bidi="ar-SA"/>
        </w:rPr>
        <w:t>（自治区行业主管部门按职责分工负责）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（二）完善跨部门综合监管协同方式。</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1.开展风险隐患跨部门联合监测。</w:t>
      </w:r>
      <w:r>
        <w:rPr>
          <w:rFonts w:hint="eastAsia" w:ascii="仿宋" w:hAnsi="仿宋" w:eastAsia="仿宋" w:cs="仿宋"/>
          <w:color w:val="auto"/>
          <w:kern w:val="2"/>
          <w:sz w:val="32"/>
          <w:szCs w:val="32"/>
          <w:lang w:val="en-US" w:eastAsia="zh-CN" w:bidi="ar-SA"/>
        </w:rPr>
        <w:t>依托“互联网+监管”等现有信息系统，聚焦问题多发和高风险领域，针对具体监管事项的风险特点，构建跨部门联合监测预警模型和联合预警机制，实现风险隐患动态监测、科学评估、精准预警和及时处置。加强风险研判和预测预警，通过对投诉举报、日常检查、行政处罚等各类监管数据有效归集，分析相关部门监管信息，适时发布预警报告，形成线索提交、处置、反馈闭环管理，提升综合监管的预见性、针对性和准确性。</w:t>
      </w:r>
      <w:r>
        <w:rPr>
          <w:rFonts w:hint="eastAsia" w:ascii="楷体" w:hAnsi="楷体" w:eastAsia="楷体" w:cs="楷体"/>
          <w:color w:val="auto"/>
          <w:kern w:val="2"/>
          <w:sz w:val="32"/>
          <w:szCs w:val="32"/>
          <w:lang w:val="en-US" w:eastAsia="zh-CN" w:bidi="ar-SA"/>
        </w:rPr>
        <w:t>（自治区行业主管部门按职责分工负责）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2.组织实施跨部门联合抽查检查。</w:t>
      </w:r>
      <w:r>
        <w:rPr>
          <w:rFonts w:hint="eastAsia" w:ascii="仿宋" w:hAnsi="仿宋" w:eastAsia="仿宋" w:cs="仿宋"/>
          <w:color w:val="auto"/>
          <w:kern w:val="2"/>
          <w:sz w:val="32"/>
          <w:szCs w:val="32"/>
          <w:lang w:val="en-US" w:eastAsia="zh-CN" w:bidi="ar-SA"/>
        </w:rPr>
        <w:t>两个以上部门对同一监管对象实施不同行政检查且可以同时开展的，原则上应按照“进一</w:t>
      </w:r>
      <w:r>
        <w:rPr>
          <w:rFonts w:hint="eastAsia" w:ascii="仿宋" w:hAnsi="仿宋" w:eastAsia="仿宋" w:cs="仿宋"/>
          <w:color w:val="auto"/>
          <w:spacing w:val="6"/>
          <w:kern w:val="2"/>
          <w:sz w:val="32"/>
          <w:szCs w:val="32"/>
          <w:lang w:val="en-US" w:eastAsia="zh-CN" w:bidi="ar-SA"/>
        </w:rPr>
        <w:t>次门、查多件事”的原则联合开展综合检查，实现“一次检查、</w:t>
      </w:r>
      <w:r>
        <w:rPr>
          <w:rFonts w:hint="eastAsia" w:ascii="仿宋" w:hAnsi="仿宋" w:eastAsia="仿宋" w:cs="仿宋"/>
          <w:color w:val="auto"/>
          <w:kern w:val="2"/>
          <w:sz w:val="32"/>
          <w:szCs w:val="32"/>
          <w:lang w:val="en-US" w:eastAsia="zh-CN" w:bidi="ar-SA"/>
        </w:rPr>
        <w:t>全面体检”，最大限度减轻对正常生产经营活动的干扰。进一步完善市场监管领域“双随机、一公开”监管工作机制，跨部门联合抽查检查一般应采取“双随机、一公开”监管方式，结合监管对象信用等级和风险分类，不断优化组织方式，合理确定抽查比例、频次和参与部门等。对涉及多个监管环节的同一监管对象要做到违法线索互联、监管标准互通、处理结果互认，避免多头重</w:t>
      </w:r>
      <w:r>
        <w:rPr>
          <w:rFonts w:hint="eastAsia" w:ascii="仿宋" w:hAnsi="仿宋" w:eastAsia="仿宋" w:cs="仿宋"/>
          <w:color w:val="auto"/>
          <w:spacing w:val="-6"/>
          <w:kern w:val="2"/>
          <w:sz w:val="32"/>
          <w:szCs w:val="32"/>
          <w:lang w:val="en-US" w:eastAsia="zh-CN" w:bidi="ar-SA"/>
        </w:rPr>
        <w:t>复检查，降低制度性成本。</w:t>
      </w:r>
      <w:r>
        <w:rPr>
          <w:rFonts w:hint="eastAsia" w:ascii="楷体" w:hAnsi="楷体" w:eastAsia="楷体" w:cs="楷体"/>
          <w:color w:val="auto"/>
          <w:spacing w:val="-6"/>
          <w:kern w:val="2"/>
          <w:sz w:val="32"/>
          <w:szCs w:val="32"/>
          <w:lang w:val="en-US" w:eastAsia="zh-CN" w:bidi="ar-SA"/>
        </w:rPr>
        <w:t>（自治区行业主管部门按职责分工负责）</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楷体" w:hAnsi="楷体" w:eastAsia="楷体" w:cs="楷体"/>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3.开展问题线索联合处置。</w:t>
      </w:r>
      <w:r>
        <w:rPr>
          <w:rFonts w:hint="eastAsia" w:ascii="仿宋" w:hAnsi="仿宋" w:eastAsia="仿宋" w:cs="仿宋"/>
          <w:color w:val="auto"/>
          <w:kern w:val="2"/>
          <w:sz w:val="32"/>
          <w:szCs w:val="32"/>
          <w:lang w:val="en-US" w:eastAsia="zh-CN" w:bidi="ar-SA"/>
        </w:rPr>
        <w:t>建立健全问题线索分办、转办和查处工作机制，各部门在工作中发现属于其他部门监管职责的违法违规行为，要及时将线索等推送给相关部门，相关部门要及时进行调查处理。对通过12345政务服务便民热线、投诉举报平台、行业协会、新闻媒体等渠道收集到的问题线索，行业主管部门要会同相关监管部门协同开展核查，依法依规进行处理，确保问题线索应查必查、有效处置，防止多头检查、重复处罚；发现涉及行业性、区域性违法违规行为或存在普遍性、多发性问题的，行业主管部门要会同相关监管部门协同开展联合行动，进行专项整治。</w:t>
      </w:r>
      <w:r>
        <w:rPr>
          <w:rFonts w:hint="eastAsia" w:ascii="楷体" w:hAnsi="楷体" w:eastAsia="楷体" w:cs="楷体"/>
          <w:color w:val="auto"/>
          <w:kern w:val="2"/>
          <w:sz w:val="32"/>
          <w:szCs w:val="32"/>
          <w:lang w:val="en-US" w:eastAsia="zh-CN" w:bidi="ar-SA"/>
        </w:rPr>
        <w:t>（自治区行业主管部门按职责分工负责）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0" w:afterAutospacing="0" w:line="580" w:lineRule="exact"/>
        <w:ind w:left="0" w:right="0" w:firstLine="640" w:firstLineChars="200"/>
        <w:jc w:val="both"/>
        <w:textAlignment w:val="auto"/>
        <w:rPr>
          <w:rFonts w:hint="eastAsia" w:ascii="楷体" w:hAnsi="楷体" w:eastAsia="楷体" w:cs="楷体"/>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4.开展跨部门联合信用监管。</w:t>
      </w:r>
      <w:r>
        <w:rPr>
          <w:rFonts w:hint="eastAsia" w:ascii="仿宋" w:hAnsi="仿宋" w:eastAsia="仿宋" w:cs="仿宋"/>
          <w:color w:val="auto"/>
          <w:kern w:val="2"/>
          <w:sz w:val="32"/>
          <w:szCs w:val="32"/>
          <w:lang w:val="en-US" w:eastAsia="zh-CN" w:bidi="ar-SA"/>
        </w:rPr>
        <w:t>行业主管部门会同相关监管部门建立行业信用分级分类监管制度，研究跨部门综合监管事项信用评价指标体系，明确分级分类标准及相应差异化监管措施。相关部门在注册登记、资质审核、日常监管、公共服务、执法办案过程中，要准确、全面记录市场主</w:t>
      </w:r>
      <w:r>
        <w:rPr>
          <w:rFonts w:hint="eastAsia" w:ascii="仿宋" w:hAnsi="仿宋" w:eastAsia="仿宋" w:cs="仿宋"/>
          <w:color w:val="auto"/>
          <w:kern w:val="2"/>
          <w:sz w:val="32"/>
          <w:szCs w:val="32"/>
          <w:highlight w:val="none"/>
          <w:lang w:val="en-US" w:eastAsia="zh-CN" w:bidi="ar-SA"/>
        </w:rPr>
        <w:t>体信用行为，按照《内蒙古自治区公共信用信息管理条例》规定，及时将相关信息推送至“内蒙古自治区社会信用信息平台”。充分发挥综合监管效能，在市场准入、资质认定、政府采购、银行信贷、招标投标、授予荣誉称号、</w:t>
      </w:r>
      <w:r>
        <w:rPr>
          <w:rFonts w:hint="eastAsia" w:ascii="仿宋" w:hAnsi="仿宋" w:eastAsia="仿宋" w:cs="仿宋"/>
          <w:color w:val="auto"/>
          <w:kern w:val="2"/>
          <w:sz w:val="32"/>
          <w:szCs w:val="32"/>
          <w:lang w:val="en-US" w:eastAsia="zh-CN" w:bidi="ar-SA"/>
        </w:rPr>
        <w:t>政府购买服务、享受财政补贴和税收优惠政策等方面建立</w:t>
      </w:r>
      <w:r>
        <w:rPr>
          <w:rFonts w:hint="eastAsia" w:ascii="仿宋" w:hAnsi="仿宋" w:eastAsia="仿宋" w:cs="仿宋"/>
          <w:color w:val="auto"/>
          <w:spacing w:val="6"/>
          <w:kern w:val="2"/>
          <w:sz w:val="32"/>
          <w:szCs w:val="32"/>
          <w:lang w:val="en-US" w:eastAsia="zh-CN" w:bidi="ar-SA"/>
        </w:rPr>
        <w:t>失信联合惩戒机制，对违法失信主体依法依规予以限制或禁止，</w:t>
      </w:r>
      <w:r>
        <w:rPr>
          <w:rFonts w:hint="eastAsia" w:ascii="仿宋" w:hAnsi="仿宋" w:eastAsia="仿宋" w:cs="仿宋"/>
          <w:color w:val="auto"/>
          <w:kern w:val="2"/>
          <w:sz w:val="32"/>
          <w:szCs w:val="32"/>
          <w:lang w:val="en-US" w:eastAsia="zh-CN" w:bidi="ar-SA"/>
        </w:rPr>
        <w:t>对严重违法失信主体依法依规实行市场禁入。</w:t>
      </w:r>
      <w:r>
        <w:rPr>
          <w:rFonts w:hint="eastAsia" w:ascii="楷体" w:hAnsi="楷体" w:eastAsia="楷体" w:cs="楷体"/>
          <w:color w:val="auto"/>
          <w:kern w:val="2"/>
          <w:sz w:val="32"/>
          <w:szCs w:val="32"/>
          <w:lang w:val="en-US" w:eastAsia="zh-CN" w:bidi="ar-SA"/>
        </w:rPr>
        <w:t>（自治区行业主管部门按职责分工负责）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0" w:afterAutospacing="0" w:line="580" w:lineRule="exact"/>
        <w:ind w:left="0" w:right="0" w:firstLine="616" w:firstLineChars="200"/>
        <w:jc w:val="both"/>
        <w:textAlignment w:val="auto"/>
        <w:rPr>
          <w:rFonts w:hint="eastAsia" w:ascii="楷体" w:hAnsi="楷体" w:eastAsia="楷体" w:cs="楷体"/>
          <w:color w:val="auto"/>
          <w:spacing w:val="-6"/>
          <w:kern w:val="2"/>
          <w:sz w:val="32"/>
          <w:szCs w:val="32"/>
          <w:lang w:val="en-US" w:eastAsia="zh-CN" w:bidi="ar-SA"/>
        </w:rPr>
      </w:pPr>
      <w:r>
        <w:rPr>
          <w:rFonts w:hint="eastAsia" w:ascii="楷体" w:hAnsi="楷体" w:eastAsia="楷体" w:cs="楷体"/>
          <w:color w:val="auto"/>
          <w:spacing w:val="-6"/>
          <w:kern w:val="2"/>
          <w:sz w:val="32"/>
          <w:szCs w:val="32"/>
          <w:lang w:val="en-US" w:eastAsia="zh-CN" w:bidi="ar-SA"/>
        </w:rPr>
        <w:t>（三）加强跨部门综合监管能力建设。</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616" w:firstLineChars="200"/>
        <w:jc w:val="both"/>
        <w:textAlignment w:val="auto"/>
        <w:rPr>
          <w:rFonts w:hint="eastAsia" w:ascii="楷体" w:hAnsi="楷体" w:eastAsia="楷体" w:cs="楷体"/>
          <w:color w:val="auto"/>
          <w:kern w:val="2"/>
          <w:sz w:val="32"/>
          <w:szCs w:val="32"/>
          <w:lang w:val="en-US" w:eastAsia="zh-CN" w:bidi="ar-SA"/>
        </w:rPr>
      </w:pPr>
      <w:r>
        <w:rPr>
          <w:rFonts w:hint="eastAsia" w:ascii="仿宋" w:hAnsi="仿宋" w:eastAsia="仿宋" w:cs="仿宋"/>
          <w:b w:val="0"/>
          <w:bCs w:val="0"/>
          <w:color w:val="auto"/>
          <w:spacing w:val="-6"/>
          <w:kern w:val="2"/>
          <w:sz w:val="32"/>
          <w:szCs w:val="32"/>
          <w:lang w:val="en-US" w:eastAsia="zh-CN" w:bidi="ar-SA"/>
        </w:rPr>
        <w:t>1.提升监管信息化建设水平。</w:t>
      </w:r>
      <w:r>
        <w:rPr>
          <w:rFonts w:hint="eastAsia" w:ascii="仿宋" w:hAnsi="仿宋" w:eastAsia="仿宋" w:cs="仿宋"/>
          <w:color w:val="auto"/>
          <w:spacing w:val="-6"/>
          <w:kern w:val="2"/>
          <w:sz w:val="32"/>
          <w:szCs w:val="32"/>
          <w:lang w:val="en-US" w:eastAsia="zh-CN" w:bidi="ar-SA"/>
        </w:rPr>
        <w:t>依托自治区“互联网+监管”</w:t>
      </w:r>
      <w:r>
        <w:rPr>
          <w:rFonts w:hint="eastAsia" w:ascii="仿宋" w:hAnsi="仿宋" w:eastAsia="仿宋" w:cs="仿宋"/>
          <w:color w:val="auto"/>
          <w:kern w:val="2"/>
          <w:sz w:val="32"/>
          <w:szCs w:val="32"/>
          <w:lang w:val="en-US" w:eastAsia="zh-CN" w:bidi="ar-SA"/>
        </w:rPr>
        <w:t>系统，完善监管事项清单管理、信息共享、监测预警、分析评估、证据互认、联合检查等相关功能，实现行政检查、行政处罚、行政强</w:t>
      </w:r>
      <w:r>
        <w:rPr>
          <w:rFonts w:hint="eastAsia" w:ascii="仿宋" w:hAnsi="仿宋" w:eastAsia="仿宋" w:cs="仿宋"/>
          <w:color w:val="auto"/>
          <w:spacing w:val="6"/>
          <w:kern w:val="2"/>
          <w:sz w:val="32"/>
          <w:szCs w:val="32"/>
          <w:lang w:val="en-US" w:eastAsia="zh-CN" w:bidi="ar-SA"/>
        </w:rPr>
        <w:t>制等全流程线上办理以及监管全程可追溯、数据全过程可查询，</w:t>
      </w:r>
      <w:r>
        <w:rPr>
          <w:rFonts w:hint="eastAsia" w:ascii="仿宋" w:hAnsi="仿宋" w:eastAsia="仿宋" w:cs="仿宋"/>
          <w:color w:val="auto"/>
          <w:kern w:val="2"/>
          <w:sz w:val="32"/>
          <w:szCs w:val="32"/>
          <w:lang w:val="en-US" w:eastAsia="zh-CN" w:bidi="ar-SA"/>
        </w:rPr>
        <w:t>支撑跨部门、跨区域、跨层级综合监管。综合运用数据分析、图像识别、行为分析、风险评估等进行信息审核与研判，快速有效协同处置问题，提升跨部门综合监管智能化水平。</w:t>
      </w:r>
      <w:r>
        <w:rPr>
          <w:rFonts w:hint="eastAsia" w:ascii="楷体" w:hAnsi="楷体" w:eastAsia="楷体" w:cs="楷体"/>
          <w:color w:val="auto"/>
          <w:kern w:val="2"/>
          <w:sz w:val="32"/>
          <w:szCs w:val="32"/>
          <w:lang w:val="en-US" w:eastAsia="zh-CN" w:bidi="ar-SA"/>
        </w:rPr>
        <w:t>（自治区大数据中心、政务服务局、行业主管部门按职责分工负责）</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楷体" w:hAnsi="楷体" w:eastAsia="楷体" w:cs="楷体"/>
          <w:color w:val="auto"/>
          <w:spacing w:val="-6"/>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2.大力推进监管信息互通共享。</w:t>
      </w:r>
      <w:r>
        <w:rPr>
          <w:rFonts w:hint="eastAsia" w:ascii="仿宋" w:hAnsi="仿宋" w:eastAsia="仿宋" w:cs="仿宋"/>
          <w:color w:val="auto"/>
          <w:kern w:val="2"/>
          <w:sz w:val="32"/>
          <w:szCs w:val="32"/>
          <w:lang w:val="en-US" w:eastAsia="zh-CN" w:bidi="ar-SA"/>
        </w:rPr>
        <w:t>按照国家和自治区统一标准，加快相关监管系统与</w:t>
      </w:r>
      <w:r>
        <w:rPr>
          <w:rFonts w:hint="eastAsia" w:ascii="仿宋" w:hAnsi="仿宋" w:eastAsia="仿宋" w:cs="仿宋"/>
          <w:color w:val="auto"/>
          <w:kern w:val="2"/>
          <w:sz w:val="32"/>
          <w:szCs w:val="32"/>
          <w:highlight w:val="none"/>
          <w:lang w:val="en-US" w:eastAsia="zh-CN" w:bidi="ar-SA"/>
        </w:rPr>
        <w:t>行政执法综合管理监督信息系统等的互联互通，依托自治区政务大数据平台和全区一体化政务大数据体系，及时汇聚监管业务数据，安全有序按需调用各类基础数据和主体数据，实</w:t>
      </w:r>
      <w:r>
        <w:rPr>
          <w:rFonts w:hint="eastAsia" w:ascii="仿宋" w:hAnsi="仿宋" w:eastAsia="仿宋" w:cs="仿宋"/>
          <w:color w:val="auto"/>
          <w:kern w:val="2"/>
          <w:sz w:val="32"/>
          <w:szCs w:val="32"/>
          <w:lang w:val="en-US" w:eastAsia="zh-CN" w:bidi="ar-SA"/>
        </w:rPr>
        <w:t>现各层级业务融合、数据融合、技术融合。按照跨部门综合监管业务场景需要，共享有关审批和监管数据，明确信息共享的范围、方式、程序、时限、频次和保密要求等数据回流和交换规则，确保数据归集规范有序、使用安全高效。</w:t>
      </w:r>
      <w:r>
        <w:rPr>
          <w:rFonts w:hint="eastAsia" w:ascii="楷体" w:hAnsi="楷体" w:eastAsia="楷体" w:cs="楷体"/>
          <w:color w:val="auto"/>
          <w:spacing w:val="-6"/>
          <w:kern w:val="2"/>
          <w:sz w:val="32"/>
          <w:szCs w:val="32"/>
          <w:lang w:val="en-US" w:eastAsia="zh-CN" w:bidi="ar-SA"/>
        </w:rPr>
        <w:t>（自治区大数据中心、行业主管部门按职责分工负责）</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楷体" w:hAnsi="楷体" w:eastAsia="楷体" w:cs="楷体"/>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3.有序推进非现场监管。</w:t>
      </w:r>
      <w:r>
        <w:rPr>
          <w:rFonts w:hint="eastAsia" w:ascii="仿宋" w:hAnsi="仿宋" w:eastAsia="仿宋" w:cs="仿宋"/>
          <w:color w:val="auto"/>
          <w:kern w:val="2"/>
          <w:sz w:val="32"/>
          <w:szCs w:val="32"/>
          <w:lang w:val="en-US" w:eastAsia="zh-CN" w:bidi="ar-SA"/>
        </w:rPr>
        <w:t>推动非现场精准、科学、依法综合监管，充分运用在线监控、视频监控、走航车巡查、无人机巡查</w:t>
      </w:r>
      <w:r>
        <w:rPr>
          <w:rFonts w:hint="eastAsia" w:ascii="仿宋" w:hAnsi="仿宋" w:eastAsia="仿宋" w:cs="仿宋"/>
          <w:color w:val="auto"/>
          <w:spacing w:val="6"/>
          <w:kern w:val="2"/>
          <w:sz w:val="32"/>
          <w:szCs w:val="32"/>
          <w:lang w:val="en-US" w:eastAsia="zh-CN" w:bidi="ar-SA"/>
        </w:rPr>
        <w:t>等科技手段，规范非现场监管方式、程序、流程等各环节工作，</w:t>
      </w:r>
      <w:r>
        <w:rPr>
          <w:rFonts w:hint="eastAsia" w:ascii="仿宋" w:hAnsi="仿宋" w:eastAsia="仿宋" w:cs="仿宋"/>
          <w:color w:val="auto"/>
          <w:kern w:val="2"/>
          <w:sz w:val="32"/>
          <w:szCs w:val="32"/>
          <w:lang w:val="en-US" w:eastAsia="zh-CN" w:bidi="ar-SA"/>
        </w:rPr>
        <w:t>加强监管信息智能分析。对通过非现场检查方式能够实现监管目的和效果的跨部门综合监管事项，原则上不再开展现场检查。充分运用自动巡检、智能预警、态势感知等手段，主动发现和识别违法违规线索，通过非现场监管判定违法违规的，应及时移送相关监管部门联合处置并作出相应处理决定；存在实体或程序违法风险的，应结合现场执法履行监管职责。</w:t>
      </w:r>
      <w:r>
        <w:rPr>
          <w:rFonts w:hint="eastAsia" w:ascii="楷体" w:hAnsi="楷体" w:eastAsia="楷体" w:cs="楷体"/>
          <w:color w:val="auto"/>
          <w:kern w:val="2"/>
          <w:sz w:val="32"/>
          <w:szCs w:val="32"/>
          <w:lang w:val="en-US" w:eastAsia="zh-CN" w:bidi="ar-SA"/>
        </w:rPr>
        <w:t>（自治区行业主管部门按职责分工负责）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三、保障措施</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596" w:firstLineChars="200"/>
        <w:jc w:val="both"/>
        <w:textAlignment w:val="auto"/>
        <w:rPr>
          <w:rFonts w:hint="eastAsia" w:ascii="仿宋" w:hAnsi="仿宋" w:eastAsia="仿宋" w:cs="仿宋"/>
          <w:color w:val="auto"/>
          <w:kern w:val="2"/>
          <w:sz w:val="32"/>
          <w:szCs w:val="32"/>
          <w:lang w:val="en-US" w:eastAsia="zh-CN" w:bidi="ar-SA"/>
        </w:rPr>
      </w:pPr>
      <w:r>
        <w:rPr>
          <w:rFonts w:hint="eastAsia" w:ascii="楷体" w:hAnsi="楷体" w:eastAsia="楷体" w:cs="楷体"/>
          <w:color w:val="auto"/>
          <w:spacing w:val="-11"/>
          <w:kern w:val="2"/>
          <w:sz w:val="32"/>
          <w:szCs w:val="32"/>
          <w:lang w:val="en-US" w:eastAsia="zh-CN" w:bidi="ar-SA"/>
        </w:rPr>
        <w:t>（一）加强组织实施。</w:t>
      </w:r>
      <w:r>
        <w:rPr>
          <w:rFonts w:hint="eastAsia" w:ascii="仿宋" w:hAnsi="仿宋" w:eastAsia="仿宋" w:cs="仿宋"/>
          <w:color w:val="auto"/>
          <w:spacing w:val="-11"/>
          <w:kern w:val="2"/>
          <w:sz w:val="32"/>
          <w:szCs w:val="32"/>
          <w:lang w:val="en-US" w:eastAsia="zh-CN" w:bidi="ar-SA"/>
        </w:rPr>
        <w:t>各地区各部门要切实提高政治站位，把坚</w:t>
      </w:r>
      <w:r>
        <w:rPr>
          <w:rFonts w:hint="eastAsia" w:ascii="仿宋" w:hAnsi="仿宋" w:eastAsia="仿宋" w:cs="仿宋"/>
          <w:color w:val="auto"/>
          <w:kern w:val="2"/>
          <w:sz w:val="32"/>
          <w:szCs w:val="32"/>
          <w:lang w:val="en-US" w:eastAsia="zh-CN" w:bidi="ar-SA"/>
        </w:rPr>
        <w:t>持和加强党的领导贯穿到跨部门综合监管全过程各方面。要加强统</w:t>
      </w:r>
      <w:r>
        <w:rPr>
          <w:rFonts w:hint="eastAsia" w:ascii="仿宋" w:hAnsi="仿宋" w:eastAsia="仿宋" w:cs="仿宋"/>
          <w:color w:val="auto"/>
          <w:kern w:val="2"/>
          <w:sz w:val="32"/>
          <w:szCs w:val="32"/>
          <w:highlight w:val="none"/>
          <w:lang w:val="en-US" w:eastAsia="zh-CN" w:bidi="ar-SA"/>
        </w:rPr>
        <w:t>筹协调，明确工作重点，细化目标任务，确保各项任务落实到位、责任落实到人。要聚焦跨部门综合监管中的难点、堵点、痛点，</w:t>
      </w:r>
      <w:r>
        <w:rPr>
          <w:rFonts w:hint="eastAsia" w:ascii="仿宋" w:hAnsi="仿宋" w:eastAsia="仿宋" w:cs="仿宋"/>
          <w:color w:val="auto"/>
          <w:kern w:val="2"/>
          <w:sz w:val="32"/>
          <w:szCs w:val="32"/>
          <w:lang w:val="en-US" w:eastAsia="zh-CN" w:bidi="ar-SA"/>
        </w:rPr>
        <w:t>抓紧制定推进跨部门综合监管配套措施，着力形成高效协同运行机制。</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（二）开展试点示范。</w:t>
      </w:r>
      <w:r>
        <w:rPr>
          <w:rFonts w:hint="eastAsia" w:ascii="仿宋" w:hAnsi="仿宋" w:eastAsia="仿宋" w:cs="仿宋"/>
          <w:color w:val="auto"/>
          <w:kern w:val="2"/>
          <w:sz w:val="32"/>
          <w:szCs w:val="32"/>
          <w:lang w:val="en-US" w:eastAsia="zh-CN" w:bidi="ar-SA"/>
        </w:rPr>
        <w:t>坚持面上推进与试点先行相结合，总结经验做法并复制推广。支持呼和浩特市、通辽市、锡林郭勒盟结合实际，选取部分旗县（市、区）开展先行先试，建立完善综合监管体制机制，创新方式方法，规范业务流程，实现数据共享共用、系统互联互通、业务系统联动。</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（三）强化培宣引导。</w:t>
      </w:r>
      <w:r>
        <w:rPr>
          <w:rFonts w:hint="eastAsia" w:ascii="仿宋" w:hAnsi="仿宋" w:eastAsia="仿宋" w:cs="仿宋"/>
          <w:color w:val="auto"/>
          <w:kern w:val="2"/>
          <w:sz w:val="32"/>
          <w:szCs w:val="32"/>
          <w:lang w:val="en-US" w:eastAsia="zh-CN" w:bidi="ar-SA"/>
        </w:rPr>
        <w:t>各地区各部门要根据跨部门综合监管需要，有针对性地开展业务培训，全面提升监管工作队伍综合素养。充分运用报刊、广播、电视、网络新媒体、移动终端等渠道载体，向市场主体精准推送跨部门综合监管各类政策信息、典型经验、先进做法、突出成效等，提升社会知晓度。</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（四）强化督促指导。</w:t>
      </w:r>
      <w:r>
        <w:rPr>
          <w:rFonts w:hint="eastAsia" w:ascii="仿宋" w:hAnsi="仿宋" w:eastAsia="仿宋" w:cs="仿宋"/>
          <w:color w:val="auto"/>
          <w:kern w:val="2"/>
          <w:sz w:val="32"/>
          <w:szCs w:val="32"/>
          <w:lang w:val="en-US" w:eastAsia="zh-CN" w:bidi="ar-SA"/>
        </w:rPr>
        <w:t>自治区行业主管部门要做好跨部门综合监管的实施、指导、督导等工作，深入试点地区开展跨部门综合监管“一件事”专题调研，分析解决问题，制定工作方案，指导试点地区规范、精准监管。将跨部门综合监管工作落实情况纳入各行业年度绩效考核，对工作成效较好的地区给予加分。</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color w:val="auto"/>
          <w:kern w:val="2"/>
          <w:sz w:val="32"/>
          <w:szCs w:val="32"/>
          <w:lang w:val="en-US" w:eastAsia="zh-CN" w:bidi="ar-SA"/>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附件：内蒙古自治区跨部门综合监管事项清单（2023年版）</w:t>
      </w:r>
    </w:p>
    <w:bookmarkEnd w:id="2"/>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eastAsia="宋体"/>
          <w:lang w:eastAsia="zh-CN"/>
        </w:rPr>
      </w:pPr>
    </w:p>
    <w:p>
      <w:pPr>
        <w:rPr>
          <w:rFonts w:hint="eastAsia"/>
        </w:rPr>
        <w:sectPr>
          <w:headerReference r:id="rId3" w:type="default"/>
          <w:footerReference r:id="rId5" w:type="default"/>
          <w:headerReference r:id="rId4" w:type="even"/>
          <w:footerReference r:id="rId6"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rtlGutter w:val="0"/>
          <w:docGrid w:type="lines" w:linePitch="312" w:charSpace="0"/>
        </w:sect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12"/>
        <w:tblW w:w="8944" w:type="dxa"/>
        <w:jc w:val="center"/>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944"/>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894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0" w:leftChars="0" w:right="210" w:rightChars="100" w:firstLine="1038" w:firstLineChars="371"/>
              <w:textAlignment w:val="auto"/>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p>
          <w:p>
            <w:pPr>
              <w:keepNext w:val="0"/>
              <w:keepLines w:val="0"/>
              <w:pageBreakBefore w:val="0"/>
              <w:widowControl w:val="0"/>
              <w:kinsoku/>
              <w:wordWrap/>
              <w:overflowPunct/>
              <w:topLinePunct w:val="0"/>
              <w:autoSpaceDE/>
              <w:autoSpaceDN/>
              <w:bidi w:val="0"/>
              <w:adjustRightInd/>
              <w:snapToGrid/>
              <w:spacing w:line="400" w:lineRule="exact"/>
              <w:ind w:left="0" w:leftChars="0" w:right="210" w:rightChars="100" w:firstLine="1019" w:firstLineChars="364"/>
              <w:textAlignment w:val="auto"/>
              <w:rPr>
                <w:rFonts w:ascii="仿宋_GB2312" w:eastAsia="仿宋_GB2312"/>
                <w:sz w:val="28"/>
              </w:rPr>
            </w:pP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09" w:firstLineChars="289"/>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8944" w:type="dxa"/>
            <w:tcBorders>
              <w:tl2br w:val="nil"/>
              <w:tr2bl w:val="nil"/>
            </w:tcBorders>
            <w:noWrap w:val="0"/>
            <w:vAlign w:val="top"/>
          </w:tcPr>
          <w:p>
            <w:pPr>
              <w:ind w:firstLine="280" w:firstLineChars="100"/>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 xml:space="preserve">  202</w:t>
            </w:r>
            <w:r>
              <w:rPr>
                <w:rFonts w:hint="eastAsia" w:ascii="仿宋_GB2312" w:eastAsia="仿宋_GB2312"/>
                <w:sz w:val="28"/>
                <w:lang w:val="en-US" w:eastAsia="zh-CN"/>
              </w:rPr>
              <w:t>3</w:t>
            </w:r>
            <w:r>
              <w:rPr>
                <w:rFonts w:hint="eastAsia" w:ascii="仿宋_GB2312" w:eastAsia="仿宋_GB2312"/>
                <w:sz w:val="28"/>
              </w:rPr>
              <w:t>年</w:t>
            </w:r>
            <w:r>
              <w:rPr>
                <w:rFonts w:hint="eastAsia" w:ascii="仿宋_GB2312" w:eastAsia="仿宋_GB2312"/>
                <w:sz w:val="28"/>
                <w:lang w:val="en-US" w:eastAsia="zh-CN"/>
              </w:rPr>
              <w:t>10</w:t>
            </w:r>
            <w:r>
              <w:rPr>
                <w:rFonts w:hint="eastAsia" w:ascii="仿宋_GB2312" w:eastAsia="仿宋_GB2312"/>
                <w:sz w:val="28"/>
              </w:rPr>
              <w:t>月</w:t>
            </w:r>
            <w:r>
              <w:rPr>
                <w:rFonts w:hint="eastAsia" w:ascii="仿宋_GB2312" w:eastAsia="仿宋_GB2312"/>
                <w:sz w:val="28"/>
                <w:lang w:val="en-US" w:eastAsia="zh-CN"/>
              </w:rPr>
              <w:t>20</w:t>
            </w:r>
            <w:r>
              <w:rPr>
                <w:rFonts w:hint="eastAsia" w:ascii="仿宋_GB2312" w:eastAsia="仿宋_GB2312"/>
                <w:sz w:val="28"/>
              </w:rPr>
              <w:t>日印发</w:t>
            </w:r>
          </w:p>
        </w:tc>
      </w:tr>
    </w:tbl>
    <w:p>
      <w:pPr>
        <w:keepNext w:val="0"/>
        <w:keepLines w:val="0"/>
        <w:pageBreakBefore w:val="0"/>
        <w:widowControl w:val="0"/>
        <w:kinsoku/>
        <w:wordWrap/>
        <w:overflowPunct/>
        <w:topLinePunct w:val="0"/>
        <w:autoSpaceDE/>
        <w:autoSpaceDN/>
        <w:bidi w:val="0"/>
        <w:adjustRightInd w:val="0"/>
        <w:snapToGrid w:val="0"/>
        <w:spacing w:line="20" w:lineRule="exact"/>
        <w:textAlignment w:val="auto"/>
        <w:rPr>
          <w:rFonts w:hint="eastAsia"/>
        </w:rPr>
      </w:pPr>
      <w:r>
        <w:rPr>
          <w:rFonts w:hint="eastAsia" w:ascii="黑体" w:eastAsia="黑体"/>
          <w:sz w:val="32"/>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6"/>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1" w:name="二维条码"/>
                            <w:bookmarkEnd w:id="1"/>
                            <w:r>
                              <w:rPr>
                                <w:rFonts w:hint="eastAsia" w:eastAsia="宋体"/>
                                <w:sz w:val="52"/>
                                <w:szCs w:val="52"/>
                                <w:lang w:eastAsia="zh-CN"/>
                              </w:rPr>
                              <w:drawing>
                                <wp:inline distT="0" distB="0" distL="114300" distR="114300">
                                  <wp:extent cx="1758315" cy="430530"/>
                                  <wp:effectExtent l="0" t="0" r="13335" b="7620"/>
                                  <wp:docPr id="2" name="图片 3" descr="20231020084255_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231020084255_7056"/>
                                          <pic:cNvPicPr>
                                            <a:picLocks noChangeAspect="1"/>
                                          </pic:cNvPicPr>
                                        </pic:nvPicPr>
                                        <pic:blipFill>
                                          <a:blip r:embed="rId10"/>
                                          <a:stretch>
                                            <a:fillRect/>
                                          </a:stretch>
                                        </pic:blipFill>
                                        <pic:spPr>
                                          <a:xfrm>
                                            <a:off x="0" y="0"/>
                                            <a:ext cx="1758315" cy="430530"/>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6"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hyOWj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1" w:name="二维条码"/>
                      <w:bookmarkEnd w:id="1"/>
                      <w:r>
                        <w:rPr>
                          <w:rFonts w:hint="eastAsia" w:eastAsia="宋体"/>
                          <w:sz w:val="52"/>
                          <w:szCs w:val="52"/>
                          <w:lang w:eastAsia="zh-CN"/>
                        </w:rPr>
                        <w:drawing>
                          <wp:inline distT="0" distB="0" distL="114300" distR="114300">
                            <wp:extent cx="1758315" cy="430530"/>
                            <wp:effectExtent l="0" t="0" r="13335" b="7620"/>
                            <wp:docPr id="2" name="图片 3" descr="20231020084255_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231020084255_7056"/>
                                    <pic:cNvPicPr>
                                      <a:picLocks noChangeAspect="1"/>
                                    </pic:cNvPicPr>
                                  </pic:nvPicPr>
                                  <pic:blipFill>
                                    <a:blip r:embed="rId10"/>
                                    <a:stretch>
                                      <a:fillRect/>
                                    </a:stretch>
                                  </pic:blipFill>
                                  <pic:spPr>
                                    <a:xfrm>
                                      <a:off x="0" y="0"/>
                                      <a:ext cx="1758315" cy="430530"/>
                                    </a:xfrm>
                                    <a:prstGeom prst="rect">
                                      <a:avLst/>
                                    </a:prstGeom>
                                    <a:noFill/>
                                    <a:ln>
                                      <a:noFill/>
                                    </a:ln>
                                  </pic:spPr>
                                </pic:pic>
                              </a:graphicData>
                            </a:graphic>
                          </wp:inline>
                        </w:drawing>
                      </w:r>
                    </w:p>
                  </w:txbxContent>
                </v:textbox>
              </v:shape>
            </w:pict>
          </mc:Fallback>
        </mc:AlternateContent>
      </w:r>
    </w:p>
    <w:sectPr>
      <w:footerReference r:id="rId7" w:type="default"/>
      <w:footerReference r:id="rId8"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9452" w:y="-23"/>
      <w:rPr>
        <w:rStyle w:val="16"/>
        <w:rFonts w:hint="eastAsia" w:ascii="宋体" w:hAnsi="宋体"/>
        <w:sz w:val="28"/>
        <w:szCs w:val="28"/>
      </w:rPr>
    </w:pPr>
    <w:r>
      <w:rPr>
        <w:rFonts w:hint="eastAsia" w:ascii="宋体" w:hAnsi="宋体"/>
        <w:sz w:val="28"/>
        <w:szCs w:val="28"/>
      </w:rPr>
      <w:fldChar w:fldCharType="begin"/>
    </w:r>
    <w:r>
      <w:rPr>
        <w:rStyle w:val="16"/>
        <w:rFonts w:hint="eastAsia" w:ascii="宋体" w:hAnsi="宋体"/>
        <w:sz w:val="28"/>
        <w:szCs w:val="28"/>
      </w:rPr>
      <w:instrText xml:space="preserve">PAGE  </w:instrText>
    </w:r>
    <w:r>
      <w:rPr>
        <w:rFonts w:hint="eastAsia" w:ascii="宋体" w:hAnsi="宋体"/>
        <w:sz w:val="28"/>
        <w:szCs w:val="28"/>
      </w:rPr>
      <w:fldChar w:fldCharType="separate"/>
    </w:r>
    <w:r>
      <w:rPr>
        <w:rStyle w:val="16"/>
        <w:rFonts w:ascii="宋体" w:hAnsi="宋体"/>
        <w:sz w:val="28"/>
        <w:szCs w:val="28"/>
        <w:lang/>
      </w:rPr>
      <w:t>- 1 -</w:t>
    </w:r>
    <w:r>
      <w:rPr>
        <w:rFonts w:hint="eastAsia" w:ascii="宋体" w:hAnsi="宋体"/>
        <w:sz w:val="28"/>
        <w:szCs w:val="28"/>
      </w:rP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1892" w:y="-23"/>
      <w:rPr>
        <w:rStyle w:val="16"/>
        <w:rFonts w:ascii="宋体" w:hAnsi="宋体"/>
        <w:sz w:val="28"/>
        <w:szCs w:val="28"/>
      </w:rPr>
    </w:pP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ascii="宋体" w:hAnsi="宋体"/>
        <w:sz w:val="28"/>
        <w:szCs w:val="28"/>
        <w:lang/>
      </w:rPr>
      <w:t>- 2 -</w:t>
    </w:r>
    <w:r>
      <w:rPr>
        <w:rFonts w:ascii="宋体" w:hAnsi="宋体"/>
        <w:sz w:val="28"/>
        <w:szCs w:val="28"/>
      </w:rP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chineseCountingThousand"/>
      <w:pStyle w:val="2"/>
      <w:lvlText w:val="%1、"/>
      <w:lvlJc w:val="left"/>
      <w:pPr>
        <w:ind w:left="0" w:firstLine="0"/>
      </w:pPr>
      <w:rPr>
        <w:rFonts w:hint="eastAsia" w:eastAsia="黑体"/>
        <w:b/>
        <w:i w:val="0"/>
        <w:sz w:val="32"/>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34F1515C"/>
    <w:multiLevelType w:val="multilevel"/>
    <w:tmpl w:val="34F1515C"/>
    <w:lvl w:ilvl="0" w:tentative="0">
      <w:start w:val="1"/>
      <w:numFmt w:val="chineseCountingThousand"/>
      <w:lvlText w:val="%1、"/>
      <w:lvlJc w:val="left"/>
      <w:pPr>
        <w:ind w:left="425" w:hanging="425"/>
      </w:pPr>
      <w:rPr>
        <w:rFonts w:hint="eastAsia" w:eastAsia="黑体"/>
        <w:b/>
        <w:i w:val="0"/>
        <w:sz w:val="32"/>
      </w:rPr>
    </w:lvl>
    <w:lvl w:ilvl="1" w:tentative="0">
      <w:start w:val="1"/>
      <w:numFmt w:val="chineseCountingThousand"/>
      <w:pStyle w:val="3"/>
      <w:lvlText w:val="（%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EA3"/>
    <w:rsid w:val="0000053B"/>
    <w:rsid w:val="00000BC8"/>
    <w:rsid w:val="00000D35"/>
    <w:rsid w:val="00000E8A"/>
    <w:rsid w:val="00001A5E"/>
    <w:rsid w:val="0000319F"/>
    <w:rsid w:val="0001025F"/>
    <w:rsid w:val="00010597"/>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1DF"/>
    <w:rsid w:val="00036CC9"/>
    <w:rsid w:val="00037A1D"/>
    <w:rsid w:val="0004119F"/>
    <w:rsid w:val="00041495"/>
    <w:rsid w:val="00043109"/>
    <w:rsid w:val="00043BA4"/>
    <w:rsid w:val="00045126"/>
    <w:rsid w:val="00047737"/>
    <w:rsid w:val="00047EED"/>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0E64"/>
    <w:rsid w:val="00082970"/>
    <w:rsid w:val="0008397E"/>
    <w:rsid w:val="00090E87"/>
    <w:rsid w:val="00090EB2"/>
    <w:rsid w:val="00097E64"/>
    <w:rsid w:val="000A1E68"/>
    <w:rsid w:val="000A2307"/>
    <w:rsid w:val="000A26F8"/>
    <w:rsid w:val="000A3DA4"/>
    <w:rsid w:val="000A51DB"/>
    <w:rsid w:val="000A7F88"/>
    <w:rsid w:val="000B0241"/>
    <w:rsid w:val="000B09C2"/>
    <w:rsid w:val="000B182B"/>
    <w:rsid w:val="000B2C2B"/>
    <w:rsid w:val="000B318D"/>
    <w:rsid w:val="000B483E"/>
    <w:rsid w:val="000B75CD"/>
    <w:rsid w:val="000B76CD"/>
    <w:rsid w:val="000D1918"/>
    <w:rsid w:val="000D2276"/>
    <w:rsid w:val="000D46E6"/>
    <w:rsid w:val="000D4B7C"/>
    <w:rsid w:val="000E189F"/>
    <w:rsid w:val="000E242A"/>
    <w:rsid w:val="000E2545"/>
    <w:rsid w:val="000E2DE0"/>
    <w:rsid w:val="000E4A4D"/>
    <w:rsid w:val="000E5531"/>
    <w:rsid w:val="000E6801"/>
    <w:rsid w:val="000E6931"/>
    <w:rsid w:val="000F0166"/>
    <w:rsid w:val="000F106D"/>
    <w:rsid w:val="000F1D11"/>
    <w:rsid w:val="000F3390"/>
    <w:rsid w:val="000F3786"/>
    <w:rsid w:val="000F3C60"/>
    <w:rsid w:val="000F78E9"/>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61D6"/>
    <w:rsid w:val="00177B68"/>
    <w:rsid w:val="00180CF8"/>
    <w:rsid w:val="00182DBF"/>
    <w:rsid w:val="00183AA6"/>
    <w:rsid w:val="001844AF"/>
    <w:rsid w:val="00184638"/>
    <w:rsid w:val="001865B0"/>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D6FD2"/>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2DB9"/>
    <w:rsid w:val="002037DD"/>
    <w:rsid w:val="00203FE2"/>
    <w:rsid w:val="00205C6F"/>
    <w:rsid w:val="002112BA"/>
    <w:rsid w:val="00211B40"/>
    <w:rsid w:val="0021430F"/>
    <w:rsid w:val="0022010B"/>
    <w:rsid w:val="00222634"/>
    <w:rsid w:val="00222BE8"/>
    <w:rsid w:val="00225BC5"/>
    <w:rsid w:val="00226765"/>
    <w:rsid w:val="00226AD0"/>
    <w:rsid w:val="002301CC"/>
    <w:rsid w:val="00230DF7"/>
    <w:rsid w:val="002320C3"/>
    <w:rsid w:val="00233CA4"/>
    <w:rsid w:val="00237D8D"/>
    <w:rsid w:val="002405C0"/>
    <w:rsid w:val="00243573"/>
    <w:rsid w:val="002438BD"/>
    <w:rsid w:val="00244F58"/>
    <w:rsid w:val="002502FA"/>
    <w:rsid w:val="002508F6"/>
    <w:rsid w:val="0025335F"/>
    <w:rsid w:val="00253497"/>
    <w:rsid w:val="00253505"/>
    <w:rsid w:val="002537D8"/>
    <w:rsid w:val="00253D8D"/>
    <w:rsid w:val="00254C91"/>
    <w:rsid w:val="0026009A"/>
    <w:rsid w:val="00260B18"/>
    <w:rsid w:val="00261C1B"/>
    <w:rsid w:val="00263BB4"/>
    <w:rsid w:val="00264B5A"/>
    <w:rsid w:val="00265F33"/>
    <w:rsid w:val="002701FE"/>
    <w:rsid w:val="00271599"/>
    <w:rsid w:val="00271DCC"/>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6BD"/>
    <w:rsid w:val="00352A64"/>
    <w:rsid w:val="0035334E"/>
    <w:rsid w:val="003557E4"/>
    <w:rsid w:val="00361A29"/>
    <w:rsid w:val="0036715B"/>
    <w:rsid w:val="00367E4A"/>
    <w:rsid w:val="00371465"/>
    <w:rsid w:val="0037414E"/>
    <w:rsid w:val="0037427E"/>
    <w:rsid w:val="00374AB1"/>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87EA3"/>
    <w:rsid w:val="004909BB"/>
    <w:rsid w:val="0049197F"/>
    <w:rsid w:val="00493DD9"/>
    <w:rsid w:val="00496CF3"/>
    <w:rsid w:val="00496D57"/>
    <w:rsid w:val="004A135E"/>
    <w:rsid w:val="004A373F"/>
    <w:rsid w:val="004A464E"/>
    <w:rsid w:val="004A4859"/>
    <w:rsid w:val="004B0832"/>
    <w:rsid w:val="004B1D23"/>
    <w:rsid w:val="004B30C0"/>
    <w:rsid w:val="004B5CC9"/>
    <w:rsid w:val="004B72BC"/>
    <w:rsid w:val="004C0FC4"/>
    <w:rsid w:val="004C1246"/>
    <w:rsid w:val="004C1EC2"/>
    <w:rsid w:val="004C4F15"/>
    <w:rsid w:val="004C61B8"/>
    <w:rsid w:val="004C7700"/>
    <w:rsid w:val="004D028D"/>
    <w:rsid w:val="004D3D71"/>
    <w:rsid w:val="004D4F0E"/>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3114"/>
    <w:rsid w:val="00545692"/>
    <w:rsid w:val="00546BD3"/>
    <w:rsid w:val="00547939"/>
    <w:rsid w:val="0055006E"/>
    <w:rsid w:val="005528A4"/>
    <w:rsid w:val="0055343F"/>
    <w:rsid w:val="005538B1"/>
    <w:rsid w:val="005570A3"/>
    <w:rsid w:val="00557BB6"/>
    <w:rsid w:val="005617E0"/>
    <w:rsid w:val="005618EC"/>
    <w:rsid w:val="005623D2"/>
    <w:rsid w:val="0056788E"/>
    <w:rsid w:val="0056793D"/>
    <w:rsid w:val="00570476"/>
    <w:rsid w:val="005744CA"/>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97D9B"/>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1F43"/>
    <w:rsid w:val="005F1FEB"/>
    <w:rsid w:val="005F38E6"/>
    <w:rsid w:val="005F6CAA"/>
    <w:rsid w:val="00602DE5"/>
    <w:rsid w:val="00603DA4"/>
    <w:rsid w:val="0060451F"/>
    <w:rsid w:val="006049B5"/>
    <w:rsid w:val="00604EB5"/>
    <w:rsid w:val="006054BF"/>
    <w:rsid w:val="0060556C"/>
    <w:rsid w:val="00605FB9"/>
    <w:rsid w:val="006077DA"/>
    <w:rsid w:val="006117E3"/>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926D3"/>
    <w:rsid w:val="006A28D5"/>
    <w:rsid w:val="006A3076"/>
    <w:rsid w:val="006A3B57"/>
    <w:rsid w:val="006A4BE5"/>
    <w:rsid w:val="006A55AD"/>
    <w:rsid w:val="006A65EF"/>
    <w:rsid w:val="006C492D"/>
    <w:rsid w:val="006C6369"/>
    <w:rsid w:val="006D2826"/>
    <w:rsid w:val="006D2D74"/>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139F2"/>
    <w:rsid w:val="00713A68"/>
    <w:rsid w:val="007160D9"/>
    <w:rsid w:val="007227D3"/>
    <w:rsid w:val="00730BED"/>
    <w:rsid w:val="007327B6"/>
    <w:rsid w:val="00737112"/>
    <w:rsid w:val="007375F9"/>
    <w:rsid w:val="007377CC"/>
    <w:rsid w:val="007418CF"/>
    <w:rsid w:val="007443AD"/>
    <w:rsid w:val="00744ED4"/>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51B4"/>
    <w:rsid w:val="007A6F05"/>
    <w:rsid w:val="007B097B"/>
    <w:rsid w:val="007B6496"/>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189"/>
    <w:rsid w:val="007F63EC"/>
    <w:rsid w:val="00800C47"/>
    <w:rsid w:val="00803F1B"/>
    <w:rsid w:val="008056A7"/>
    <w:rsid w:val="00805852"/>
    <w:rsid w:val="00805B22"/>
    <w:rsid w:val="00806A2F"/>
    <w:rsid w:val="00810805"/>
    <w:rsid w:val="00810F55"/>
    <w:rsid w:val="00811A91"/>
    <w:rsid w:val="00814958"/>
    <w:rsid w:val="008149CF"/>
    <w:rsid w:val="00816CA5"/>
    <w:rsid w:val="00817FC3"/>
    <w:rsid w:val="008214B9"/>
    <w:rsid w:val="00823E54"/>
    <w:rsid w:val="00824A4E"/>
    <w:rsid w:val="008254E7"/>
    <w:rsid w:val="0083439A"/>
    <w:rsid w:val="0083477F"/>
    <w:rsid w:val="00837152"/>
    <w:rsid w:val="00837596"/>
    <w:rsid w:val="00840886"/>
    <w:rsid w:val="008408A0"/>
    <w:rsid w:val="00846E88"/>
    <w:rsid w:val="008501A5"/>
    <w:rsid w:val="00854ADE"/>
    <w:rsid w:val="008576F0"/>
    <w:rsid w:val="00857C89"/>
    <w:rsid w:val="00857FE1"/>
    <w:rsid w:val="008611F2"/>
    <w:rsid w:val="0086125A"/>
    <w:rsid w:val="00861DAB"/>
    <w:rsid w:val="00861E1F"/>
    <w:rsid w:val="00861EE2"/>
    <w:rsid w:val="00862598"/>
    <w:rsid w:val="00864151"/>
    <w:rsid w:val="00865C0D"/>
    <w:rsid w:val="00867F1E"/>
    <w:rsid w:val="008707CA"/>
    <w:rsid w:val="00871650"/>
    <w:rsid w:val="00872A55"/>
    <w:rsid w:val="00873542"/>
    <w:rsid w:val="00874D0F"/>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0C7E"/>
    <w:rsid w:val="008F3E1B"/>
    <w:rsid w:val="008F733C"/>
    <w:rsid w:val="00904292"/>
    <w:rsid w:val="00910626"/>
    <w:rsid w:val="00910AC9"/>
    <w:rsid w:val="0091236B"/>
    <w:rsid w:val="009135EF"/>
    <w:rsid w:val="009150AA"/>
    <w:rsid w:val="00915CF2"/>
    <w:rsid w:val="009167EA"/>
    <w:rsid w:val="00916E26"/>
    <w:rsid w:val="00917CF5"/>
    <w:rsid w:val="009203AD"/>
    <w:rsid w:val="00920BA7"/>
    <w:rsid w:val="00921D50"/>
    <w:rsid w:val="00922155"/>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18C9"/>
    <w:rsid w:val="009C323E"/>
    <w:rsid w:val="009C3D15"/>
    <w:rsid w:val="009D16DF"/>
    <w:rsid w:val="009D1830"/>
    <w:rsid w:val="009D1AC9"/>
    <w:rsid w:val="009D1DF7"/>
    <w:rsid w:val="009D3B7A"/>
    <w:rsid w:val="009D417C"/>
    <w:rsid w:val="009D455E"/>
    <w:rsid w:val="009E2316"/>
    <w:rsid w:val="009E41F1"/>
    <w:rsid w:val="009E6969"/>
    <w:rsid w:val="009F13D4"/>
    <w:rsid w:val="009F14F1"/>
    <w:rsid w:val="009F1CFB"/>
    <w:rsid w:val="009F1DFF"/>
    <w:rsid w:val="009F35D0"/>
    <w:rsid w:val="009F3B9B"/>
    <w:rsid w:val="009F5A1E"/>
    <w:rsid w:val="009F6569"/>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0C9"/>
    <w:rsid w:val="00A3667B"/>
    <w:rsid w:val="00A41CDE"/>
    <w:rsid w:val="00A41DA0"/>
    <w:rsid w:val="00A425B2"/>
    <w:rsid w:val="00A42678"/>
    <w:rsid w:val="00A44782"/>
    <w:rsid w:val="00A50923"/>
    <w:rsid w:val="00A51056"/>
    <w:rsid w:val="00A52ADA"/>
    <w:rsid w:val="00A53F42"/>
    <w:rsid w:val="00A54A96"/>
    <w:rsid w:val="00A54C2D"/>
    <w:rsid w:val="00A55F01"/>
    <w:rsid w:val="00A5779D"/>
    <w:rsid w:val="00A61ED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429"/>
    <w:rsid w:val="00AE5AAD"/>
    <w:rsid w:val="00AE5CC0"/>
    <w:rsid w:val="00AE688F"/>
    <w:rsid w:val="00AF0810"/>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1A06"/>
    <w:rsid w:val="00B12051"/>
    <w:rsid w:val="00B1350C"/>
    <w:rsid w:val="00B13789"/>
    <w:rsid w:val="00B15D33"/>
    <w:rsid w:val="00B162C3"/>
    <w:rsid w:val="00B22EA7"/>
    <w:rsid w:val="00B246E2"/>
    <w:rsid w:val="00B269DB"/>
    <w:rsid w:val="00B332D7"/>
    <w:rsid w:val="00B3342A"/>
    <w:rsid w:val="00B40DCF"/>
    <w:rsid w:val="00B41574"/>
    <w:rsid w:val="00B43808"/>
    <w:rsid w:val="00B43C7B"/>
    <w:rsid w:val="00B4489A"/>
    <w:rsid w:val="00B44A82"/>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447F"/>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A7CA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697E"/>
    <w:rsid w:val="00C275DE"/>
    <w:rsid w:val="00C344E7"/>
    <w:rsid w:val="00C34C2B"/>
    <w:rsid w:val="00C36D1D"/>
    <w:rsid w:val="00C471EE"/>
    <w:rsid w:val="00C5090D"/>
    <w:rsid w:val="00C516A1"/>
    <w:rsid w:val="00C531FF"/>
    <w:rsid w:val="00C53663"/>
    <w:rsid w:val="00C543E3"/>
    <w:rsid w:val="00C54463"/>
    <w:rsid w:val="00C625FA"/>
    <w:rsid w:val="00C644C7"/>
    <w:rsid w:val="00C659D0"/>
    <w:rsid w:val="00C65F9B"/>
    <w:rsid w:val="00C66A8C"/>
    <w:rsid w:val="00C6724E"/>
    <w:rsid w:val="00C67DA4"/>
    <w:rsid w:val="00C70168"/>
    <w:rsid w:val="00C70F21"/>
    <w:rsid w:val="00C71935"/>
    <w:rsid w:val="00C72875"/>
    <w:rsid w:val="00C72993"/>
    <w:rsid w:val="00C73EAF"/>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A70F3"/>
    <w:rsid w:val="00CA7FAA"/>
    <w:rsid w:val="00CB3AE8"/>
    <w:rsid w:val="00CB3EA3"/>
    <w:rsid w:val="00CB5D2C"/>
    <w:rsid w:val="00CB7442"/>
    <w:rsid w:val="00CC14E4"/>
    <w:rsid w:val="00CC2443"/>
    <w:rsid w:val="00CD1675"/>
    <w:rsid w:val="00CD399D"/>
    <w:rsid w:val="00CD4642"/>
    <w:rsid w:val="00CD5308"/>
    <w:rsid w:val="00CE2266"/>
    <w:rsid w:val="00CE5E6E"/>
    <w:rsid w:val="00CE618F"/>
    <w:rsid w:val="00CE6508"/>
    <w:rsid w:val="00CF20CD"/>
    <w:rsid w:val="00CF5F08"/>
    <w:rsid w:val="00CF77E7"/>
    <w:rsid w:val="00CF7E4F"/>
    <w:rsid w:val="00D023FE"/>
    <w:rsid w:val="00D03026"/>
    <w:rsid w:val="00D03B8B"/>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2EF7"/>
    <w:rsid w:val="00D43F11"/>
    <w:rsid w:val="00D44386"/>
    <w:rsid w:val="00D444F3"/>
    <w:rsid w:val="00D45117"/>
    <w:rsid w:val="00D4554B"/>
    <w:rsid w:val="00D530AF"/>
    <w:rsid w:val="00D54B07"/>
    <w:rsid w:val="00D55776"/>
    <w:rsid w:val="00D60772"/>
    <w:rsid w:val="00D60B47"/>
    <w:rsid w:val="00D616FD"/>
    <w:rsid w:val="00D6252F"/>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157B"/>
    <w:rsid w:val="00DB3818"/>
    <w:rsid w:val="00DB4518"/>
    <w:rsid w:val="00DB6B93"/>
    <w:rsid w:val="00DB6C2C"/>
    <w:rsid w:val="00DB7D81"/>
    <w:rsid w:val="00DC0A4B"/>
    <w:rsid w:val="00DC0E9B"/>
    <w:rsid w:val="00DC21CC"/>
    <w:rsid w:val="00DC73F9"/>
    <w:rsid w:val="00DC7CCD"/>
    <w:rsid w:val="00DD19B7"/>
    <w:rsid w:val="00DD22BC"/>
    <w:rsid w:val="00DE279C"/>
    <w:rsid w:val="00DE52B4"/>
    <w:rsid w:val="00DF14B1"/>
    <w:rsid w:val="00DF1A59"/>
    <w:rsid w:val="00DF3269"/>
    <w:rsid w:val="00DF35B5"/>
    <w:rsid w:val="00DF5F69"/>
    <w:rsid w:val="00DF761C"/>
    <w:rsid w:val="00E0152C"/>
    <w:rsid w:val="00E04641"/>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45BB2"/>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A70F5"/>
    <w:rsid w:val="00EB67DA"/>
    <w:rsid w:val="00EB6DFB"/>
    <w:rsid w:val="00EC11F6"/>
    <w:rsid w:val="00EC29B6"/>
    <w:rsid w:val="00EC6399"/>
    <w:rsid w:val="00EC7B6C"/>
    <w:rsid w:val="00ED00C1"/>
    <w:rsid w:val="00ED059D"/>
    <w:rsid w:val="00ED11DD"/>
    <w:rsid w:val="00ED3579"/>
    <w:rsid w:val="00ED36C0"/>
    <w:rsid w:val="00ED5986"/>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242F"/>
    <w:rsid w:val="00F379AA"/>
    <w:rsid w:val="00F44761"/>
    <w:rsid w:val="00F46AB3"/>
    <w:rsid w:val="00F474B2"/>
    <w:rsid w:val="00F50369"/>
    <w:rsid w:val="00F50692"/>
    <w:rsid w:val="00F5173D"/>
    <w:rsid w:val="00F52276"/>
    <w:rsid w:val="00F565B8"/>
    <w:rsid w:val="00F575A7"/>
    <w:rsid w:val="00F60831"/>
    <w:rsid w:val="00F61D84"/>
    <w:rsid w:val="00F65AD3"/>
    <w:rsid w:val="00F70531"/>
    <w:rsid w:val="00F71128"/>
    <w:rsid w:val="00F711AA"/>
    <w:rsid w:val="00F71E53"/>
    <w:rsid w:val="00F72EFC"/>
    <w:rsid w:val="00F768AB"/>
    <w:rsid w:val="00F76A08"/>
    <w:rsid w:val="00F81D9A"/>
    <w:rsid w:val="00F85DCD"/>
    <w:rsid w:val="00F875D2"/>
    <w:rsid w:val="00F90490"/>
    <w:rsid w:val="00F93577"/>
    <w:rsid w:val="00F940ED"/>
    <w:rsid w:val="00F94AE4"/>
    <w:rsid w:val="00F97389"/>
    <w:rsid w:val="00F976AC"/>
    <w:rsid w:val="00F97B09"/>
    <w:rsid w:val="00FA0893"/>
    <w:rsid w:val="00FA12AD"/>
    <w:rsid w:val="00FA1C85"/>
    <w:rsid w:val="00FA3864"/>
    <w:rsid w:val="00FA43C3"/>
    <w:rsid w:val="00FA48E5"/>
    <w:rsid w:val="00FA6964"/>
    <w:rsid w:val="00FA6D1C"/>
    <w:rsid w:val="00FB19A9"/>
    <w:rsid w:val="00FB7271"/>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071"/>
    <w:rsid w:val="00FF7392"/>
    <w:rsid w:val="01001B5E"/>
    <w:rsid w:val="011B684E"/>
    <w:rsid w:val="01253372"/>
    <w:rsid w:val="01A249C3"/>
    <w:rsid w:val="01CA5CC8"/>
    <w:rsid w:val="01E07299"/>
    <w:rsid w:val="023B43DC"/>
    <w:rsid w:val="02497534"/>
    <w:rsid w:val="02D84414"/>
    <w:rsid w:val="02E874FB"/>
    <w:rsid w:val="03004097"/>
    <w:rsid w:val="030E594D"/>
    <w:rsid w:val="03AC1F17"/>
    <w:rsid w:val="04A526A5"/>
    <w:rsid w:val="053756C6"/>
    <w:rsid w:val="05663C88"/>
    <w:rsid w:val="06497B03"/>
    <w:rsid w:val="06B37672"/>
    <w:rsid w:val="06E17D3B"/>
    <w:rsid w:val="074D26E8"/>
    <w:rsid w:val="076F17EB"/>
    <w:rsid w:val="08000695"/>
    <w:rsid w:val="080812F8"/>
    <w:rsid w:val="082134BD"/>
    <w:rsid w:val="0854453D"/>
    <w:rsid w:val="089D5EE4"/>
    <w:rsid w:val="08B1198F"/>
    <w:rsid w:val="09414AC1"/>
    <w:rsid w:val="097E5D15"/>
    <w:rsid w:val="09FD7A5F"/>
    <w:rsid w:val="0A0648C1"/>
    <w:rsid w:val="0A5D3B7D"/>
    <w:rsid w:val="0A9357F1"/>
    <w:rsid w:val="0B353D08"/>
    <w:rsid w:val="0BBA0B5B"/>
    <w:rsid w:val="0BE300B2"/>
    <w:rsid w:val="0C0A1AE2"/>
    <w:rsid w:val="0C572C4B"/>
    <w:rsid w:val="0C632FA1"/>
    <w:rsid w:val="0CA62D9D"/>
    <w:rsid w:val="0CB3217A"/>
    <w:rsid w:val="0D006A41"/>
    <w:rsid w:val="0D093B48"/>
    <w:rsid w:val="0D2E1801"/>
    <w:rsid w:val="0D58062B"/>
    <w:rsid w:val="0D584ACF"/>
    <w:rsid w:val="0D682F64"/>
    <w:rsid w:val="0DF77E44"/>
    <w:rsid w:val="0E3966AF"/>
    <w:rsid w:val="0E6A2D0C"/>
    <w:rsid w:val="0E6E52B8"/>
    <w:rsid w:val="0EB14A1C"/>
    <w:rsid w:val="0EB65F51"/>
    <w:rsid w:val="0F470958"/>
    <w:rsid w:val="0FCC21FB"/>
    <w:rsid w:val="10463305"/>
    <w:rsid w:val="104650B3"/>
    <w:rsid w:val="104F3F68"/>
    <w:rsid w:val="105A46BB"/>
    <w:rsid w:val="11076A81"/>
    <w:rsid w:val="110F26B1"/>
    <w:rsid w:val="116E48C1"/>
    <w:rsid w:val="122D3FA7"/>
    <w:rsid w:val="12561DDA"/>
    <w:rsid w:val="125A6BF4"/>
    <w:rsid w:val="12B207DE"/>
    <w:rsid w:val="13404ED0"/>
    <w:rsid w:val="13533D6F"/>
    <w:rsid w:val="13916645"/>
    <w:rsid w:val="13E96481"/>
    <w:rsid w:val="14F543EC"/>
    <w:rsid w:val="15B825AF"/>
    <w:rsid w:val="15CA4090"/>
    <w:rsid w:val="16822625"/>
    <w:rsid w:val="16B03286"/>
    <w:rsid w:val="170610F8"/>
    <w:rsid w:val="17263548"/>
    <w:rsid w:val="178E7A6B"/>
    <w:rsid w:val="179B5CE4"/>
    <w:rsid w:val="17E53404"/>
    <w:rsid w:val="180F222F"/>
    <w:rsid w:val="182061EA"/>
    <w:rsid w:val="182C4B8E"/>
    <w:rsid w:val="182E0907"/>
    <w:rsid w:val="18463EA2"/>
    <w:rsid w:val="1853036D"/>
    <w:rsid w:val="18695DE3"/>
    <w:rsid w:val="18700F1F"/>
    <w:rsid w:val="18820B82"/>
    <w:rsid w:val="188449CB"/>
    <w:rsid w:val="189E3CDE"/>
    <w:rsid w:val="18AB63FB"/>
    <w:rsid w:val="18B232E6"/>
    <w:rsid w:val="18C33745"/>
    <w:rsid w:val="19636CD6"/>
    <w:rsid w:val="19E35721"/>
    <w:rsid w:val="1A07140F"/>
    <w:rsid w:val="1A11228E"/>
    <w:rsid w:val="1A7D41CF"/>
    <w:rsid w:val="1AC35C7E"/>
    <w:rsid w:val="1AC467AA"/>
    <w:rsid w:val="1B313D13"/>
    <w:rsid w:val="1B3A5814"/>
    <w:rsid w:val="1B544B28"/>
    <w:rsid w:val="1B5468D6"/>
    <w:rsid w:val="1BC577D4"/>
    <w:rsid w:val="1C381D54"/>
    <w:rsid w:val="1C5D17BA"/>
    <w:rsid w:val="1CCB706C"/>
    <w:rsid w:val="1CEB14BC"/>
    <w:rsid w:val="1D13244B"/>
    <w:rsid w:val="1D3C3AC6"/>
    <w:rsid w:val="1DA63635"/>
    <w:rsid w:val="1DA7747F"/>
    <w:rsid w:val="1DC51D0D"/>
    <w:rsid w:val="1DC615E1"/>
    <w:rsid w:val="1DE008F5"/>
    <w:rsid w:val="1E05173C"/>
    <w:rsid w:val="1E94626F"/>
    <w:rsid w:val="1EA27958"/>
    <w:rsid w:val="1EE77A61"/>
    <w:rsid w:val="1F087540"/>
    <w:rsid w:val="1F0A295D"/>
    <w:rsid w:val="1F321BCC"/>
    <w:rsid w:val="1F3FB049"/>
    <w:rsid w:val="1F464788"/>
    <w:rsid w:val="1F533349"/>
    <w:rsid w:val="1F7A6B27"/>
    <w:rsid w:val="1FA53BA4"/>
    <w:rsid w:val="1FD3237E"/>
    <w:rsid w:val="20210D51"/>
    <w:rsid w:val="206F2EC4"/>
    <w:rsid w:val="20755B0C"/>
    <w:rsid w:val="20BF0C96"/>
    <w:rsid w:val="20C95670"/>
    <w:rsid w:val="211F239D"/>
    <w:rsid w:val="212154AC"/>
    <w:rsid w:val="213571AA"/>
    <w:rsid w:val="21B24356"/>
    <w:rsid w:val="21BE719F"/>
    <w:rsid w:val="21C12041"/>
    <w:rsid w:val="21CE0EBF"/>
    <w:rsid w:val="21E42201"/>
    <w:rsid w:val="21F901D7"/>
    <w:rsid w:val="22016B19"/>
    <w:rsid w:val="228E4DC3"/>
    <w:rsid w:val="22AC524A"/>
    <w:rsid w:val="22B24F14"/>
    <w:rsid w:val="22BB548D"/>
    <w:rsid w:val="22D447A0"/>
    <w:rsid w:val="23737B15"/>
    <w:rsid w:val="23852155"/>
    <w:rsid w:val="23895351"/>
    <w:rsid w:val="23FA3D93"/>
    <w:rsid w:val="2443398C"/>
    <w:rsid w:val="24485B15"/>
    <w:rsid w:val="24945F95"/>
    <w:rsid w:val="249676AC"/>
    <w:rsid w:val="24C148B0"/>
    <w:rsid w:val="24E95E8B"/>
    <w:rsid w:val="25DE1BBE"/>
    <w:rsid w:val="26217CFD"/>
    <w:rsid w:val="262B46D7"/>
    <w:rsid w:val="26340D22"/>
    <w:rsid w:val="265F0A89"/>
    <w:rsid w:val="26995AE5"/>
    <w:rsid w:val="270A6E69"/>
    <w:rsid w:val="27AA266F"/>
    <w:rsid w:val="27B44531"/>
    <w:rsid w:val="2847771B"/>
    <w:rsid w:val="285C501C"/>
    <w:rsid w:val="28C8445F"/>
    <w:rsid w:val="29785E86"/>
    <w:rsid w:val="298F31CF"/>
    <w:rsid w:val="29905B80"/>
    <w:rsid w:val="29A529F3"/>
    <w:rsid w:val="29EC0507"/>
    <w:rsid w:val="2AA07E80"/>
    <w:rsid w:val="2ABC7FF4"/>
    <w:rsid w:val="2ACA03C4"/>
    <w:rsid w:val="2AE31A25"/>
    <w:rsid w:val="2AEA2DB3"/>
    <w:rsid w:val="2AF06322"/>
    <w:rsid w:val="2B09278D"/>
    <w:rsid w:val="2B342280"/>
    <w:rsid w:val="2B4029D3"/>
    <w:rsid w:val="2C0C1D01"/>
    <w:rsid w:val="2C5B6A12"/>
    <w:rsid w:val="2C752B50"/>
    <w:rsid w:val="2CA60F5C"/>
    <w:rsid w:val="2CF717B7"/>
    <w:rsid w:val="2D287BC3"/>
    <w:rsid w:val="2D502C75"/>
    <w:rsid w:val="2D7A1756"/>
    <w:rsid w:val="2D947006"/>
    <w:rsid w:val="2DA07759"/>
    <w:rsid w:val="2E255EB0"/>
    <w:rsid w:val="2E3B6E31"/>
    <w:rsid w:val="2E4E5407"/>
    <w:rsid w:val="2E680A76"/>
    <w:rsid w:val="2F631386"/>
    <w:rsid w:val="2F9C7426"/>
    <w:rsid w:val="2FEB5AB3"/>
    <w:rsid w:val="309A4933"/>
    <w:rsid w:val="30E91417"/>
    <w:rsid w:val="312D1C4B"/>
    <w:rsid w:val="31321010"/>
    <w:rsid w:val="3140197F"/>
    <w:rsid w:val="31794E91"/>
    <w:rsid w:val="31880C30"/>
    <w:rsid w:val="31D43E75"/>
    <w:rsid w:val="31E16592"/>
    <w:rsid w:val="31F67EDC"/>
    <w:rsid w:val="32B67A1F"/>
    <w:rsid w:val="32D06D32"/>
    <w:rsid w:val="32D85BE7"/>
    <w:rsid w:val="32D87995"/>
    <w:rsid w:val="330469DC"/>
    <w:rsid w:val="33064502"/>
    <w:rsid w:val="338B4A07"/>
    <w:rsid w:val="33B57CD6"/>
    <w:rsid w:val="33D94AF6"/>
    <w:rsid w:val="33F425AD"/>
    <w:rsid w:val="33FC76B3"/>
    <w:rsid w:val="340547BA"/>
    <w:rsid w:val="34AA5361"/>
    <w:rsid w:val="34AA710F"/>
    <w:rsid w:val="34E830FA"/>
    <w:rsid w:val="35150A2C"/>
    <w:rsid w:val="351647A5"/>
    <w:rsid w:val="351D5B33"/>
    <w:rsid w:val="35AB1391"/>
    <w:rsid w:val="3643781B"/>
    <w:rsid w:val="369342FF"/>
    <w:rsid w:val="36D52B69"/>
    <w:rsid w:val="36F9612C"/>
    <w:rsid w:val="36FA25D0"/>
    <w:rsid w:val="37225683"/>
    <w:rsid w:val="3727713D"/>
    <w:rsid w:val="37643EED"/>
    <w:rsid w:val="37A75B88"/>
    <w:rsid w:val="37DA7D0B"/>
    <w:rsid w:val="383A69FC"/>
    <w:rsid w:val="387C7014"/>
    <w:rsid w:val="38D429AD"/>
    <w:rsid w:val="38EA6674"/>
    <w:rsid w:val="394B7113"/>
    <w:rsid w:val="39672069"/>
    <w:rsid w:val="39DF5AAD"/>
    <w:rsid w:val="3A0B4AF4"/>
    <w:rsid w:val="3A3308FE"/>
    <w:rsid w:val="3A667F7C"/>
    <w:rsid w:val="3AEF1D20"/>
    <w:rsid w:val="3AFDD25E"/>
    <w:rsid w:val="3B335F50"/>
    <w:rsid w:val="3B620744"/>
    <w:rsid w:val="3BB32D4D"/>
    <w:rsid w:val="3BCE402B"/>
    <w:rsid w:val="3C636533"/>
    <w:rsid w:val="3C68367C"/>
    <w:rsid w:val="3C7F70D3"/>
    <w:rsid w:val="3DC01751"/>
    <w:rsid w:val="3E2944D2"/>
    <w:rsid w:val="3E3416D5"/>
    <w:rsid w:val="3E500D27"/>
    <w:rsid w:val="3EF10E76"/>
    <w:rsid w:val="3F49590A"/>
    <w:rsid w:val="3F7F53BC"/>
    <w:rsid w:val="3FA56E51"/>
    <w:rsid w:val="3FF5D301"/>
    <w:rsid w:val="40AB66E9"/>
    <w:rsid w:val="40D41ED7"/>
    <w:rsid w:val="4134048C"/>
    <w:rsid w:val="4151103E"/>
    <w:rsid w:val="41854851"/>
    <w:rsid w:val="41AA69A0"/>
    <w:rsid w:val="422229DB"/>
    <w:rsid w:val="42552DB0"/>
    <w:rsid w:val="42CB4E20"/>
    <w:rsid w:val="4335673E"/>
    <w:rsid w:val="439D56D9"/>
    <w:rsid w:val="43EC504E"/>
    <w:rsid w:val="44AE1B19"/>
    <w:rsid w:val="452E1696"/>
    <w:rsid w:val="456E4695"/>
    <w:rsid w:val="45937C77"/>
    <w:rsid w:val="460D74FE"/>
    <w:rsid w:val="46450513"/>
    <w:rsid w:val="46BA1434"/>
    <w:rsid w:val="473A07C7"/>
    <w:rsid w:val="475A2C17"/>
    <w:rsid w:val="47D91D8D"/>
    <w:rsid w:val="47E80223"/>
    <w:rsid w:val="484E340D"/>
    <w:rsid w:val="48693111"/>
    <w:rsid w:val="4880045B"/>
    <w:rsid w:val="49172B6D"/>
    <w:rsid w:val="49F27137"/>
    <w:rsid w:val="4A2319E6"/>
    <w:rsid w:val="4A235542"/>
    <w:rsid w:val="4A297B2E"/>
    <w:rsid w:val="4AA2290B"/>
    <w:rsid w:val="4B626DA5"/>
    <w:rsid w:val="4BB12688"/>
    <w:rsid w:val="4BFC429C"/>
    <w:rsid w:val="4C2B02E2"/>
    <w:rsid w:val="4C3A36E0"/>
    <w:rsid w:val="4C660202"/>
    <w:rsid w:val="4CD34FFD"/>
    <w:rsid w:val="4CE92A73"/>
    <w:rsid w:val="4D423F31"/>
    <w:rsid w:val="4DF72F6D"/>
    <w:rsid w:val="4E06535B"/>
    <w:rsid w:val="4E4F6905"/>
    <w:rsid w:val="4E7D563C"/>
    <w:rsid w:val="4E7E71EB"/>
    <w:rsid w:val="4F1B2C8C"/>
    <w:rsid w:val="4F563CC4"/>
    <w:rsid w:val="4F862687"/>
    <w:rsid w:val="4F8847C5"/>
    <w:rsid w:val="4FA7250F"/>
    <w:rsid w:val="4FFF9BD0"/>
    <w:rsid w:val="50E61077"/>
    <w:rsid w:val="51320289"/>
    <w:rsid w:val="51650C56"/>
    <w:rsid w:val="517B5C63"/>
    <w:rsid w:val="51D33CF1"/>
    <w:rsid w:val="51E27A91"/>
    <w:rsid w:val="52377793"/>
    <w:rsid w:val="527A27B9"/>
    <w:rsid w:val="52B561EA"/>
    <w:rsid w:val="52D63A99"/>
    <w:rsid w:val="52E11055"/>
    <w:rsid w:val="53A2397B"/>
    <w:rsid w:val="53A96AB8"/>
    <w:rsid w:val="53B813F1"/>
    <w:rsid w:val="53D1600F"/>
    <w:rsid w:val="53FA37B7"/>
    <w:rsid w:val="543C3DD0"/>
    <w:rsid w:val="54613836"/>
    <w:rsid w:val="548F1EFF"/>
    <w:rsid w:val="549E05E7"/>
    <w:rsid w:val="551E5284"/>
    <w:rsid w:val="55293BFF"/>
    <w:rsid w:val="555D5DAC"/>
    <w:rsid w:val="564B20A8"/>
    <w:rsid w:val="567D05FB"/>
    <w:rsid w:val="56E10C5F"/>
    <w:rsid w:val="56E878F7"/>
    <w:rsid w:val="57546B60"/>
    <w:rsid w:val="57B91DA5"/>
    <w:rsid w:val="581F1A3E"/>
    <w:rsid w:val="582B4E00"/>
    <w:rsid w:val="583B614D"/>
    <w:rsid w:val="58417C07"/>
    <w:rsid w:val="59B47F65"/>
    <w:rsid w:val="5A296B9A"/>
    <w:rsid w:val="5A317807"/>
    <w:rsid w:val="5A5A4FB0"/>
    <w:rsid w:val="5A690D4F"/>
    <w:rsid w:val="5A843C23"/>
    <w:rsid w:val="5AEC372E"/>
    <w:rsid w:val="5AF513D3"/>
    <w:rsid w:val="5B687259"/>
    <w:rsid w:val="5B7025B1"/>
    <w:rsid w:val="5B8A6200"/>
    <w:rsid w:val="5BAE3879"/>
    <w:rsid w:val="5BC326E1"/>
    <w:rsid w:val="5C182A2D"/>
    <w:rsid w:val="5C3E620B"/>
    <w:rsid w:val="5C3F26AF"/>
    <w:rsid w:val="5C853E3A"/>
    <w:rsid w:val="5CD26B30"/>
    <w:rsid w:val="5CFB5EAA"/>
    <w:rsid w:val="5D6E48CE"/>
    <w:rsid w:val="5DCC7F73"/>
    <w:rsid w:val="5DFF3D4B"/>
    <w:rsid w:val="5E2B1CB9"/>
    <w:rsid w:val="5E43330F"/>
    <w:rsid w:val="5EA66A16"/>
    <w:rsid w:val="5F683CCB"/>
    <w:rsid w:val="5F6917F1"/>
    <w:rsid w:val="5F7F6D9B"/>
    <w:rsid w:val="5FBF7663"/>
    <w:rsid w:val="5FD96977"/>
    <w:rsid w:val="5FE750CA"/>
    <w:rsid w:val="60200102"/>
    <w:rsid w:val="6033021C"/>
    <w:rsid w:val="60363DC9"/>
    <w:rsid w:val="606F33AD"/>
    <w:rsid w:val="60C018E5"/>
    <w:rsid w:val="611A2DA3"/>
    <w:rsid w:val="613D1187"/>
    <w:rsid w:val="61467338"/>
    <w:rsid w:val="619104D9"/>
    <w:rsid w:val="61B03707"/>
    <w:rsid w:val="61ED495B"/>
    <w:rsid w:val="62D96C3F"/>
    <w:rsid w:val="631E2D6D"/>
    <w:rsid w:val="633D0FCB"/>
    <w:rsid w:val="63554566"/>
    <w:rsid w:val="637D586B"/>
    <w:rsid w:val="63A948B2"/>
    <w:rsid w:val="63D3192F"/>
    <w:rsid w:val="63F737FF"/>
    <w:rsid w:val="64025D70"/>
    <w:rsid w:val="64502F80"/>
    <w:rsid w:val="64B86B45"/>
    <w:rsid w:val="64C73242"/>
    <w:rsid w:val="64DD0F73"/>
    <w:rsid w:val="657B402C"/>
    <w:rsid w:val="657D7DA4"/>
    <w:rsid w:val="65886B3B"/>
    <w:rsid w:val="66546D57"/>
    <w:rsid w:val="6672542F"/>
    <w:rsid w:val="667E5B82"/>
    <w:rsid w:val="66C20165"/>
    <w:rsid w:val="66DB4D83"/>
    <w:rsid w:val="66F43C9C"/>
    <w:rsid w:val="670752CC"/>
    <w:rsid w:val="672629DF"/>
    <w:rsid w:val="672C5A8C"/>
    <w:rsid w:val="675039C2"/>
    <w:rsid w:val="676A6A64"/>
    <w:rsid w:val="67F302A3"/>
    <w:rsid w:val="67FD1CF6"/>
    <w:rsid w:val="68112A26"/>
    <w:rsid w:val="68171B0B"/>
    <w:rsid w:val="683C7AA3"/>
    <w:rsid w:val="689F0032"/>
    <w:rsid w:val="68C741D6"/>
    <w:rsid w:val="6922138F"/>
    <w:rsid w:val="69407A67"/>
    <w:rsid w:val="698A6B32"/>
    <w:rsid w:val="69F83E9D"/>
    <w:rsid w:val="6A086782"/>
    <w:rsid w:val="6A947FB7"/>
    <w:rsid w:val="6AA638F9"/>
    <w:rsid w:val="6B2807B2"/>
    <w:rsid w:val="6BE26BB3"/>
    <w:rsid w:val="6C4E4249"/>
    <w:rsid w:val="6C5D26DE"/>
    <w:rsid w:val="6C983716"/>
    <w:rsid w:val="6CB56076"/>
    <w:rsid w:val="6CED1CB3"/>
    <w:rsid w:val="6D6830E8"/>
    <w:rsid w:val="6DF09F79"/>
    <w:rsid w:val="6E153270"/>
    <w:rsid w:val="6E5B2C4D"/>
    <w:rsid w:val="6E6E472E"/>
    <w:rsid w:val="6F141779"/>
    <w:rsid w:val="6F236000"/>
    <w:rsid w:val="6F2C465B"/>
    <w:rsid w:val="6F343BCA"/>
    <w:rsid w:val="6F616041"/>
    <w:rsid w:val="6F747A08"/>
    <w:rsid w:val="6F7EEF98"/>
    <w:rsid w:val="6FB74539"/>
    <w:rsid w:val="6FD1766A"/>
    <w:rsid w:val="6FFB887C"/>
    <w:rsid w:val="700C69E4"/>
    <w:rsid w:val="702A6D7B"/>
    <w:rsid w:val="70F74C48"/>
    <w:rsid w:val="71184E25"/>
    <w:rsid w:val="718017DE"/>
    <w:rsid w:val="71B52674"/>
    <w:rsid w:val="71C72450"/>
    <w:rsid w:val="71CC6365"/>
    <w:rsid w:val="720D3C91"/>
    <w:rsid w:val="72663713"/>
    <w:rsid w:val="72F307FE"/>
    <w:rsid w:val="733F0D8F"/>
    <w:rsid w:val="738D02B5"/>
    <w:rsid w:val="74341F76"/>
    <w:rsid w:val="74A54C22"/>
    <w:rsid w:val="74E03EAC"/>
    <w:rsid w:val="74E0FA6D"/>
    <w:rsid w:val="74FA6D1C"/>
    <w:rsid w:val="75332EAD"/>
    <w:rsid w:val="75695C4F"/>
    <w:rsid w:val="75705230"/>
    <w:rsid w:val="75734D20"/>
    <w:rsid w:val="761262E7"/>
    <w:rsid w:val="7630676D"/>
    <w:rsid w:val="77075720"/>
    <w:rsid w:val="7772528F"/>
    <w:rsid w:val="77EF3CD0"/>
    <w:rsid w:val="77F15FC7"/>
    <w:rsid w:val="780D4FB8"/>
    <w:rsid w:val="78306EF8"/>
    <w:rsid w:val="7862209E"/>
    <w:rsid w:val="78B418D7"/>
    <w:rsid w:val="78D37FAF"/>
    <w:rsid w:val="78D855C6"/>
    <w:rsid w:val="78FE426C"/>
    <w:rsid w:val="79020658"/>
    <w:rsid w:val="792F0F5E"/>
    <w:rsid w:val="7A173ECC"/>
    <w:rsid w:val="7A1C7734"/>
    <w:rsid w:val="7AE069B4"/>
    <w:rsid w:val="7B533629"/>
    <w:rsid w:val="7B5D1DB2"/>
    <w:rsid w:val="7BEF3551"/>
    <w:rsid w:val="7C142DB9"/>
    <w:rsid w:val="7C1903CF"/>
    <w:rsid w:val="7C7F3FAA"/>
    <w:rsid w:val="7CEA58C8"/>
    <w:rsid w:val="7CFC7153"/>
    <w:rsid w:val="7D164783"/>
    <w:rsid w:val="7D562F5D"/>
    <w:rsid w:val="7D8555F0"/>
    <w:rsid w:val="7DBF3E36"/>
    <w:rsid w:val="7E2B4B8B"/>
    <w:rsid w:val="7E3E236F"/>
    <w:rsid w:val="7E8D0C46"/>
    <w:rsid w:val="7E960D71"/>
    <w:rsid w:val="7F370E72"/>
    <w:rsid w:val="7FAF2DF8"/>
    <w:rsid w:val="7FB87EFF"/>
    <w:rsid w:val="7FD840FD"/>
    <w:rsid w:val="7FE30E07"/>
    <w:rsid w:val="7FEBD99B"/>
    <w:rsid w:val="7FF8654D"/>
    <w:rsid w:val="7FFD5638"/>
    <w:rsid w:val="7FFD8D2A"/>
    <w:rsid w:val="7FFF2A59"/>
    <w:rsid w:val="9EF28F3A"/>
    <w:rsid w:val="AF3EFDD2"/>
    <w:rsid w:val="B7FE0DB7"/>
    <w:rsid w:val="BBEF88DE"/>
    <w:rsid w:val="BCFB03CB"/>
    <w:rsid w:val="BFFE29EA"/>
    <w:rsid w:val="BFFF7679"/>
    <w:rsid w:val="CDFCCD0F"/>
    <w:rsid w:val="D5CF4A71"/>
    <w:rsid w:val="D7F9BB47"/>
    <w:rsid w:val="DC837159"/>
    <w:rsid w:val="DD7F0A46"/>
    <w:rsid w:val="E3FB0671"/>
    <w:rsid w:val="EF5D1981"/>
    <w:rsid w:val="EF6FD78E"/>
    <w:rsid w:val="F34F3C8B"/>
    <w:rsid w:val="F79B0624"/>
    <w:rsid w:val="F7FF98DF"/>
    <w:rsid w:val="FA577F04"/>
    <w:rsid w:val="FBFD1DCC"/>
    <w:rsid w:val="FD7BAEFE"/>
    <w:rsid w:val="FEBF06A4"/>
    <w:rsid w:val="FEEF6D44"/>
    <w:rsid w:val="FEFF523C"/>
    <w:rsid w:val="FF5FDD8F"/>
    <w:rsid w:val="FFF81C49"/>
    <w:rsid w:val="FFFD703A"/>
    <w:rsid w:val="FFFDE42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23"/>
    <w:qFormat/>
    <w:uiPriority w:val="9"/>
    <w:pPr>
      <w:keepNext/>
      <w:keepLines/>
      <w:numPr>
        <w:ilvl w:val="0"/>
        <w:numId w:val="1"/>
      </w:numPr>
      <w:spacing w:before="340" w:after="330" w:line="578" w:lineRule="auto"/>
      <w:ind w:firstLine="200" w:firstLineChars="0"/>
      <w:outlineLvl w:val="0"/>
    </w:pPr>
    <w:rPr>
      <w:rFonts w:ascii="Calibri" w:hAnsi="Calibri" w:eastAsia="黑体" w:cs="宋体"/>
      <w:b/>
      <w:bCs/>
      <w:kern w:val="44"/>
      <w:sz w:val="32"/>
      <w:szCs w:val="44"/>
      <w:lang w:bidi="ar-SA"/>
    </w:rPr>
  </w:style>
  <w:style w:type="paragraph" w:styleId="3">
    <w:name w:val="heading 2"/>
    <w:basedOn w:val="1"/>
    <w:next w:val="1"/>
    <w:link w:val="24"/>
    <w:qFormat/>
    <w:uiPriority w:val="9"/>
    <w:pPr>
      <w:keepNext/>
      <w:keepLines/>
      <w:numPr>
        <w:ilvl w:val="1"/>
        <w:numId w:val="2"/>
      </w:numPr>
      <w:spacing w:before="260" w:after="260" w:line="416" w:lineRule="auto"/>
      <w:ind w:firstLine="200" w:firstLineChars="0"/>
      <w:outlineLvl w:val="1"/>
    </w:pPr>
    <w:rPr>
      <w:rFonts w:ascii="Calibri Light" w:hAnsi="Calibri Light" w:eastAsia="黑体" w:cs="宋体"/>
      <w:b/>
      <w:bCs/>
      <w:sz w:val="32"/>
      <w:szCs w:val="32"/>
      <w:lang w:bidi="ar-SA"/>
    </w:rPr>
  </w:style>
  <w:style w:type="character" w:default="1" w:styleId="14">
    <w:name w:val="Default Paragraph Font"/>
    <w:semiHidden/>
    <w:uiPriority w:val="0"/>
  </w:style>
  <w:style w:type="table" w:default="1" w:styleId="12">
    <w:name w:val="Normal Table"/>
    <w:semiHidden/>
    <w:uiPriority w:val="0"/>
    <w:tblPr>
      <w:tblStyle w:val="12"/>
      <w:tblLayout w:type="fixed"/>
      <w:tblCellMar>
        <w:top w:w="0" w:type="dxa"/>
        <w:left w:w="108" w:type="dxa"/>
        <w:bottom w:w="0" w:type="dxa"/>
        <w:right w:w="108" w:type="dxa"/>
      </w:tblCellMar>
    </w:tblPr>
  </w:style>
  <w:style w:type="paragraph" w:styleId="4">
    <w:name w:val="Document Map"/>
    <w:basedOn w:val="1"/>
    <w:semiHidden/>
    <w:uiPriority w:val="0"/>
    <w:pPr>
      <w:shd w:val="clear" w:color="auto" w:fill="000080"/>
    </w:pPr>
  </w:style>
  <w:style w:type="paragraph" w:styleId="5">
    <w:name w:val="annotation text"/>
    <w:basedOn w:val="1"/>
    <w:next w:val="6"/>
    <w:link w:val="25"/>
    <w:qFormat/>
    <w:uiPriority w:val="99"/>
    <w:pPr>
      <w:spacing w:line="560" w:lineRule="exact"/>
      <w:ind w:firstLine="200" w:firstLineChars="200"/>
      <w:jc w:val="left"/>
    </w:pPr>
    <w:rPr>
      <w:rFonts w:ascii="Calibri" w:hAnsi="Calibri" w:eastAsia="仿宋_GB2312" w:cs="宋体"/>
      <w:sz w:val="32"/>
      <w:szCs w:val="22"/>
      <w:lang w:bidi="ar-SA"/>
    </w:rPr>
  </w:style>
  <w:style w:type="paragraph" w:styleId="6">
    <w:name w:val="Balloon Text"/>
    <w:basedOn w:val="1"/>
    <w:link w:val="26"/>
    <w:semiHidden/>
    <w:uiPriority w:val="0"/>
    <w:rPr>
      <w:sz w:val="18"/>
      <w:szCs w:val="18"/>
    </w:rPr>
  </w:style>
  <w:style w:type="paragraph" w:styleId="7">
    <w:name w:val="Date"/>
    <w:basedOn w:val="1"/>
    <w:next w:val="1"/>
    <w:link w:val="27"/>
    <w:uiPriority w:val="0"/>
    <w:pPr>
      <w:ind w:left="100" w:leftChars="2500"/>
    </w:pPr>
    <w:rPr>
      <w:rFonts w:ascii="仿宋_GB2312" w:eastAsia="仿宋_GB2312"/>
      <w:sz w:val="32"/>
    </w:rPr>
  </w:style>
  <w:style w:type="paragraph" w:styleId="8">
    <w:name w:val="footer"/>
    <w:basedOn w:val="1"/>
    <w:link w:val="28"/>
    <w:uiPriority w:val="0"/>
    <w:pPr>
      <w:tabs>
        <w:tab w:val="center" w:pos="4153"/>
        <w:tab w:val="right" w:pos="8306"/>
      </w:tabs>
      <w:snapToGrid w:val="0"/>
      <w:jc w:val="left"/>
    </w:pPr>
    <w:rPr>
      <w:sz w:val="18"/>
      <w:szCs w:val="18"/>
    </w:rPr>
  </w:style>
  <w:style w:type="paragraph" w:styleId="9">
    <w:name w:val="header"/>
    <w:basedOn w:val="1"/>
    <w:link w:val="29"/>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line="560" w:lineRule="exact"/>
      <w:ind w:left="0" w:right="0" w:firstLine="200" w:firstLineChars="200"/>
      <w:jc w:val="left"/>
    </w:pPr>
    <w:rPr>
      <w:rFonts w:ascii="Calibri" w:hAnsi="Calibri" w:eastAsia="仿宋_GB2312" w:cs="宋体"/>
      <w:kern w:val="0"/>
      <w:sz w:val="24"/>
      <w:szCs w:val="22"/>
      <w:lang w:val="en-US" w:eastAsia="zh-CN" w:bidi="ar"/>
    </w:rPr>
  </w:style>
  <w:style w:type="paragraph" w:styleId="11">
    <w:name w:val="annotation subject"/>
    <w:basedOn w:val="5"/>
    <w:next w:val="5"/>
    <w:link w:val="30"/>
    <w:qFormat/>
    <w:uiPriority w:val="99"/>
    <w:rPr>
      <w:b/>
      <w:bCs/>
    </w:rPr>
  </w:style>
  <w:style w:type="table" w:styleId="13">
    <w:name w:val="Table Grid"/>
    <w:basedOn w:val="12"/>
    <w:uiPriority w:val="0"/>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Strong"/>
    <w:basedOn w:val="14"/>
    <w:qFormat/>
    <w:uiPriority w:val="0"/>
    <w:rPr>
      <w:rFonts w:ascii="Times New Roman" w:hAnsi="Times New Roman" w:eastAsia="宋体" w:cs="Times New Roman"/>
      <w:b/>
    </w:rPr>
  </w:style>
  <w:style w:type="character" w:styleId="16">
    <w:name w:val="page number"/>
    <w:basedOn w:val="14"/>
    <w:uiPriority w:val="0"/>
  </w:style>
  <w:style w:type="character" w:styleId="17">
    <w:name w:val="Hyperlink"/>
    <w:basedOn w:val="14"/>
    <w:unhideWhenUsed/>
    <w:qFormat/>
    <w:uiPriority w:val="99"/>
    <w:rPr>
      <w:rFonts w:ascii="Times New Roman" w:hAnsi="Times New Roman" w:eastAsia="宋体" w:cs="Times New Roman"/>
      <w:color w:val="0000FF"/>
      <w:u w:val="single"/>
    </w:rPr>
  </w:style>
  <w:style w:type="character" w:styleId="18">
    <w:name w:val="annotation reference"/>
    <w:basedOn w:val="14"/>
    <w:qFormat/>
    <w:uiPriority w:val="99"/>
    <w:rPr>
      <w:rFonts w:ascii="Times New Roman" w:hAnsi="Times New Roman" w:eastAsia="宋体" w:cs="Times New Roman"/>
      <w:sz w:val="21"/>
      <w:szCs w:val="21"/>
    </w:rPr>
  </w:style>
  <w:style w:type="paragraph" w:customStyle="1" w:styleId="19">
    <w:name w:val="Revision"/>
    <w:semiHidden/>
    <w:qFormat/>
    <w:uiPriority w:val="99"/>
    <w:rPr>
      <w:rFonts w:ascii="Calibri" w:hAnsi="Calibri" w:eastAsia="仿宋_GB2312" w:cs="宋体"/>
      <w:kern w:val="2"/>
      <w:sz w:val="32"/>
      <w:szCs w:val="22"/>
      <w:lang w:val="en-US" w:eastAsia="zh-CN" w:bidi="ar-SA"/>
    </w:rPr>
  </w:style>
  <w:style w:type="paragraph" w:customStyle="1" w:styleId="20">
    <w:name w:val="Body Text1"/>
    <w:basedOn w:val="1"/>
    <w:qFormat/>
    <w:uiPriority w:val="0"/>
    <w:pPr>
      <w:spacing w:line="560" w:lineRule="exact"/>
      <w:ind w:firstLine="200" w:firstLineChars="200"/>
    </w:pPr>
    <w:rPr>
      <w:rFonts w:ascii="Calibri" w:hAnsi="Calibri" w:eastAsia="仿宋_GB2312" w:cs="宋体"/>
      <w:b/>
      <w:sz w:val="44"/>
      <w:szCs w:val="22"/>
      <w:lang w:bidi="ar-SA"/>
    </w:rPr>
  </w:style>
  <w:style w:type="paragraph" w:customStyle="1" w:styleId="21">
    <w:name w:val="179"/>
    <w:basedOn w:val="1"/>
    <w:qFormat/>
    <w:uiPriority w:val="0"/>
    <w:pPr>
      <w:spacing w:line="560" w:lineRule="exact"/>
      <w:ind w:firstLine="420" w:firstLineChars="200"/>
    </w:pPr>
    <w:rPr>
      <w:rFonts w:ascii="Calibri" w:hAnsi="Calibri" w:eastAsia="仿宋_GB2312" w:cs="宋体"/>
      <w:sz w:val="32"/>
      <w:szCs w:val="22"/>
      <w:lang w:bidi="ar-SA"/>
    </w:rPr>
  </w:style>
  <w:style w:type="paragraph" w:customStyle="1" w:styleId="22">
    <w:name w:val="Body Text First Indent1"/>
    <w:basedOn w:val="20"/>
    <w:qFormat/>
    <w:uiPriority w:val="0"/>
    <w:pPr>
      <w:ind w:firstLine="100" w:firstLineChars="100"/>
    </w:pPr>
  </w:style>
  <w:style w:type="character" w:customStyle="1" w:styleId="23">
    <w:name w:val="标题 1 Char"/>
    <w:basedOn w:val="14"/>
    <w:link w:val="2"/>
    <w:qFormat/>
    <w:uiPriority w:val="9"/>
    <w:rPr>
      <w:rFonts w:ascii="Times New Roman" w:hAnsi="Times New Roman" w:eastAsia="黑体" w:cs="Times New Roman"/>
      <w:b/>
      <w:bCs/>
      <w:kern w:val="44"/>
      <w:szCs w:val="44"/>
    </w:rPr>
  </w:style>
  <w:style w:type="character" w:customStyle="1" w:styleId="24">
    <w:name w:val="标题 2 Char"/>
    <w:basedOn w:val="14"/>
    <w:link w:val="3"/>
    <w:qFormat/>
    <w:uiPriority w:val="9"/>
    <w:rPr>
      <w:rFonts w:ascii="Calibri Light" w:hAnsi="Calibri Light" w:eastAsia="黑体" w:cs="Times New Roman"/>
      <w:b/>
      <w:bCs/>
      <w:szCs w:val="32"/>
    </w:rPr>
  </w:style>
  <w:style w:type="character" w:customStyle="1" w:styleId="25">
    <w:name w:val="批注文字 Char"/>
    <w:basedOn w:val="14"/>
    <w:link w:val="5"/>
    <w:qFormat/>
    <w:uiPriority w:val="99"/>
    <w:rPr>
      <w:rFonts w:ascii="Times New Roman" w:hAnsi="Times New Roman" w:eastAsia="宋体" w:cs="Times New Roman"/>
    </w:rPr>
  </w:style>
  <w:style w:type="character" w:customStyle="1" w:styleId="26">
    <w:name w:val="批注框文本 Char"/>
    <w:basedOn w:val="14"/>
    <w:link w:val="6"/>
    <w:qFormat/>
    <w:uiPriority w:val="99"/>
    <w:rPr>
      <w:rFonts w:ascii="Times New Roman" w:hAnsi="Times New Roman" w:eastAsia="宋体" w:cs="Times New Roman"/>
      <w:sz w:val="18"/>
      <w:szCs w:val="18"/>
    </w:rPr>
  </w:style>
  <w:style w:type="character" w:customStyle="1" w:styleId="27">
    <w:name w:val=" Char Char2"/>
    <w:basedOn w:val="14"/>
    <w:link w:val="7"/>
    <w:uiPriority w:val="0"/>
    <w:rPr>
      <w:rFonts w:ascii="仿宋_GB2312" w:hAnsi="Times New Roman" w:eastAsia="仿宋_GB2312" w:cs="Times New Roman"/>
      <w:kern w:val="2"/>
      <w:sz w:val="32"/>
      <w:szCs w:val="24"/>
      <w:lang w:bidi="ar-SA"/>
    </w:rPr>
  </w:style>
  <w:style w:type="character" w:customStyle="1" w:styleId="28">
    <w:name w:val=" Char Char"/>
    <w:basedOn w:val="14"/>
    <w:link w:val="8"/>
    <w:semiHidden/>
    <w:uiPriority w:val="99"/>
    <w:rPr>
      <w:rFonts w:ascii="Calibri" w:hAnsi="Calibri" w:eastAsia="宋体" w:cs="Mongolian Baiti"/>
      <w:kern w:val="2"/>
      <w:sz w:val="18"/>
      <w:szCs w:val="22"/>
    </w:rPr>
  </w:style>
  <w:style w:type="character" w:customStyle="1" w:styleId="29">
    <w:name w:val=" Char Char1"/>
    <w:basedOn w:val="14"/>
    <w:link w:val="9"/>
    <w:semiHidden/>
    <w:uiPriority w:val="99"/>
    <w:rPr>
      <w:rFonts w:ascii="Calibri" w:hAnsi="Calibri" w:eastAsia="宋体" w:cs="Mongolian Baiti"/>
      <w:kern w:val="2"/>
      <w:sz w:val="18"/>
      <w:szCs w:val="22"/>
    </w:rPr>
  </w:style>
  <w:style w:type="character" w:customStyle="1" w:styleId="30">
    <w:name w:val="批注主题 Char"/>
    <w:basedOn w:val="25"/>
    <w:link w:val="11"/>
    <w:qFormat/>
    <w:uiPriority w:val="99"/>
    <w:rPr>
      <w:b/>
      <w:bCs/>
    </w:rPr>
  </w:style>
  <w:style w:type="character" w:customStyle="1" w:styleId="31">
    <w:name w:val="NormalCharacter"/>
    <w:semiHidden/>
    <w:qFormat/>
    <w:uiPriority w:val="0"/>
    <w:rPr>
      <w:rFonts w:ascii="Times New Roman" w:hAnsi="Times New Roman" w:eastAsia="宋体" w:cs="Times New Roman"/>
    </w:rPr>
  </w:style>
  <w:style w:type="character" w:customStyle="1" w:styleId="32">
    <w:name w:val="页眉 Char"/>
    <w:basedOn w:val="14"/>
    <w:qFormat/>
    <w:uiPriority w:val="99"/>
    <w:rPr>
      <w:rFonts w:ascii="Times New Roman" w:hAnsi="Times New Roman" w:eastAsia="仿宋_GB2312" w:cs="Times New Roman"/>
      <w:sz w:val="18"/>
      <w:szCs w:val="18"/>
    </w:rPr>
  </w:style>
  <w:style w:type="character" w:customStyle="1" w:styleId="33">
    <w:name w:val="页脚 Char"/>
    <w:basedOn w:val="14"/>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9</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dcterms:modified xsi:type="dcterms:W3CDTF">2023-10-26T03:13:10Z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