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40" w:lineRule="exact"/>
        <w:ind w:leftChars="0" w:right="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40" w:lineRule="exact"/>
        <w:jc w:val="center"/>
        <w:textAlignment w:val="auto"/>
        <w:rPr>
          <w:rFonts w:hint="eastAsia" w:ascii="方正小标宋简体" w:hAnsi="宋体" w:eastAsia="方正小标宋简体"/>
          <w:b w:val="0"/>
          <w:bCs/>
          <w:sz w:val="44"/>
          <w:szCs w:val="44"/>
          <w:lang w:eastAsia="zh-CN"/>
        </w:rPr>
      </w:pPr>
      <w:bookmarkStart w:id="0" w:name="缓急"/>
      <w:bookmarkEnd w:id="0"/>
      <w:r>
        <w:rPr>
          <w:rFonts w:hint="eastAsia" w:ascii="黑体" w:eastAsia="黑体"/>
          <w:sz w:val="32"/>
          <w:szCs w:val="32"/>
          <w:lang w:eastAsia="zh-CN"/>
        </w:rPr>
        <w:t>　　</w:t>
      </w:r>
      <w:r>
        <w:rPr>
          <w:rFonts w:hint="eastAsia" w:ascii="方正小标宋简体" w:hAnsi="宋体" w:eastAsia="方正小标宋简体"/>
          <w:b w:val="0"/>
          <w:bCs/>
          <w:sz w:val="44"/>
          <w:szCs w:val="44"/>
          <w:lang w:eastAsia="zh-CN"/>
        </w:rPr>
        <w:t>内蒙古自治区人民政府关于</w:t>
      </w:r>
    </w:p>
    <w:p>
      <w:pPr>
        <w:keepNext w:val="0"/>
        <w:keepLines w:val="0"/>
        <w:pageBreakBefore w:val="0"/>
        <w:widowControl w:val="0"/>
        <w:kinsoku/>
        <w:wordWrap/>
        <w:overflowPunct/>
        <w:topLinePunct/>
        <w:autoSpaceDE/>
        <w:autoSpaceDN/>
        <w:bidi w:val="0"/>
        <w:adjustRightInd/>
        <w:snapToGrid/>
        <w:spacing w:line="54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禁止在内蒙古太阳沟抽水蓄能电站水库</w:t>
      </w:r>
    </w:p>
    <w:p>
      <w:pPr>
        <w:keepNext w:val="0"/>
        <w:keepLines w:val="0"/>
        <w:pageBreakBefore w:val="0"/>
        <w:widowControl w:val="0"/>
        <w:kinsoku/>
        <w:wordWrap/>
        <w:overflowPunct/>
        <w:topLinePunct/>
        <w:autoSpaceDE/>
        <w:autoSpaceDN/>
        <w:bidi w:val="0"/>
        <w:adjustRightInd/>
        <w:snapToGrid/>
        <w:spacing w:line="54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淹没区及枢纽工程建设区范围内新增</w:t>
      </w:r>
    </w:p>
    <w:p>
      <w:pPr>
        <w:keepNext w:val="0"/>
        <w:keepLines w:val="0"/>
        <w:pageBreakBefore w:val="0"/>
        <w:widowControl w:val="0"/>
        <w:kinsoku/>
        <w:wordWrap/>
        <w:overflowPunct/>
        <w:topLinePunct/>
        <w:autoSpaceDE/>
        <w:autoSpaceDN/>
        <w:bidi w:val="0"/>
        <w:adjustRightInd/>
        <w:snapToGrid/>
        <w:spacing w:line="540" w:lineRule="exact"/>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建设项目和迁入人口的通告</w:t>
      </w:r>
    </w:p>
    <w:p>
      <w:pPr>
        <w:keepNext w:val="0"/>
        <w:keepLines w:val="0"/>
        <w:pageBreakBefore w:val="0"/>
        <w:widowControl w:val="0"/>
        <w:kinsoku/>
        <w:wordWrap/>
        <w:overflowPunct/>
        <w:topLinePunct/>
        <w:autoSpaceDE/>
        <w:autoSpaceDN/>
        <w:bidi w:val="0"/>
        <w:adjustRightInd/>
        <w:snapToGrid/>
        <w:spacing w:line="540" w:lineRule="exact"/>
        <w:jc w:val="center"/>
        <w:textAlignment w:val="auto"/>
        <w:rPr>
          <w:rFonts w:hint="eastAsia" w:ascii="方正小标宋简体" w:hAnsi="宋体" w:eastAsia="方正小标宋简体"/>
          <w:b w:val="0"/>
          <w:bCs/>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ind w:leftChars="0" w:right="0"/>
        <w:jc w:val="center"/>
        <w:textAlignment w:val="auto"/>
        <w:rPr>
          <w:rFonts w:hint="eastAsia" w:ascii="方正小标宋简体" w:hAnsi="宋体" w:eastAsia="方正小标宋简体"/>
          <w:b w:val="0"/>
          <w:bCs/>
          <w:sz w:val="44"/>
          <w:szCs w:val="44"/>
          <w:lang w:eastAsia="zh-CN"/>
        </w:rPr>
      </w:pPr>
      <w:r>
        <w:rPr>
          <w:rFonts w:hint="eastAsia" w:ascii="仿宋" w:hAnsi="仿宋" w:eastAsia="仿宋" w:cs="仿宋"/>
          <w:sz w:val="32"/>
          <w:szCs w:val="32"/>
          <w:lang w:eastAsia="zh-CN"/>
        </w:rPr>
        <w:t>内政字〔2023〕11</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号</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巴彦淖尔市人民政府，自治区各有关委、办、厅、局：</w:t>
      </w:r>
    </w:p>
    <w:p>
      <w:pPr>
        <w:keepNext w:val="0"/>
        <w:keepLines w:val="0"/>
        <w:pageBreakBefore w:val="0"/>
        <w:widowControl w:val="0"/>
        <w:kinsoku/>
        <w:wordWrap/>
        <w:overflowPunct/>
        <w:topLinePunct/>
        <w:autoSpaceDE/>
        <w:autoSpaceDN/>
        <w:bidi w:val="0"/>
        <w:adjustRightInd/>
        <w:snapToGrid/>
        <w:spacing w:line="54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内蒙古</w:t>
      </w:r>
      <w:r>
        <w:rPr>
          <w:rFonts w:hint="eastAsia" w:ascii="仿宋" w:hAnsi="仿宋" w:eastAsia="仿宋" w:cs="仿宋"/>
          <w:color w:val="auto"/>
          <w:sz w:val="32"/>
          <w:szCs w:val="32"/>
          <w:lang w:eastAsia="zh-CN"/>
        </w:rPr>
        <w:t>太阳沟</w:t>
      </w:r>
      <w:r>
        <w:rPr>
          <w:rFonts w:hint="eastAsia" w:ascii="仿宋" w:hAnsi="仿宋" w:eastAsia="仿宋" w:cs="仿宋"/>
          <w:color w:val="auto"/>
          <w:sz w:val="32"/>
          <w:szCs w:val="32"/>
        </w:rPr>
        <w:t>抽水蓄能电站</w:t>
      </w:r>
      <w:r>
        <w:rPr>
          <w:rFonts w:hint="eastAsia" w:ascii="仿宋" w:hAnsi="仿宋" w:eastAsia="仿宋" w:cs="仿宋"/>
          <w:color w:val="auto"/>
          <w:sz w:val="32"/>
          <w:szCs w:val="32"/>
          <w:lang w:eastAsia="zh-CN"/>
        </w:rPr>
        <w:t>是国家能源局批复确定的“十五五”重点实施项目。</w:t>
      </w:r>
      <w:r>
        <w:rPr>
          <w:rFonts w:hint="eastAsia" w:ascii="仿宋" w:hAnsi="仿宋" w:eastAsia="仿宋" w:cs="仿宋"/>
          <w:color w:val="auto"/>
          <w:sz w:val="32"/>
          <w:szCs w:val="32"/>
        </w:rPr>
        <w:t>为确保</w:t>
      </w:r>
      <w:r>
        <w:rPr>
          <w:rFonts w:hint="eastAsia" w:ascii="仿宋" w:hAnsi="仿宋" w:eastAsia="仿宋" w:cs="仿宋"/>
          <w:color w:val="auto"/>
          <w:sz w:val="32"/>
          <w:szCs w:val="32"/>
          <w:lang w:eastAsia="zh-CN"/>
        </w:rPr>
        <w:t>该项目</w:t>
      </w:r>
      <w:r>
        <w:rPr>
          <w:rFonts w:hint="eastAsia" w:ascii="仿宋" w:hAnsi="仿宋" w:eastAsia="仿宋" w:cs="仿宋"/>
          <w:color w:val="auto"/>
          <w:sz w:val="32"/>
          <w:szCs w:val="32"/>
        </w:rPr>
        <w:t>工程建设征地和移民安置工作顺利实施，根据《大中型水利水电工程建设征地补偿和移民安置条例》（国务院令第</w:t>
      </w:r>
      <w:r>
        <w:rPr>
          <w:rFonts w:hint="eastAsia" w:ascii="仿宋" w:hAnsi="仿宋" w:eastAsia="仿宋" w:cs="仿宋"/>
          <w:color w:val="auto"/>
          <w:sz w:val="32"/>
          <w:szCs w:val="32"/>
          <w:lang w:val="en-US" w:eastAsia="zh-CN"/>
        </w:rPr>
        <w:t>679</w:t>
      </w:r>
      <w:r>
        <w:rPr>
          <w:rFonts w:hint="eastAsia" w:ascii="仿宋" w:hAnsi="仿宋" w:eastAsia="仿宋" w:cs="仿宋"/>
          <w:color w:val="auto"/>
          <w:sz w:val="32"/>
          <w:szCs w:val="32"/>
        </w:rPr>
        <w:t>号）有关规定，现将有关事项通告如下：</w:t>
      </w:r>
    </w:p>
    <w:p>
      <w:pPr>
        <w:keepNext w:val="0"/>
        <w:keepLines w:val="0"/>
        <w:pageBreakBefore w:val="0"/>
        <w:widowControl w:val="0"/>
        <w:kinsoku/>
        <w:wordWrap/>
        <w:overflowPunct/>
        <w:topLinePunct/>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一、内蒙古</w:t>
      </w:r>
      <w:r>
        <w:rPr>
          <w:rFonts w:hint="eastAsia" w:ascii="仿宋" w:hAnsi="仿宋" w:eastAsia="仿宋" w:cs="仿宋"/>
          <w:color w:val="auto"/>
          <w:sz w:val="32"/>
          <w:szCs w:val="32"/>
          <w:lang w:eastAsia="zh-CN"/>
        </w:rPr>
        <w:t>太阳沟</w:t>
      </w:r>
      <w:r>
        <w:rPr>
          <w:rFonts w:hint="eastAsia" w:ascii="仿宋" w:hAnsi="仿宋" w:eastAsia="仿宋" w:cs="仿宋"/>
          <w:color w:val="auto"/>
          <w:sz w:val="32"/>
          <w:szCs w:val="32"/>
        </w:rPr>
        <w:t>抽水蓄能电站水库淹没区及枢纽工程建设区范围：电站上水库为</w:t>
      </w:r>
      <w:r>
        <w:rPr>
          <w:rFonts w:hint="eastAsia" w:ascii="仿宋" w:hAnsi="仿宋" w:eastAsia="仿宋" w:cs="仿宋"/>
          <w:color w:val="auto"/>
          <w:sz w:val="32"/>
          <w:szCs w:val="32"/>
          <w:lang w:eastAsia="zh-CN"/>
        </w:rPr>
        <w:t>正常蓄水位</w:t>
      </w:r>
      <w:r>
        <w:rPr>
          <w:rFonts w:hint="eastAsia" w:ascii="仿宋" w:hAnsi="仿宋" w:eastAsia="仿宋" w:cs="仿宋"/>
          <w:color w:val="auto"/>
          <w:sz w:val="32"/>
          <w:szCs w:val="32"/>
          <w:lang w:val="en-US" w:eastAsia="zh-CN"/>
        </w:rPr>
        <w:t>1614</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加不同淹没对象安全超高</w:t>
      </w:r>
      <w:r>
        <w:rPr>
          <w:rFonts w:hint="eastAsia" w:ascii="仿宋" w:hAnsi="仿宋" w:eastAsia="仿宋" w:cs="仿宋"/>
          <w:color w:val="auto"/>
          <w:sz w:val="32"/>
          <w:szCs w:val="32"/>
        </w:rPr>
        <w:t>以下区域；电站下水库为</w:t>
      </w:r>
      <w:r>
        <w:rPr>
          <w:rFonts w:hint="eastAsia" w:ascii="仿宋" w:hAnsi="仿宋" w:eastAsia="仿宋" w:cs="仿宋"/>
          <w:color w:val="auto"/>
          <w:sz w:val="32"/>
          <w:szCs w:val="32"/>
          <w:lang w:eastAsia="zh-CN"/>
        </w:rPr>
        <w:t>正常蓄水位</w:t>
      </w:r>
      <w:r>
        <w:rPr>
          <w:rFonts w:hint="eastAsia" w:ascii="仿宋" w:hAnsi="仿宋" w:eastAsia="仿宋" w:cs="仿宋"/>
          <w:color w:val="auto"/>
          <w:sz w:val="32"/>
          <w:szCs w:val="32"/>
          <w:lang w:val="en-US" w:eastAsia="zh-CN"/>
        </w:rPr>
        <w:t>1205</w:t>
      </w:r>
      <w:r>
        <w:rPr>
          <w:rFonts w:hint="eastAsia" w:ascii="仿宋" w:hAnsi="仿宋" w:eastAsia="仿宋" w:cs="仿宋"/>
          <w:color w:val="auto"/>
          <w:sz w:val="32"/>
          <w:szCs w:val="32"/>
        </w:rPr>
        <w:t>米</w:t>
      </w:r>
      <w:r>
        <w:rPr>
          <w:rFonts w:hint="eastAsia" w:ascii="仿宋" w:hAnsi="仿宋" w:eastAsia="仿宋" w:cs="仿宋"/>
          <w:color w:val="auto"/>
          <w:sz w:val="32"/>
          <w:szCs w:val="32"/>
          <w:lang w:eastAsia="zh-CN"/>
        </w:rPr>
        <w:t>加不同淹没对象安全超高</w:t>
      </w:r>
      <w:r>
        <w:rPr>
          <w:rFonts w:hint="eastAsia" w:ascii="仿宋" w:hAnsi="仿宋" w:eastAsia="仿宋" w:cs="仿宋"/>
          <w:color w:val="auto"/>
          <w:sz w:val="32"/>
          <w:szCs w:val="32"/>
        </w:rPr>
        <w:t>以下区域；</w:t>
      </w:r>
      <w:r>
        <w:rPr>
          <w:rFonts w:hint="eastAsia" w:ascii="仿宋" w:hAnsi="仿宋" w:eastAsia="仿宋" w:cs="仿宋"/>
          <w:color w:val="auto"/>
          <w:sz w:val="32"/>
          <w:szCs w:val="32"/>
          <w:lang w:eastAsia="zh-CN"/>
        </w:rPr>
        <w:t>拦沙坝上游淹没区为高程</w:t>
      </w:r>
      <w:r>
        <w:rPr>
          <w:rFonts w:hint="eastAsia" w:ascii="仿宋" w:hAnsi="仿宋" w:eastAsia="仿宋" w:cs="仿宋"/>
          <w:color w:val="auto"/>
          <w:sz w:val="32"/>
          <w:szCs w:val="32"/>
          <w:lang w:val="en-US" w:eastAsia="zh-CN"/>
        </w:rPr>
        <w:t>1200米加不同淹没对象安全超高及不同淹没对象对应设计洪水回水位组成的外包线以下区域；</w:t>
      </w:r>
      <w:r>
        <w:rPr>
          <w:rFonts w:hint="eastAsia" w:ascii="仿宋" w:hAnsi="仿宋" w:eastAsia="仿宋" w:cs="仿宋"/>
          <w:color w:val="auto"/>
          <w:sz w:val="32"/>
          <w:szCs w:val="32"/>
        </w:rPr>
        <w:t>枢纽工程建设区涉及核定标明的施工红线范围，以现场定桩为准。</w:t>
      </w:r>
    </w:p>
    <w:p>
      <w:pPr>
        <w:keepNext w:val="0"/>
        <w:keepLines w:val="0"/>
        <w:pageBreakBefore w:val="0"/>
        <w:widowControl w:val="0"/>
        <w:kinsoku/>
        <w:wordWrap/>
        <w:overflowPunct/>
        <w:topLinePunct/>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二、各级</w:t>
      </w:r>
      <w:r>
        <w:rPr>
          <w:rFonts w:hint="eastAsia" w:ascii="仿宋" w:hAnsi="仿宋" w:eastAsia="仿宋" w:cs="仿宋"/>
          <w:color w:val="auto"/>
          <w:sz w:val="32"/>
          <w:szCs w:val="32"/>
          <w:lang w:eastAsia="zh-CN"/>
        </w:rPr>
        <w:t>人民</w:t>
      </w:r>
      <w:r>
        <w:rPr>
          <w:rFonts w:hint="eastAsia" w:ascii="仿宋" w:hAnsi="仿宋" w:eastAsia="仿宋" w:cs="仿宋"/>
          <w:color w:val="auto"/>
          <w:sz w:val="32"/>
          <w:szCs w:val="32"/>
        </w:rPr>
        <w:t>政府及相关部门不得在内蒙古</w:t>
      </w:r>
      <w:r>
        <w:rPr>
          <w:rFonts w:hint="eastAsia" w:ascii="仿宋" w:hAnsi="仿宋" w:eastAsia="仿宋" w:cs="仿宋"/>
          <w:color w:val="auto"/>
          <w:sz w:val="32"/>
          <w:szCs w:val="32"/>
          <w:lang w:eastAsia="zh-CN"/>
        </w:rPr>
        <w:t>太阳沟</w:t>
      </w:r>
      <w:r>
        <w:rPr>
          <w:rFonts w:hint="eastAsia" w:ascii="仿宋" w:hAnsi="仿宋" w:eastAsia="仿宋" w:cs="仿宋"/>
          <w:color w:val="auto"/>
          <w:sz w:val="32"/>
          <w:szCs w:val="32"/>
        </w:rPr>
        <w:t>抽水蓄能电站水库淹没区及枢纽工程建设区范围内批建各种基础设施（包括</w:t>
      </w:r>
      <w:r>
        <w:rPr>
          <w:rFonts w:hint="eastAsia" w:ascii="仿宋" w:hAnsi="仿宋" w:eastAsia="仿宋" w:cs="仿宋"/>
          <w:color w:val="auto"/>
          <w:sz w:val="32"/>
          <w:szCs w:val="32"/>
          <w:lang w:eastAsia="zh-CN"/>
        </w:rPr>
        <w:t>苏木</w:t>
      </w:r>
      <w:r>
        <w:rPr>
          <w:rFonts w:hint="eastAsia" w:ascii="仿宋" w:hAnsi="仿宋" w:eastAsia="仿宋" w:cs="仿宋"/>
          <w:color w:val="auto"/>
          <w:sz w:val="32"/>
          <w:szCs w:val="32"/>
        </w:rPr>
        <w:t>乡镇企业和民用住宅）。</w:t>
      </w:r>
      <w:bookmarkStart w:id="3" w:name="_GoBack"/>
      <w:bookmarkEnd w:id="3"/>
    </w:p>
    <w:p>
      <w:pPr>
        <w:keepNext w:val="0"/>
        <w:keepLines w:val="0"/>
        <w:pageBreakBefore w:val="0"/>
        <w:widowControl w:val="0"/>
        <w:kinsoku/>
        <w:wordWrap/>
        <w:overflowPunct/>
        <w:topLinePunct/>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三、任何单位和个人不得在内蒙古</w:t>
      </w:r>
      <w:r>
        <w:rPr>
          <w:rFonts w:hint="eastAsia" w:ascii="仿宋" w:hAnsi="仿宋" w:eastAsia="仿宋" w:cs="仿宋"/>
          <w:color w:val="auto"/>
          <w:sz w:val="32"/>
          <w:szCs w:val="32"/>
          <w:lang w:eastAsia="zh-CN"/>
        </w:rPr>
        <w:t>太阳沟</w:t>
      </w:r>
      <w:r>
        <w:rPr>
          <w:rFonts w:hint="eastAsia" w:ascii="仿宋" w:hAnsi="仿宋" w:eastAsia="仿宋" w:cs="仿宋"/>
          <w:color w:val="auto"/>
          <w:sz w:val="32"/>
          <w:szCs w:val="32"/>
        </w:rPr>
        <w:t>抽水蓄能电站水库淹没区</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枢纽工程建设区范围内新建、扩建和改建项目，不得修建房屋及其他设施，不得改变原地类、地貌，不得</w:t>
      </w:r>
      <w:r>
        <w:rPr>
          <w:rFonts w:hint="eastAsia" w:ascii="仿宋" w:hAnsi="仿宋" w:eastAsia="仿宋" w:cs="仿宋"/>
          <w:color w:val="auto"/>
          <w:sz w:val="32"/>
          <w:szCs w:val="32"/>
          <w:lang w:eastAsia="zh-CN"/>
        </w:rPr>
        <w:t>开展</w:t>
      </w:r>
      <w:r>
        <w:rPr>
          <w:rFonts w:hint="eastAsia" w:ascii="仿宋" w:hAnsi="仿宋" w:eastAsia="仿宋" w:cs="仿宋"/>
          <w:color w:val="auto"/>
          <w:sz w:val="32"/>
          <w:szCs w:val="32"/>
        </w:rPr>
        <w:t>抢开耕地、园地</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抢栽各种多年生经济作物和树木等改变土地用途和影响工程建设的活动。</w:t>
      </w:r>
    </w:p>
    <w:p>
      <w:pPr>
        <w:keepNext w:val="0"/>
        <w:keepLines w:val="0"/>
        <w:pageBreakBefore w:val="0"/>
        <w:widowControl w:val="0"/>
        <w:numPr>
          <w:ilvl w:val="0"/>
          <w:numId w:val="1"/>
        </w:numPr>
        <w:kinsoku/>
        <w:wordWrap/>
        <w:overflowPunct/>
        <w:topLinePunct/>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加强对内蒙古</w:t>
      </w:r>
      <w:r>
        <w:rPr>
          <w:rFonts w:hint="eastAsia" w:ascii="仿宋" w:hAnsi="仿宋" w:eastAsia="仿宋" w:cs="仿宋"/>
          <w:color w:val="auto"/>
          <w:sz w:val="32"/>
          <w:szCs w:val="32"/>
          <w:lang w:eastAsia="zh-CN"/>
        </w:rPr>
        <w:t>太阳沟</w:t>
      </w:r>
      <w:r>
        <w:rPr>
          <w:rFonts w:hint="eastAsia" w:ascii="仿宋" w:hAnsi="仿宋" w:eastAsia="仿宋" w:cs="仿宋"/>
          <w:color w:val="auto"/>
          <w:sz w:val="32"/>
          <w:szCs w:val="32"/>
        </w:rPr>
        <w:t>抽水蓄能电站水库淹没区及枢纽工程建设区范围内的户籍管理，严格控制建设范围内的人口迁入。除出生、婚嫁、军人转业退伍、大中专毕业生、服刑期满释放人员等回籍人员外，各级</w:t>
      </w:r>
      <w:r>
        <w:rPr>
          <w:rFonts w:hint="eastAsia" w:ascii="仿宋" w:hAnsi="仿宋" w:eastAsia="仿宋" w:cs="仿宋"/>
          <w:color w:val="auto"/>
          <w:sz w:val="32"/>
          <w:szCs w:val="32"/>
          <w:lang w:eastAsia="zh-CN"/>
        </w:rPr>
        <w:t>人民</w:t>
      </w:r>
      <w:r>
        <w:rPr>
          <w:rFonts w:hint="eastAsia" w:ascii="仿宋" w:hAnsi="仿宋" w:eastAsia="仿宋" w:cs="仿宋"/>
          <w:color w:val="auto"/>
          <w:sz w:val="32"/>
          <w:szCs w:val="32"/>
        </w:rPr>
        <w:t>政府和相关部门不得办理各类人口的迁入手续。</w:t>
      </w:r>
    </w:p>
    <w:p>
      <w:pPr>
        <w:keepNext w:val="0"/>
        <w:keepLines w:val="0"/>
        <w:pageBreakBefore w:val="0"/>
        <w:widowControl w:val="0"/>
        <w:kinsoku/>
        <w:wordWrap/>
        <w:overflowPunct/>
        <w:topLinePunct/>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五、对借工程征地搬迁之机煽动群众闹事，给征地搬迁工作制造障碍，阻碍工程建设等违法行为，由公安机关按照《中华人民共和国治安管理处罚法》的规定给予治安管理处罚。构成犯罪的，依法追究刑事责任。</w:t>
      </w:r>
    </w:p>
    <w:p>
      <w:pPr>
        <w:keepNext w:val="0"/>
        <w:keepLines w:val="0"/>
        <w:pageBreakBefore w:val="0"/>
        <w:widowControl w:val="0"/>
        <w:kinsoku/>
        <w:wordWrap/>
        <w:overflowPunct/>
        <w:topLinePunct/>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本通告自发布之日起施行。</w:t>
      </w:r>
    </w:p>
    <w:p>
      <w:pPr>
        <w:keepNext w:val="0"/>
        <w:keepLines w:val="0"/>
        <w:pageBreakBefore w:val="0"/>
        <w:widowControl w:val="0"/>
        <w:kinsoku/>
        <w:wordWrap/>
        <w:overflowPunct/>
        <w:topLinePunct/>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w:t>
      </w:r>
    </w:p>
    <w:p>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（此件公开发布）</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eastAsia="仿宋_GB2312"/>
          <w:sz w:val="28"/>
          <w:szCs w:val="28"/>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lang w:eastAsia="zh-CN"/>
        </w:rPr>
      </w:pPr>
      <w:r>
        <w:rPr>
          <w:rFonts w:hint="eastAsia" w:ascii="仿宋_GB2312" w:eastAsia="仿宋_GB2312"/>
          <w:sz w:val="28"/>
          <w:szCs w:val="28"/>
        </w:rPr>
        <w:t>抄送：自治区党委</w:t>
      </w:r>
      <w:r>
        <w:rPr>
          <w:rFonts w:hint="eastAsia" w:ascii="仿宋_GB2312" w:eastAsia="仿宋_GB2312"/>
          <w:sz w:val="28"/>
          <w:szCs w:val="28"/>
          <w:lang w:eastAsia="zh-CN"/>
        </w:rPr>
        <w:t>各有关部门。</w:t>
      </w:r>
    </w:p>
    <w:p>
      <w:pPr>
        <w:spacing w:line="400" w:lineRule="exact"/>
        <w:ind w:firstLine="1120" w:firstLineChars="400"/>
        <w:rPr>
          <w:rFonts w:ascii="仿宋_GB2312" w:eastAsia="仿宋_GB2312"/>
          <w:sz w:val="32"/>
          <w:szCs w:val="32"/>
        </w:rPr>
      </w:pPr>
      <w:r>
        <w:rPr>
          <w:rFonts w:hint="eastAsia" w:ascii="仿宋_GB2312" w:eastAsia="仿宋_GB2312"/>
          <w:sz w:val="28"/>
          <w:szCs w:val="28"/>
          <w:lang w:eastAsia="zh-CN"/>
        </w:rPr>
        <w:t>自治区</w:t>
      </w:r>
      <w:r>
        <w:rPr>
          <w:rFonts w:hint="eastAsia" w:ascii="仿宋_GB2312" w:eastAsia="仿宋_GB2312"/>
          <w:sz w:val="28"/>
          <w:szCs w:val="28"/>
        </w:rPr>
        <w:t>人大常委会办公厅、政协办公厅</w:t>
      </w:r>
      <w:r>
        <w:rPr>
          <w:rFonts w:hint="eastAsia" w:ascii="仿宋_GB2312" w:eastAsia="仿宋_GB2312"/>
          <w:sz w:val="28"/>
          <w:szCs w:val="28"/>
          <w:lang w:eastAsia="zh-CN"/>
        </w:rPr>
        <w:t>，高级人民法院，检察院。</w:t>
      </w:r>
    </w:p>
    <w:p>
      <w:pPr>
        <w:wordWrap w:val="0"/>
        <w:jc w:val="right"/>
        <w:rPr>
          <w:rFonts w:hint="eastAsia"/>
        </w:rPr>
      </w:pPr>
      <w:bookmarkStart w:id="1" w:name="印章"/>
      <w:bookmarkEnd w:id="1"/>
      <w:r>
        <w:rPr>
          <w:rFonts w:hint="eastAsia"/>
          <w:lang/>
        </w:rPr>
        <mc:AlternateContent>
          <mc:Choice Requires="wps">
            <w:drawing>
              <wp:anchor distT="0" distB="0" distL="114300" distR="114300" simplePos="0" relativeHeight="251659264"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447675"/>
                                  <wp:effectExtent l="0" t="0" r="13335" b="9525"/>
                                  <wp:docPr id="2" name="图片 3" descr="20230818093418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0818093418_7056"/>
                                          <pic:cNvPicPr>
                                            <a:picLocks noChangeAspect="1"/>
                                          </pic:cNvPicPr>
                                        </pic:nvPicPr>
                                        <pic:blipFill>
                                          <a:blip r:embed="rId6"/>
                                          <a:stretch>
                                            <a:fillRect/>
                                          </a:stretch>
                                        </pic:blipFill>
                                        <pic:spPr>
                                          <a:xfrm>
                                            <a:off x="0" y="0"/>
                                            <a:ext cx="1758315" cy="44767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9264;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qbwF2wAAAA0BAAAPAAAA&#10;AAAAAAEAIAAAACIAAABkcnMvZG93bnJldi54bWxQSwECFAAUAAAACACHTuJAasOYANkBAADBAwAA&#10;DgAAAAAAAAABACAAAAAqAQAAZHJzL2Uyb0RvYy54bWxQSwUGAAAAAAYABgBZAQAAdQ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58315" cy="447675"/>
                            <wp:effectExtent l="0" t="0" r="13335" b="9525"/>
                            <wp:docPr id="2" name="图片 3" descr="20230818093418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230818093418_7056"/>
                                    <pic:cNvPicPr>
                                      <a:picLocks noChangeAspect="1"/>
                                    </pic:cNvPicPr>
                                  </pic:nvPicPr>
                                  <pic:blipFill>
                                    <a:blip r:embed="rId6"/>
                                    <a:stretch>
                                      <a:fillRect/>
                                    </a:stretch>
                                  </pic:blipFill>
                                  <pic:spPr>
                                    <a:xfrm>
                                      <a:off x="0" y="0"/>
                                      <a:ext cx="1758315" cy="447675"/>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8BC52"/>
    <w:multiLevelType w:val="singleLevel"/>
    <w:tmpl w:val="60C8BC52"/>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lZjk5NDFjN2E0NTZiZDgzNTc3NmI3N2IyMjUxOTYifQ=="/>
  </w:docVars>
  <w:rsids>
    <w:rsidRoot w:val="000D14CA"/>
    <w:rsid w:val="00000DA3"/>
    <w:rsid w:val="00057363"/>
    <w:rsid w:val="000649E1"/>
    <w:rsid w:val="0008038C"/>
    <w:rsid w:val="000D14CA"/>
    <w:rsid w:val="000D2C1E"/>
    <w:rsid w:val="000F6A27"/>
    <w:rsid w:val="000F7DFD"/>
    <w:rsid w:val="00172FC3"/>
    <w:rsid w:val="00187559"/>
    <w:rsid w:val="001A4789"/>
    <w:rsid w:val="001B7709"/>
    <w:rsid w:val="00221716"/>
    <w:rsid w:val="002970B9"/>
    <w:rsid w:val="002B29B9"/>
    <w:rsid w:val="00302982"/>
    <w:rsid w:val="00307579"/>
    <w:rsid w:val="00323128"/>
    <w:rsid w:val="00337358"/>
    <w:rsid w:val="00340367"/>
    <w:rsid w:val="00351DB4"/>
    <w:rsid w:val="0039177C"/>
    <w:rsid w:val="00396618"/>
    <w:rsid w:val="00416A0B"/>
    <w:rsid w:val="0044339D"/>
    <w:rsid w:val="00444154"/>
    <w:rsid w:val="00452C53"/>
    <w:rsid w:val="00455973"/>
    <w:rsid w:val="00483E09"/>
    <w:rsid w:val="004A5BD5"/>
    <w:rsid w:val="004B2561"/>
    <w:rsid w:val="004E31DF"/>
    <w:rsid w:val="00527E88"/>
    <w:rsid w:val="0053777E"/>
    <w:rsid w:val="00555E12"/>
    <w:rsid w:val="005C7397"/>
    <w:rsid w:val="006013A0"/>
    <w:rsid w:val="006048D6"/>
    <w:rsid w:val="006359AF"/>
    <w:rsid w:val="006A2C65"/>
    <w:rsid w:val="006C633F"/>
    <w:rsid w:val="006C713C"/>
    <w:rsid w:val="006D5AE0"/>
    <w:rsid w:val="006E7B9B"/>
    <w:rsid w:val="00713000"/>
    <w:rsid w:val="00715454"/>
    <w:rsid w:val="007330E7"/>
    <w:rsid w:val="00742690"/>
    <w:rsid w:val="007512D9"/>
    <w:rsid w:val="00755D27"/>
    <w:rsid w:val="00773C5D"/>
    <w:rsid w:val="0077781A"/>
    <w:rsid w:val="007C6807"/>
    <w:rsid w:val="00806E28"/>
    <w:rsid w:val="008134FC"/>
    <w:rsid w:val="008153DF"/>
    <w:rsid w:val="00825CE1"/>
    <w:rsid w:val="008321A8"/>
    <w:rsid w:val="008408A0"/>
    <w:rsid w:val="00896DF6"/>
    <w:rsid w:val="008D075D"/>
    <w:rsid w:val="008E482C"/>
    <w:rsid w:val="00926885"/>
    <w:rsid w:val="009606EB"/>
    <w:rsid w:val="009721B9"/>
    <w:rsid w:val="009B08A3"/>
    <w:rsid w:val="00A53147"/>
    <w:rsid w:val="00AA4AED"/>
    <w:rsid w:val="00AC3BB4"/>
    <w:rsid w:val="00B32830"/>
    <w:rsid w:val="00B33ED2"/>
    <w:rsid w:val="00B52F22"/>
    <w:rsid w:val="00B558E6"/>
    <w:rsid w:val="00B8542C"/>
    <w:rsid w:val="00B95CA8"/>
    <w:rsid w:val="00BB7C22"/>
    <w:rsid w:val="00C16941"/>
    <w:rsid w:val="00C809B3"/>
    <w:rsid w:val="00CA468C"/>
    <w:rsid w:val="00CC1415"/>
    <w:rsid w:val="00CC7C4A"/>
    <w:rsid w:val="00CF3722"/>
    <w:rsid w:val="00D3579F"/>
    <w:rsid w:val="00D45C81"/>
    <w:rsid w:val="00D672BC"/>
    <w:rsid w:val="00D83EF6"/>
    <w:rsid w:val="00D93C94"/>
    <w:rsid w:val="00D95E50"/>
    <w:rsid w:val="00DB1EEF"/>
    <w:rsid w:val="00DD4FCD"/>
    <w:rsid w:val="00DD700A"/>
    <w:rsid w:val="00DF62D9"/>
    <w:rsid w:val="00E751C2"/>
    <w:rsid w:val="00F16D0D"/>
    <w:rsid w:val="00F51616"/>
    <w:rsid w:val="00F651C3"/>
    <w:rsid w:val="00F71128"/>
    <w:rsid w:val="00F84924"/>
    <w:rsid w:val="00F94438"/>
    <w:rsid w:val="00FB760A"/>
    <w:rsid w:val="00FE2B87"/>
    <w:rsid w:val="01715CEB"/>
    <w:rsid w:val="020A5573"/>
    <w:rsid w:val="027163F5"/>
    <w:rsid w:val="02EF2149"/>
    <w:rsid w:val="03130023"/>
    <w:rsid w:val="031A556A"/>
    <w:rsid w:val="06DC3C4A"/>
    <w:rsid w:val="07DB7F7C"/>
    <w:rsid w:val="0A7A38C3"/>
    <w:rsid w:val="0AE879CD"/>
    <w:rsid w:val="0C9D102A"/>
    <w:rsid w:val="0F380010"/>
    <w:rsid w:val="0F8F3712"/>
    <w:rsid w:val="10A62BEA"/>
    <w:rsid w:val="11A9203E"/>
    <w:rsid w:val="12026270"/>
    <w:rsid w:val="14865026"/>
    <w:rsid w:val="17FB24AC"/>
    <w:rsid w:val="180C2802"/>
    <w:rsid w:val="1B7FBAD1"/>
    <w:rsid w:val="1BA7556B"/>
    <w:rsid w:val="1C07AAD5"/>
    <w:rsid w:val="1C1C4D73"/>
    <w:rsid w:val="1DBF218C"/>
    <w:rsid w:val="1E785972"/>
    <w:rsid w:val="1F0F06E9"/>
    <w:rsid w:val="1F6C47FF"/>
    <w:rsid w:val="1F9524EB"/>
    <w:rsid w:val="20B5562B"/>
    <w:rsid w:val="217D23BA"/>
    <w:rsid w:val="232734C6"/>
    <w:rsid w:val="25E33C69"/>
    <w:rsid w:val="26154A57"/>
    <w:rsid w:val="27054714"/>
    <w:rsid w:val="27355263"/>
    <w:rsid w:val="27B7431E"/>
    <w:rsid w:val="27E04077"/>
    <w:rsid w:val="29255FCE"/>
    <w:rsid w:val="29340AB0"/>
    <w:rsid w:val="29A62830"/>
    <w:rsid w:val="2A3A0933"/>
    <w:rsid w:val="2AF61794"/>
    <w:rsid w:val="2B670B03"/>
    <w:rsid w:val="2BBC4266"/>
    <w:rsid w:val="2BFF276F"/>
    <w:rsid w:val="2D73499D"/>
    <w:rsid w:val="2DB93375"/>
    <w:rsid w:val="30CD6C9E"/>
    <w:rsid w:val="317B493D"/>
    <w:rsid w:val="326822C2"/>
    <w:rsid w:val="32E45028"/>
    <w:rsid w:val="32FDDD29"/>
    <w:rsid w:val="351D2CFA"/>
    <w:rsid w:val="36DFFDE4"/>
    <w:rsid w:val="36FB4FDB"/>
    <w:rsid w:val="37AC06D2"/>
    <w:rsid w:val="399A1F27"/>
    <w:rsid w:val="39C84E9E"/>
    <w:rsid w:val="3AF834CA"/>
    <w:rsid w:val="3B0C717F"/>
    <w:rsid w:val="3B6DD309"/>
    <w:rsid w:val="3B77D487"/>
    <w:rsid w:val="3BB75E87"/>
    <w:rsid w:val="3BFB8162"/>
    <w:rsid w:val="3C6B6EA5"/>
    <w:rsid w:val="3D37C94E"/>
    <w:rsid w:val="3DB93D7E"/>
    <w:rsid w:val="3E325AF2"/>
    <w:rsid w:val="3E8003A9"/>
    <w:rsid w:val="3EDB060A"/>
    <w:rsid w:val="3FD7FD02"/>
    <w:rsid w:val="3FDF9A1A"/>
    <w:rsid w:val="3FF379C1"/>
    <w:rsid w:val="3FFE534A"/>
    <w:rsid w:val="3FFF8FFA"/>
    <w:rsid w:val="401D72F5"/>
    <w:rsid w:val="40C3305E"/>
    <w:rsid w:val="40F353F4"/>
    <w:rsid w:val="41386A17"/>
    <w:rsid w:val="42B61283"/>
    <w:rsid w:val="43ED3083"/>
    <w:rsid w:val="455967A9"/>
    <w:rsid w:val="455F3977"/>
    <w:rsid w:val="478C3379"/>
    <w:rsid w:val="4814620B"/>
    <w:rsid w:val="487A4700"/>
    <w:rsid w:val="488D2F75"/>
    <w:rsid w:val="4CAC4573"/>
    <w:rsid w:val="4CB35C8A"/>
    <w:rsid w:val="4EBF53C6"/>
    <w:rsid w:val="4F923020"/>
    <w:rsid w:val="4FD33F1F"/>
    <w:rsid w:val="4FD817BC"/>
    <w:rsid w:val="4FDFDF68"/>
    <w:rsid w:val="500B2151"/>
    <w:rsid w:val="50591497"/>
    <w:rsid w:val="513B7C42"/>
    <w:rsid w:val="51942682"/>
    <w:rsid w:val="5232472D"/>
    <w:rsid w:val="54020F64"/>
    <w:rsid w:val="556E4ED2"/>
    <w:rsid w:val="56AFE1AF"/>
    <w:rsid w:val="57351534"/>
    <w:rsid w:val="579144D5"/>
    <w:rsid w:val="57EB50F1"/>
    <w:rsid w:val="57FB43FA"/>
    <w:rsid w:val="581234E4"/>
    <w:rsid w:val="5A9E268E"/>
    <w:rsid w:val="5ABF37D8"/>
    <w:rsid w:val="5BA5123A"/>
    <w:rsid w:val="5BD78023"/>
    <w:rsid w:val="5D182B8A"/>
    <w:rsid w:val="5D235228"/>
    <w:rsid w:val="5DAF9221"/>
    <w:rsid w:val="5DD7B702"/>
    <w:rsid w:val="5DFB9EE6"/>
    <w:rsid w:val="5E9241CC"/>
    <w:rsid w:val="5EBE6860"/>
    <w:rsid w:val="5F2401F0"/>
    <w:rsid w:val="5F5D1A96"/>
    <w:rsid w:val="5F9A346A"/>
    <w:rsid w:val="5FAE2C9E"/>
    <w:rsid w:val="5FC47C57"/>
    <w:rsid w:val="6188231B"/>
    <w:rsid w:val="648D579B"/>
    <w:rsid w:val="650E2E84"/>
    <w:rsid w:val="651313E3"/>
    <w:rsid w:val="66FB2CDC"/>
    <w:rsid w:val="671D4AA2"/>
    <w:rsid w:val="67BEE617"/>
    <w:rsid w:val="67C742AE"/>
    <w:rsid w:val="68C13D1E"/>
    <w:rsid w:val="69957DEC"/>
    <w:rsid w:val="69AA7AA3"/>
    <w:rsid w:val="6A9F15F7"/>
    <w:rsid w:val="6ADE316A"/>
    <w:rsid w:val="6C564AE8"/>
    <w:rsid w:val="6D664C1E"/>
    <w:rsid w:val="6DBF0EF9"/>
    <w:rsid w:val="6DF72075"/>
    <w:rsid w:val="6EBFD83D"/>
    <w:rsid w:val="6F5D0EF2"/>
    <w:rsid w:val="6FE7ABFD"/>
    <w:rsid w:val="6FED0BAE"/>
    <w:rsid w:val="6FEF3637"/>
    <w:rsid w:val="731829DE"/>
    <w:rsid w:val="74022FCB"/>
    <w:rsid w:val="74687FD7"/>
    <w:rsid w:val="74B3A801"/>
    <w:rsid w:val="75F760E1"/>
    <w:rsid w:val="76240541"/>
    <w:rsid w:val="769FC245"/>
    <w:rsid w:val="76B590E6"/>
    <w:rsid w:val="76EFDD9A"/>
    <w:rsid w:val="772F6D2F"/>
    <w:rsid w:val="777B0AE7"/>
    <w:rsid w:val="77AF76B2"/>
    <w:rsid w:val="77B73398"/>
    <w:rsid w:val="77BDFF88"/>
    <w:rsid w:val="77D7C2A3"/>
    <w:rsid w:val="77E6EBEC"/>
    <w:rsid w:val="77FC3EAF"/>
    <w:rsid w:val="7832665B"/>
    <w:rsid w:val="7A0176CA"/>
    <w:rsid w:val="7A6569F3"/>
    <w:rsid w:val="7AEF2B2D"/>
    <w:rsid w:val="7AFB5E03"/>
    <w:rsid w:val="7AFF0E82"/>
    <w:rsid w:val="7B1D4A67"/>
    <w:rsid w:val="7B7F3D4F"/>
    <w:rsid w:val="7BEDC6A5"/>
    <w:rsid w:val="7BEF50C8"/>
    <w:rsid w:val="7BF97BE2"/>
    <w:rsid w:val="7BFBDD0F"/>
    <w:rsid w:val="7BFDE679"/>
    <w:rsid w:val="7C7734A3"/>
    <w:rsid w:val="7D1850A2"/>
    <w:rsid w:val="7D18DD16"/>
    <w:rsid w:val="7D5EC056"/>
    <w:rsid w:val="7D702125"/>
    <w:rsid w:val="7D705487"/>
    <w:rsid w:val="7D7FD9A3"/>
    <w:rsid w:val="7DA83E82"/>
    <w:rsid w:val="7DD59260"/>
    <w:rsid w:val="7DDB0693"/>
    <w:rsid w:val="7DFFDB0D"/>
    <w:rsid w:val="7E753129"/>
    <w:rsid w:val="7E7F14CE"/>
    <w:rsid w:val="7E9F26EE"/>
    <w:rsid w:val="7EAF2BBA"/>
    <w:rsid w:val="7EEBD89D"/>
    <w:rsid w:val="7EF722B3"/>
    <w:rsid w:val="7EF7A4F8"/>
    <w:rsid w:val="7F7ECDE9"/>
    <w:rsid w:val="7F7FFE6F"/>
    <w:rsid w:val="7F9F0EAB"/>
    <w:rsid w:val="7F9F3BCD"/>
    <w:rsid w:val="7FBF26E9"/>
    <w:rsid w:val="7FEF7668"/>
    <w:rsid w:val="7FFB9355"/>
    <w:rsid w:val="7FFC36AF"/>
    <w:rsid w:val="7FFEC951"/>
    <w:rsid w:val="7FFF5F7A"/>
    <w:rsid w:val="87DEFE85"/>
    <w:rsid w:val="97CD1928"/>
    <w:rsid w:val="9A577BAB"/>
    <w:rsid w:val="9EFDCA4E"/>
    <w:rsid w:val="A9E754A8"/>
    <w:rsid w:val="AFC9231A"/>
    <w:rsid w:val="B7A51579"/>
    <w:rsid w:val="BCFF6264"/>
    <w:rsid w:val="BF3AE65C"/>
    <w:rsid w:val="C9F8E81C"/>
    <w:rsid w:val="CE7FD11B"/>
    <w:rsid w:val="CEF8BDAF"/>
    <w:rsid w:val="D59F3FCB"/>
    <w:rsid w:val="D7EB0428"/>
    <w:rsid w:val="DADFBFA1"/>
    <w:rsid w:val="DBF74377"/>
    <w:rsid w:val="DDFF8B54"/>
    <w:rsid w:val="DEFF2CCD"/>
    <w:rsid w:val="DF0B1CE2"/>
    <w:rsid w:val="DF276833"/>
    <w:rsid w:val="DF3DE6E6"/>
    <w:rsid w:val="DF7F4891"/>
    <w:rsid w:val="DFC58F2A"/>
    <w:rsid w:val="DFFACF12"/>
    <w:rsid w:val="DFFE8125"/>
    <w:rsid w:val="DFFE85BF"/>
    <w:rsid w:val="E79C2AE9"/>
    <w:rsid w:val="EF7ECFFE"/>
    <w:rsid w:val="F1EF0FA6"/>
    <w:rsid w:val="F29F13D9"/>
    <w:rsid w:val="F2DF10D2"/>
    <w:rsid w:val="F2EFC2F8"/>
    <w:rsid w:val="F3B6865C"/>
    <w:rsid w:val="F3F4F2F2"/>
    <w:rsid w:val="F4EEFC7F"/>
    <w:rsid w:val="F5BB2638"/>
    <w:rsid w:val="F67F5479"/>
    <w:rsid w:val="F6FC8A98"/>
    <w:rsid w:val="F7EEC107"/>
    <w:rsid w:val="F7F749A3"/>
    <w:rsid w:val="F7FFC96E"/>
    <w:rsid w:val="F7FFCE8D"/>
    <w:rsid w:val="F91AC634"/>
    <w:rsid w:val="F9EAF3E5"/>
    <w:rsid w:val="FA7EE8C4"/>
    <w:rsid w:val="FAE8023F"/>
    <w:rsid w:val="FAEF105A"/>
    <w:rsid w:val="FAFBCFE8"/>
    <w:rsid w:val="FAFDF7B6"/>
    <w:rsid w:val="FBD6701D"/>
    <w:rsid w:val="FBEF5783"/>
    <w:rsid w:val="FC7768E0"/>
    <w:rsid w:val="FCFD3607"/>
    <w:rsid w:val="FD0B7157"/>
    <w:rsid w:val="FDBFE73A"/>
    <w:rsid w:val="FDFADE60"/>
    <w:rsid w:val="FDFFFB3C"/>
    <w:rsid w:val="FE3F443B"/>
    <w:rsid w:val="FE7FA692"/>
    <w:rsid w:val="FEBFCC54"/>
    <w:rsid w:val="FEF2DCE3"/>
    <w:rsid w:val="FEFF8B3B"/>
    <w:rsid w:val="FEFFE1AC"/>
    <w:rsid w:val="FF3B88E7"/>
    <w:rsid w:val="FF4F1334"/>
    <w:rsid w:val="FF5DEEAE"/>
    <w:rsid w:val="FF73522B"/>
    <w:rsid w:val="FFBD3224"/>
    <w:rsid w:val="FFE5EF61"/>
    <w:rsid w:val="FFE63AF2"/>
    <w:rsid w:val="FFEEC18C"/>
    <w:rsid w:val="FFF612E2"/>
    <w:rsid w:val="FFF95C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uiPriority w:val="0"/>
    <w:pPr>
      <w:spacing w:after="120"/>
    </w:pPr>
    <w:rPr>
      <w:rFonts w:ascii="Times New Roman" w:hAnsi="Times New Roman" w:eastAsia="宋体" w:cs="Times New Roman"/>
      <w:szCs w:val="22"/>
    </w:rPr>
  </w:style>
  <w:style w:type="paragraph" w:styleId="3">
    <w:name w:val="Balloon Text"/>
    <w:basedOn w:val="1"/>
    <w:semiHidden/>
    <w:uiPriority w:val="0"/>
    <w:rPr>
      <w:rFonts w:ascii="Times New Roman" w:hAnsi="Times New Roman" w:eastAsia="宋体" w:cs="Times New Roman"/>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styleId="10">
    <w:name w:val="Emphasis"/>
    <w:basedOn w:val="8"/>
    <w:uiPriority w:val="0"/>
    <w:rPr>
      <w:rFonts w:ascii="Times New Roman" w:hAnsi="Times New Roman" w:eastAsia="宋体" w:cs="Times New Roman"/>
      <w:i/>
    </w:rPr>
  </w:style>
  <w:style w:type="character" w:customStyle="1" w:styleId="11">
    <w:name w:val=" Char Char"/>
    <w:link w:val="4"/>
    <w:uiPriority w:val="0"/>
    <w:rPr>
      <w:rFonts w:ascii="Calibri" w:hAnsi="Calibri" w:eastAsia="宋体" w:cs="Times New Roman"/>
      <w:sz w:val="18"/>
    </w:rPr>
  </w:style>
  <w:style w:type="character" w:customStyle="1" w:styleId="12">
    <w:name w:val=" Char Char1"/>
    <w:link w:val="5"/>
    <w:uiPriority w:val="0"/>
    <w:rPr>
      <w:rFonts w:ascii="Calibri" w:hAnsi="Calibri" w:eastAsia="宋体" w:cs="Times New Roman"/>
      <w:sz w:val="18"/>
    </w:rPr>
  </w:style>
  <w:style w:type="character" w:customStyle="1" w:styleId="13">
    <w:name w:val="页脚 Char"/>
    <w:uiPriority w:val="99"/>
    <w:rPr>
      <w:rFonts w:ascii="Calibri" w:hAnsi="Calibri" w:eastAsia="宋体" w:cs="Times New Roman"/>
      <w:kern w:val="2"/>
      <w:sz w:val="18"/>
      <w:szCs w:val="18"/>
    </w:rPr>
  </w:style>
  <w:style w:type="character" w:customStyle="1" w:styleId="14">
    <w:name w:val="页眉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3</Pages>
  <Words>828</Words>
  <Characters>848</Characters>
  <Lines>1</Lines>
  <Paragraphs>1</Paragraphs>
  <TotalTime>1</TotalTime>
  <ScaleCrop>false</ScaleCrop>
  <LinksUpToDate>false</LinksUpToDate>
  <CharactersWithSpaces>878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2012-09-19T13:52:00Z</dcterms:created>
  <dc:creator>王蕾:打印</dc:creator>
  <cp:lastModifiedBy>ZWGK</cp:lastModifiedBy>
  <cp:lastPrinted>2023-08-18T10:50:26Z</cp:lastPrinted>
  <dcterms:modified xsi:type="dcterms:W3CDTF">2023-08-18T10:17:10Z</dcterms:modified>
  <dc:title>_x0001_</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5D1D45CC683C4957A04062F597F43FF8</vt:lpwstr>
  </property>
</Properties>
</file>