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val="0"/>
        <w:snapToGrid w:val="0"/>
        <w:spacing w:line="360" w:lineRule="exact"/>
        <w:ind w:firstLine="160" w:firstLineChars="50"/>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val="0"/>
        <w:snapToGrid w:val="0"/>
        <w:spacing w:line="36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lang w:eastAsia="zh-CN"/>
        </w:rPr>
      </w:pPr>
      <w:bookmarkStart w:id="0" w:name="标题"/>
      <w:bookmarkEnd w:id="0"/>
      <w:r>
        <w:rPr>
          <w:rFonts w:hint="eastAsia" w:ascii="方正小标宋_GBK" w:hAnsi="方正小标宋_GBK" w:eastAsia="方正小标宋_GBK" w:cs="方正小标宋_GBK"/>
          <w:sz w:val="44"/>
          <w:szCs w:val="44"/>
          <w:lang w:eastAsia="zh-CN"/>
        </w:rPr>
        <w:t>内蒙古自治区人民政府办公厅关于</w:t>
      </w:r>
    </w:p>
    <w:p>
      <w:pPr>
        <w:keepNext w:val="0"/>
        <w:keepLines w:val="0"/>
        <w:pageBreakBefore w:val="0"/>
        <w:widowControl w:val="0"/>
        <w:kinsoku/>
        <w:wordWrap/>
        <w:overflowPunct/>
        <w:topLinePunct/>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印发自治区冷链物流发展实施方案的通知</w:t>
      </w:r>
    </w:p>
    <w:p>
      <w:pPr>
        <w:pStyle w:val="2"/>
        <w:rPr>
          <w:rFonts w:hint="eastAsia"/>
          <w:lang w:eastAsia="zh-CN"/>
        </w:rPr>
      </w:pPr>
    </w:p>
    <w:p>
      <w:pPr>
        <w:keepNext w:val="0"/>
        <w:keepLines w:val="0"/>
        <w:pageBreakBefore w:val="0"/>
        <w:widowControl w:val="0"/>
        <w:kinsoku/>
        <w:wordWrap/>
        <w:overflowPunct/>
        <w:topLinePunct/>
        <w:autoSpaceDE/>
        <w:autoSpaceDN/>
        <w:bidi w:val="0"/>
        <w:adjustRightInd w:val="0"/>
        <w:snapToGrid w:val="0"/>
        <w:spacing w:line="580" w:lineRule="exact"/>
        <w:jc w:val="center"/>
        <w:textAlignment w:val="auto"/>
        <w:rPr>
          <w:rFonts w:hint="eastAsia" w:ascii="仿宋_GB2312" w:hAnsi="华文仿宋" w:eastAsia="仿宋_GB2312"/>
          <w:sz w:val="32"/>
        </w:rPr>
      </w:pPr>
      <w:r>
        <w:rPr>
          <w:rFonts w:hint="eastAsia" w:ascii="仿宋_GB2312" w:hAnsi="华文仿宋" w:eastAsia="仿宋_GB2312"/>
          <w:sz w:val="32"/>
          <w:lang w:eastAsia="zh-CN"/>
        </w:rPr>
        <w:t>内政办发〔2022〕82号</w:t>
      </w:r>
    </w:p>
    <w:p>
      <w:pPr>
        <w:pStyle w:val="2"/>
        <w:rPr>
          <w:rFonts w:hint="eastAsia"/>
          <w:lang w:eastAsia="zh-CN"/>
        </w:rPr>
      </w:pPr>
    </w:p>
    <w:p>
      <w:pPr>
        <w:keepNext w:val="0"/>
        <w:keepLines w:val="0"/>
        <w:pageBreakBefore w:val="0"/>
        <w:widowControl w:val="0"/>
        <w:kinsoku/>
        <w:wordWrap/>
        <w:overflowPunct/>
        <w:topLinePunct/>
        <w:autoSpaceDE/>
        <w:autoSpaceDN/>
        <w:bidi w:val="0"/>
        <w:adjustRightInd/>
        <w:snapToGrid/>
        <w:spacing w:line="3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autoSpaceDE/>
        <w:autoSpaceDN/>
        <w:bidi w:val="0"/>
        <w:adjustRightInd/>
        <w:snapToGrid/>
        <w:spacing w:line="400" w:lineRule="exact"/>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各盟行政公署、市人民政府，自治区各委、办、厅、局，各大企业、事业单位：</w:t>
      </w: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经自治区人民政府同意，现将《内蒙古自治区冷链物流发展实施方案》印发给你们，请结合实际，认真贯彻落实。</w:t>
      </w: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楷体" w:hAnsi="楷体" w:eastAsia="楷体" w:cs="楷体"/>
          <w:sz w:val="32"/>
          <w:szCs w:val="32"/>
          <w:lang w:eastAsia="zh-CN"/>
        </w:rPr>
      </w:pPr>
    </w:p>
    <w:p>
      <w:pPr>
        <w:pStyle w:val="2"/>
        <w:keepNext w:val="0"/>
        <w:keepLines w:val="0"/>
        <w:pageBreakBefore w:val="0"/>
        <w:widowControl w:val="0"/>
        <w:kinsoku/>
        <w:wordWrap/>
        <w:overflowPunct/>
        <w:autoSpaceDE/>
        <w:autoSpaceDN/>
        <w:bidi w:val="0"/>
        <w:adjustRightInd/>
        <w:snapToGrid/>
        <w:spacing w:line="500" w:lineRule="exact"/>
        <w:textAlignment w:val="auto"/>
        <w:rPr>
          <w:rFonts w:hint="eastAsia" w:ascii="楷体" w:hAnsi="楷体" w:eastAsia="楷体" w:cs="楷体"/>
          <w:sz w:val="32"/>
          <w:szCs w:val="32"/>
          <w:lang w:eastAsia="zh-CN"/>
        </w:rPr>
      </w:pPr>
    </w:p>
    <w:p>
      <w:pPr>
        <w:pStyle w:val="3"/>
        <w:keepNext w:val="0"/>
        <w:keepLines w:val="0"/>
        <w:pageBreakBefore w:val="0"/>
        <w:widowControl w:val="0"/>
        <w:kinsoku/>
        <w:wordWrap/>
        <w:overflowPunct/>
        <w:autoSpaceDE/>
        <w:autoSpaceDN/>
        <w:bidi w:val="0"/>
        <w:adjustRightInd/>
        <w:snapToGrid/>
        <w:spacing w:line="500" w:lineRule="exact"/>
        <w:textAlignment w:val="auto"/>
        <w:rPr>
          <w:rFonts w:hint="eastAsia"/>
          <w:lang w:eastAsia="zh-CN"/>
        </w:rPr>
      </w:pPr>
    </w:p>
    <w:p>
      <w:pPr>
        <w:keepNext w:val="0"/>
        <w:keepLines w:val="0"/>
        <w:pageBreakBefore w:val="0"/>
        <w:widowControl w:val="0"/>
        <w:tabs>
          <w:tab w:val="left" w:pos="7560"/>
        </w:tabs>
        <w:kinsoku/>
        <w:wordWrap/>
        <w:overflowPunct/>
        <w:topLinePunct/>
        <w:autoSpaceDE/>
        <w:autoSpaceDN/>
        <w:bidi w:val="0"/>
        <w:adjustRightInd/>
        <w:snapToGrid/>
        <w:spacing w:line="500" w:lineRule="exact"/>
        <w:ind w:firstLine="5120" w:firstLineChars="16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2022年12月2日</w:t>
      </w: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（此件公开发布）</w:t>
      </w:r>
    </w:p>
    <w:p>
      <w:pPr>
        <w:pStyle w:val="2"/>
        <w:rPr>
          <w:rFonts w:hint="eastAsia" w:ascii="楷体" w:hAnsi="楷体" w:eastAsia="楷体" w:cs="楷体"/>
          <w:sz w:val="32"/>
          <w:szCs w:val="32"/>
          <w:lang w:val="en-US" w:eastAsia="zh-CN"/>
        </w:rPr>
      </w:pPr>
    </w:p>
    <w:p>
      <w:pPr>
        <w:pStyle w:val="3"/>
        <w:rPr>
          <w:rFonts w:hint="eastAsia" w:ascii="楷体" w:hAnsi="楷体" w:eastAsia="楷体" w:cs="楷体"/>
          <w:sz w:val="32"/>
          <w:szCs w:val="32"/>
          <w:lang w:val="en-US" w:eastAsia="zh-CN"/>
        </w:rPr>
      </w:pPr>
    </w:p>
    <w:p>
      <w:pPr>
        <w:pStyle w:val="2"/>
        <w:rPr>
          <w:rFonts w:hint="eastAsia" w:ascii="楷体" w:hAnsi="楷体" w:eastAsia="楷体" w:cs="楷体"/>
          <w:sz w:val="32"/>
          <w:szCs w:val="32"/>
          <w:lang w:val="en-US" w:eastAsia="zh-CN"/>
        </w:rPr>
      </w:pPr>
    </w:p>
    <w:p>
      <w:pPr>
        <w:pStyle w:val="3"/>
        <w:rPr>
          <w:rFonts w:hint="eastAsia" w:ascii="楷体" w:hAnsi="楷体" w:eastAsia="楷体" w:cs="楷体"/>
          <w:sz w:val="32"/>
          <w:szCs w:val="32"/>
          <w:lang w:val="en-US" w:eastAsia="zh-CN"/>
        </w:rPr>
      </w:pPr>
    </w:p>
    <w:p>
      <w:pPr>
        <w:pStyle w:val="2"/>
        <w:rPr>
          <w:rFonts w:hint="eastAsia" w:ascii="楷体" w:hAnsi="楷体" w:eastAsia="楷体" w:cs="楷体"/>
          <w:sz w:val="32"/>
          <w:szCs w:val="32"/>
          <w:lang w:val="en-US" w:eastAsia="zh-CN"/>
        </w:rPr>
      </w:pPr>
    </w:p>
    <w:p>
      <w:pPr>
        <w:pStyle w:val="3"/>
        <w:rPr>
          <w:rFonts w:hint="eastAsia"/>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center"/>
        <w:textAlignment w:val="auto"/>
        <w:rPr>
          <w:rFonts w:hint="eastAsia" w:ascii="仿宋" w:hAnsi="仿宋" w:eastAsia="仿宋" w:cs="仿宋"/>
          <w:b w:val="0"/>
          <w:bCs w:val="0"/>
          <w:color w:val="auto"/>
          <w:sz w:val="32"/>
          <w:szCs w:val="32"/>
          <w:highlight w:val="none"/>
          <w:lang w:eastAsia="zh-CN"/>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b w:val="0"/>
          <w:bCs w:val="0"/>
          <w:color w:val="auto"/>
          <w:sz w:val="44"/>
          <w:szCs w:val="44"/>
          <w:highlight w:val="none"/>
          <w:lang w:eastAsia="zh-CN"/>
        </w:rPr>
      </w:pPr>
      <w:r>
        <w:rPr>
          <w:rFonts w:hint="eastAsia" w:ascii="方正小标宋_GBK" w:hAnsi="方正小标宋_GBK" w:eastAsia="方正小标宋_GBK" w:cs="方正小标宋_GBK"/>
          <w:b w:val="0"/>
          <w:bCs w:val="0"/>
          <w:color w:val="auto"/>
          <w:sz w:val="44"/>
          <w:szCs w:val="44"/>
          <w:highlight w:val="none"/>
          <w:lang w:eastAsia="zh-CN"/>
        </w:rPr>
        <w:t>内蒙古自治区冷链物流发展实施方案</w:t>
      </w: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b w:val="0"/>
          <w:bCs w:val="0"/>
          <w:color w:val="auto"/>
          <w:sz w:val="32"/>
          <w:szCs w:val="32"/>
          <w:highlight w:val="none"/>
          <w:lang w:eastAsia="zh-CN"/>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为贯彻落实《国务院办公厅关于印发“十四五”冷链物流发展规划的通知》（国办发〔2021〕46号）精神，推动全区冷链物流高质量发展，有效解决冷链物流设施建设滞后、全程冷链物流比重偏低、服务保障能力不强等问题，更好满足城乡居民对肉类、水果、蔬菜、乳品、水产品、速冻食品及医药产品冷链物流需求，促进消费结构持续升级，结合自治区实际，制定本方案。</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leftChars="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一、主要目标</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聚焦自治区冷链物流生产、流通、消费实际，着力补齐设施</w:t>
      </w:r>
      <w:r>
        <w:rPr>
          <w:rFonts w:hint="eastAsia" w:ascii="仿宋" w:hAnsi="仿宋" w:eastAsia="仿宋" w:cs="仿宋"/>
          <w:b w:val="0"/>
          <w:bCs w:val="0"/>
          <w:color w:val="auto"/>
          <w:spacing w:val="-6"/>
          <w:sz w:val="32"/>
          <w:szCs w:val="32"/>
          <w:highlight w:val="none"/>
          <w:lang w:val="en-US" w:eastAsia="zh-CN"/>
        </w:rPr>
        <w:t>短板、畅通运输网络、提升技术装备水平、健全监管保障机制。</w:t>
      </w:r>
      <w:r>
        <w:rPr>
          <w:rFonts w:hint="eastAsia" w:ascii="仿宋" w:hAnsi="仿宋" w:eastAsia="仿宋" w:cs="仿宋"/>
          <w:b w:val="0"/>
          <w:bCs w:val="0"/>
          <w:color w:val="auto"/>
          <w:sz w:val="32"/>
          <w:szCs w:val="32"/>
          <w:highlight w:val="none"/>
          <w:lang w:val="en-US" w:eastAsia="zh-CN"/>
        </w:rPr>
        <w:t>到</w:t>
      </w:r>
      <w:r>
        <w:rPr>
          <w:rFonts w:hint="eastAsia" w:ascii="仿宋" w:hAnsi="仿宋" w:eastAsia="仿宋" w:cs="仿宋"/>
          <w:b w:val="0"/>
          <w:bCs w:val="0"/>
          <w:color w:val="auto"/>
          <w:spacing w:val="6"/>
          <w:sz w:val="32"/>
          <w:szCs w:val="32"/>
          <w:highlight w:val="none"/>
          <w:lang w:val="en-US" w:eastAsia="zh-CN"/>
        </w:rPr>
        <w:t>2025年，争创国家骨干冷链物流基地和国家物流枢纽5—6个，</w:t>
      </w:r>
      <w:r>
        <w:rPr>
          <w:rFonts w:hint="eastAsia" w:ascii="仿宋" w:hAnsi="仿宋" w:eastAsia="仿宋" w:cs="仿宋"/>
          <w:b w:val="0"/>
          <w:bCs w:val="0"/>
          <w:color w:val="auto"/>
          <w:sz w:val="32"/>
          <w:szCs w:val="32"/>
          <w:highlight w:val="none"/>
          <w:lang w:val="en-US" w:eastAsia="zh-CN"/>
        </w:rPr>
        <w:t>力争建设产销冷链集配中心6—8个、产地保鲜设施500个，构建以国家骨干冷链物流基地、产销冷链集配中心和两端冷链物流设施为支撑的三级冷链物流设施网络，显著提高农畜产品跨季节</w:t>
      </w:r>
      <w:r>
        <w:rPr>
          <w:rFonts w:hint="eastAsia" w:ascii="仿宋" w:hAnsi="仿宋" w:eastAsia="仿宋" w:cs="仿宋"/>
          <w:b w:val="0"/>
          <w:bCs w:val="0"/>
          <w:color w:val="auto"/>
          <w:spacing w:val="6"/>
          <w:sz w:val="32"/>
          <w:szCs w:val="32"/>
          <w:highlight w:val="none"/>
          <w:lang w:val="en-US" w:eastAsia="zh-CN"/>
        </w:rPr>
        <w:t>供需、冷链产品跨区域流通的能力和效率，基本建立畅通高效、</w:t>
      </w:r>
      <w:r>
        <w:rPr>
          <w:rFonts w:hint="eastAsia" w:ascii="仿宋" w:hAnsi="仿宋" w:eastAsia="仿宋" w:cs="仿宋"/>
          <w:b w:val="0"/>
          <w:bCs w:val="0"/>
          <w:color w:val="auto"/>
          <w:sz w:val="32"/>
          <w:szCs w:val="32"/>
          <w:highlight w:val="none"/>
          <w:lang w:val="en-US" w:eastAsia="zh-CN"/>
        </w:rPr>
        <w:t>安全绿色、智慧便捷、保障有力的现代冷链物流体系，为推动</w:t>
      </w:r>
      <w:r>
        <w:rPr>
          <w:rFonts w:hint="eastAsia" w:ascii="仿宋" w:hAnsi="仿宋" w:eastAsia="仿宋" w:cs="仿宋"/>
          <w:b w:val="0"/>
          <w:bCs w:val="0"/>
          <w:kern w:val="0"/>
          <w:sz w:val="32"/>
          <w:szCs w:val="32"/>
          <w:highlight w:val="none"/>
          <w:lang w:eastAsia="zh-CN"/>
        </w:rPr>
        <w:t>自治区经济社会</w:t>
      </w:r>
      <w:r>
        <w:rPr>
          <w:rFonts w:hint="eastAsia" w:ascii="仿宋" w:hAnsi="仿宋" w:eastAsia="仿宋" w:cs="仿宋"/>
          <w:b w:val="0"/>
          <w:bCs w:val="0"/>
          <w:kern w:val="0"/>
          <w:sz w:val="32"/>
          <w:szCs w:val="32"/>
          <w:highlight w:val="none"/>
        </w:rPr>
        <w:t>高质量发展</w:t>
      </w:r>
      <w:r>
        <w:rPr>
          <w:rFonts w:hint="eastAsia" w:ascii="仿宋" w:hAnsi="仿宋" w:eastAsia="仿宋" w:cs="仿宋"/>
          <w:b w:val="0"/>
          <w:bCs w:val="0"/>
          <w:kern w:val="0"/>
          <w:sz w:val="32"/>
          <w:szCs w:val="32"/>
          <w:highlight w:val="none"/>
          <w:lang w:eastAsia="zh-CN"/>
        </w:rPr>
        <w:t>提供有力支撑。</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leftChars="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二、重点任务</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（一）加快建设骨干冷链物流基地。</w:t>
      </w:r>
      <w:r>
        <w:rPr>
          <w:rFonts w:hint="eastAsia" w:ascii="仿宋" w:hAnsi="仿宋" w:eastAsia="仿宋" w:cs="仿宋"/>
          <w:b w:val="0"/>
          <w:bCs w:val="0"/>
          <w:color w:val="auto"/>
          <w:sz w:val="32"/>
          <w:szCs w:val="32"/>
          <w:highlight w:val="none"/>
          <w:lang w:val="en-US" w:eastAsia="zh-CN"/>
        </w:rPr>
        <w:t>推动呼和浩特、巴彦淖尔国家骨干冷链物流基地加快建设运营，全面提升集聚辐射功能。支持包头市、通辽市、鄂尔多斯市等承载城市创建国家骨干</w:t>
      </w:r>
      <w:r>
        <w:rPr>
          <w:rFonts w:hint="eastAsia" w:ascii="仿宋" w:hAnsi="仿宋" w:eastAsia="仿宋" w:cs="仿宋"/>
          <w:b w:val="0"/>
          <w:bCs w:val="0"/>
          <w:color w:val="auto"/>
          <w:spacing w:val="6"/>
          <w:sz w:val="32"/>
          <w:szCs w:val="32"/>
          <w:highlight w:val="none"/>
          <w:lang w:val="en-US" w:eastAsia="zh-CN"/>
        </w:rPr>
        <w:t>冷链物流基地，整合集聚分散的冷库、冷藏车等存量设施资源，</w:t>
      </w:r>
      <w:r>
        <w:rPr>
          <w:rFonts w:hint="eastAsia" w:ascii="仿宋" w:hAnsi="仿宋" w:eastAsia="仿宋" w:cs="仿宋"/>
          <w:b w:val="0"/>
          <w:bCs w:val="0"/>
          <w:color w:val="auto"/>
          <w:sz w:val="32"/>
          <w:szCs w:val="32"/>
          <w:highlight w:val="none"/>
          <w:lang w:val="en-US" w:eastAsia="zh-CN"/>
        </w:rPr>
        <w:t>补齐关键领域设施短板，推动冷链物流集群式发展。结合自治区农畜产品、食品药品等冷链物流需求，支持呼和浩特商贸服务型</w:t>
      </w:r>
      <w:r>
        <w:rPr>
          <w:rFonts w:hint="eastAsia" w:ascii="仿宋" w:hAnsi="仿宋" w:eastAsia="仿宋" w:cs="仿宋"/>
          <w:b w:val="0"/>
          <w:bCs w:val="0"/>
          <w:color w:val="auto"/>
          <w:spacing w:val="6"/>
          <w:sz w:val="32"/>
          <w:szCs w:val="32"/>
          <w:highlight w:val="none"/>
          <w:lang w:val="en-US" w:eastAsia="zh-CN"/>
        </w:rPr>
        <w:t>国家物流枢纽、乌兰察布—二连浩特陆港型（陆上边境口岸型）</w:t>
      </w:r>
      <w:r>
        <w:rPr>
          <w:rFonts w:hint="eastAsia" w:ascii="仿宋" w:hAnsi="仿宋" w:eastAsia="仿宋" w:cs="仿宋"/>
          <w:b w:val="0"/>
          <w:bCs w:val="0"/>
          <w:color w:val="auto"/>
          <w:sz w:val="32"/>
          <w:szCs w:val="32"/>
          <w:highlight w:val="none"/>
          <w:lang w:val="en-US" w:eastAsia="zh-CN"/>
        </w:rPr>
        <w:t>国家物流枢纽、鄂尔多斯生产服务型国家物流枢纽、满洲里陆上边境口岸型国家物流枢纽提升冷链服务能力，支持包头市、赤峰市等国家物流枢纽承载城市建设具有冷链服务功能的国家物流枢纽。</w:t>
      </w:r>
      <w:r>
        <w:rPr>
          <w:rFonts w:hint="eastAsia" w:ascii="楷体" w:hAnsi="楷体" w:eastAsia="楷体" w:cs="楷体"/>
          <w:b w:val="0"/>
          <w:bCs w:val="0"/>
          <w:color w:val="auto"/>
          <w:sz w:val="32"/>
          <w:szCs w:val="32"/>
          <w:highlight w:val="none"/>
          <w:lang w:val="en-US" w:eastAsia="zh-CN"/>
        </w:rPr>
        <w:t>（自治区发展改革委，有关盟行政公署、市人民政府按职责分工负责）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（二）加快建设冷链集配中心。</w:t>
      </w:r>
      <w:r>
        <w:rPr>
          <w:rFonts w:hint="eastAsia" w:ascii="仿宋" w:hAnsi="仿宋" w:eastAsia="仿宋" w:cs="仿宋"/>
          <w:b w:val="0"/>
          <w:bCs w:val="0"/>
          <w:color w:val="auto"/>
          <w:sz w:val="32"/>
          <w:szCs w:val="32"/>
          <w:highlight w:val="none"/>
          <w:lang w:val="en-US" w:eastAsia="zh-CN"/>
        </w:rPr>
        <w:t>依托农业大县、特色农畜产品优势产区，建设产地冷链集配中心，改善产地公共冷库设施条件，强化产地预冷、仓储保鲜、分级分拣、初加工、产地直销等能力，减少产后损失。推动消费规模和物流中转规模较大的城市建设商贸冷链集配中心，发挥流通加工、区域分拨、城市配送作用，面向商超、批发市场、生鲜连锁店、酒店餐饮、学校、机关团体等开展农畜产品集中采购、流通加工、多温共配。推动大型农畜产品批发市场打造冷链集配中心。</w:t>
      </w:r>
      <w:r>
        <w:rPr>
          <w:rFonts w:hint="eastAsia" w:ascii="楷体" w:hAnsi="楷体" w:eastAsia="楷体" w:cs="楷体"/>
          <w:b w:val="0"/>
          <w:bCs w:val="0"/>
          <w:color w:val="auto"/>
          <w:sz w:val="32"/>
          <w:szCs w:val="32"/>
          <w:highlight w:val="none"/>
          <w:lang w:val="en-US" w:eastAsia="zh-CN"/>
        </w:rPr>
        <w:t>（自治区农牧厅、商务厅、财政厅、总工会按职责分工负责，各盟行政公署、市人民政府负</w:t>
      </w:r>
      <w:r>
        <w:rPr>
          <w:rFonts w:hint="eastAsia" w:ascii="楷体" w:hAnsi="楷体" w:eastAsia="楷体" w:cs="楷体"/>
          <w:b w:val="0"/>
          <w:bCs w:val="0"/>
          <w:color w:val="auto"/>
          <w:spacing w:val="-6"/>
          <w:sz w:val="32"/>
          <w:szCs w:val="32"/>
          <w:highlight w:val="none"/>
          <w:lang w:val="en-US" w:eastAsia="zh-CN"/>
        </w:rPr>
        <w:t>责落实。以下均需各盟行政公署、市人民政府负责落实，不再列出）</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（三）补齐产销两端冷链物流设施短板。</w:t>
      </w:r>
      <w:r>
        <w:rPr>
          <w:rFonts w:hint="eastAsia" w:ascii="仿宋" w:hAnsi="仿宋" w:eastAsia="仿宋" w:cs="仿宋"/>
          <w:b w:val="0"/>
          <w:bCs w:val="0"/>
          <w:color w:val="auto"/>
          <w:sz w:val="32"/>
          <w:szCs w:val="32"/>
          <w:highlight w:val="none"/>
          <w:lang w:val="en-US" w:eastAsia="zh-CN"/>
        </w:rPr>
        <w:t>围绕产地“最先一公里”冷藏保鲜需求，引导农牧民专业合作社、家庭农牧场、农村牧区集体经济组织、基层供销合作社、物流企业等结合实际需要，在生鲜农畜产品重点苏木乡镇和嘎查村分区分片合理集中建设产地冷藏保鲜设施，探索发展共享式“田头小站”等移动冷库、冷链设施设备租赁等专业化、全程化仓储保鲜冷链物流服务，提高产地源头冷链物流设施综合利用效率。推动快递企业加强冷链物流服务能力建设，加快完善城市冷链即时配送体系，引导生鲜</w:t>
      </w:r>
      <w:r>
        <w:rPr>
          <w:rFonts w:hint="eastAsia" w:ascii="仿宋" w:hAnsi="仿宋" w:eastAsia="仿宋" w:cs="仿宋"/>
          <w:b w:val="0"/>
          <w:bCs w:val="0"/>
          <w:color w:val="auto"/>
          <w:spacing w:val="-6"/>
          <w:sz w:val="32"/>
          <w:szCs w:val="32"/>
          <w:highlight w:val="none"/>
          <w:lang w:val="en-US" w:eastAsia="zh-CN"/>
        </w:rPr>
        <w:t>零售、餐饮、体验式消费等融合发展。鼓励邮政快递、供销合作社、电商企业等利用既有物流网络，整合产地冷链物流资源，拓展农畜产品出村进城冷链物流服务渠道。推动城市冷链物流“最后一公里”设施建设，引导农贸市场、商超、便利店、药店、生鲜电商、快递企业等完善城市末端冷链物流设施，促进末端冷链配送发展。</w:t>
      </w:r>
      <w:r>
        <w:rPr>
          <w:rFonts w:hint="eastAsia" w:ascii="楷体" w:hAnsi="楷体" w:eastAsia="楷体" w:cs="楷体"/>
          <w:b w:val="0"/>
          <w:bCs w:val="0"/>
          <w:color w:val="auto"/>
          <w:sz w:val="32"/>
          <w:szCs w:val="32"/>
          <w:highlight w:val="none"/>
          <w:lang w:val="en-US" w:eastAsia="zh-CN"/>
        </w:rPr>
        <w:t>（自治区农牧厅、商务厅、乡村振兴局、供销合作联社，内蒙古邮政管理局按职责分工负责）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（四）发展肉类冷链物流。</w:t>
      </w:r>
      <w:r>
        <w:rPr>
          <w:rFonts w:hint="eastAsia" w:ascii="仿宋" w:hAnsi="仿宋" w:eastAsia="仿宋" w:cs="仿宋"/>
          <w:b w:val="0"/>
          <w:bCs w:val="0"/>
          <w:color w:val="auto"/>
          <w:sz w:val="32"/>
          <w:szCs w:val="32"/>
          <w:highlight w:val="none"/>
          <w:lang w:val="en-US" w:eastAsia="zh-CN"/>
        </w:rPr>
        <w:t>加强肉羊、肉牛、生猪、肉禽优势产区冷链物流设施建设，构建肉类主产区和主销区有效对接的冷链物流基础设施网络。顺应畜禽屠宰加工向养殖集中区域转移趋势，完善规模屠宰、预冷排酸、低温分割、保鲜包装、冷链储运链条，加快构建“定点屠宰、品牌经营、冷链流通、冷鲜上市”的肉类供应链体系。鼓励发展“牧场+超市”“养殖基地+肉制品精深加工+超市”等新模式。</w:t>
      </w:r>
      <w:r>
        <w:rPr>
          <w:rFonts w:hint="eastAsia" w:ascii="楷体" w:hAnsi="楷体" w:eastAsia="楷体" w:cs="楷体"/>
          <w:b w:val="0"/>
          <w:bCs w:val="0"/>
          <w:color w:val="auto"/>
          <w:sz w:val="32"/>
          <w:szCs w:val="32"/>
          <w:highlight w:val="none"/>
          <w:lang w:val="en-US" w:eastAsia="zh-CN"/>
        </w:rPr>
        <w:t>（自治区农牧厅、商务厅、交通运输厅、供销合作联社按职责分工负责）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（五）发展果蔬冷链物流。</w:t>
      </w:r>
      <w:r>
        <w:rPr>
          <w:rFonts w:hint="eastAsia" w:ascii="仿宋" w:hAnsi="仿宋" w:eastAsia="仿宋" w:cs="仿宋"/>
          <w:b w:val="0"/>
          <w:bCs w:val="0"/>
          <w:color w:val="auto"/>
          <w:sz w:val="32"/>
          <w:szCs w:val="32"/>
          <w:highlight w:val="none"/>
          <w:lang w:val="en-US" w:eastAsia="zh-CN"/>
        </w:rPr>
        <w:t>依托呼和浩特市、包头市、赤峰市设施蔬菜，锡林郭勒盟、乌兰察布市冷凉蔬菜，通辽市、巴彦淖尔市加工型蔬菜等生产基地，以及呼伦贝尔市、通辽市、巴彦淖尔市、乌海市、阿拉善盟等瓜果主产区，因地制宜建设预冷设施、储藏窖、气调库等产地仓储保鲜设施。引导快递、电商企业推广使用可循环利用包装、载器具以及零售末端保鲜柜，完善脱水干制、称量包装、检验检测、低损输送、质量管控等配套功能。</w:t>
      </w:r>
      <w:r>
        <w:rPr>
          <w:rFonts w:hint="eastAsia" w:ascii="楷体" w:hAnsi="楷体" w:eastAsia="楷体" w:cs="楷体"/>
          <w:b w:val="0"/>
          <w:bCs w:val="0"/>
          <w:color w:val="auto"/>
          <w:sz w:val="32"/>
          <w:szCs w:val="32"/>
          <w:highlight w:val="none"/>
          <w:lang w:val="en-US" w:eastAsia="zh-CN"/>
        </w:rPr>
        <w:t>（自治区农牧厅、商务厅、交通运输厅、乡村振兴局、供销合作联社，内蒙古邮政管理局按职责分工负责）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（六）发展乳品冷链物流。</w:t>
      </w:r>
      <w:r>
        <w:rPr>
          <w:rFonts w:hint="eastAsia" w:ascii="仿宋" w:hAnsi="仿宋" w:eastAsia="仿宋" w:cs="仿宋"/>
          <w:b w:val="0"/>
          <w:bCs w:val="0"/>
          <w:color w:val="auto"/>
          <w:sz w:val="32"/>
          <w:szCs w:val="32"/>
          <w:highlight w:val="none"/>
          <w:lang w:val="en-US" w:eastAsia="zh-CN"/>
        </w:rPr>
        <w:t>推进呼和浩特市为核心的沿黄地区、呼伦贝尔市和锡林郭勒盟等草原牧区以及赤峰市、通辽市等西辽河流域奶类主产区冷链物流设施建设，鼓励规模化奶业企业升级冷链物流设施设备，提高一体化运作效率和温度质量管控水平。发挥龙头乳品企业以及电商、连锁超市等流通渠道作用，完善低温液态奶冷链配送体系，发展网格化、高频率配送到家服务。</w:t>
      </w:r>
      <w:r>
        <w:rPr>
          <w:rFonts w:hint="eastAsia" w:ascii="楷体" w:hAnsi="楷体" w:eastAsia="楷体" w:cs="楷体"/>
          <w:b w:val="0"/>
          <w:bCs w:val="0"/>
          <w:color w:val="auto"/>
          <w:sz w:val="32"/>
          <w:szCs w:val="32"/>
          <w:highlight w:val="none"/>
          <w:lang w:val="en-US" w:eastAsia="zh-CN"/>
        </w:rPr>
        <w:t>（自治区农牧厅、商务厅、交通运输厅、市场监管局按职责分工负责）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（七）发展水产品冷链物流。</w:t>
      </w:r>
      <w:r>
        <w:rPr>
          <w:rFonts w:hint="eastAsia" w:ascii="仿宋" w:hAnsi="仿宋" w:eastAsia="仿宋" w:cs="仿宋"/>
          <w:b w:val="0"/>
          <w:bCs w:val="0"/>
          <w:color w:val="auto"/>
          <w:sz w:val="32"/>
          <w:szCs w:val="32"/>
          <w:highlight w:val="none"/>
          <w:lang w:val="en-US" w:eastAsia="zh-CN"/>
        </w:rPr>
        <w:t>依托呼和浩特市、呼</w:t>
      </w:r>
      <w:r>
        <w:rPr>
          <w:rFonts w:hint="eastAsia" w:ascii="仿宋" w:hAnsi="仿宋" w:eastAsia="仿宋" w:cs="仿宋"/>
          <w:b w:val="0"/>
          <w:bCs w:val="0"/>
          <w:color w:val="auto"/>
          <w:spacing w:val="-6"/>
          <w:sz w:val="32"/>
          <w:szCs w:val="32"/>
          <w:highlight w:val="none"/>
          <w:lang w:val="en-US" w:eastAsia="zh-CN"/>
        </w:rPr>
        <w:t>伦贝尔市、兴安盟、通辽市、赤峰市、巴彦淖尔市、鄂尔多斯市等淡水鱼、蟹、虾产区，鼓励各类主体建设完善覆盖养殖捕捞、到岸装卸、</w:t>
      </w:r>
      <w:r>
        <w:rPr>
          <w:rFonts w:hint="eastAsia" w:ascii="仿宋" w:hAnsi="仿宋" w:eastAsia="仿宋" w:cs="仿宋"/>
          <w:b w:val="0"/>
          <w:bCs w:val="0"/>
          <w:color w:val="auto"/>
          <w:sz w:val="32"/>
          <w:szCs w:val="32"/>
          <w:highlight w:val="none"/>
          <w:lang w:val="en-US" w:eastAsia="zh-CN"/>
        </w:rPr>
        <w:t>加工包装、仓储运输、质量管控等环节的设施设备，提高水产品冷链物流服务与快速检验检测检疫能力。推动建设一批水产品销地大型批发市场、冷链集配中心，加快提升销地冷链分拨配送能力。支持口岸机场建设具有国际货运、冷链仓储、报关、检验检测检疫</w:t>
      </w:r>
      <w:r>
        <w:rPr>
          <w:rFonts w:hint="eastAsia" w:ascii="仿宋" w:hAnsi="仿宋" w:eastAsia="仿宋" w:cs="仿宋"/>
          <w:b w:val="0"/>
          <w:bCs w:val="0"/>
          <w:color w:val="auto"/>
          <w:spacing w:val="6"/>
          <w:sz w:val="32"/>
          <w:szCs w:val="32"/>
          <w:highlight w:val="none"/>
          <w:lang w:val="en-US" w:eastAsia="zh-CN"/>
        </w:rPr>
        <w:t>等功能的水产品航空货运冷链物流服务通道。</w:t>
      </w:r>
      <w:r>
        <w:rPr>
          <w:rFonts w:hint="eastAsia" w:ascii="楷体" w:hAnsi="楷体" w:eastAsia="楷体" w:cs="楷体"/>
          <w:b w:val="0"/>
          <w:bCs w:val="0"/>
          <w:color w:val="auto"/>
          <w:spacing w:val="6"/>
          <w:sz w:val="32"/>
          <w:szCs w:val="32"/>
          <w:highlight w:val="none"/>
          <w:lang w:val="en-US" w:eastAsia="zh-CN"/>
        </w:rPr>
        <w:t>（自治区农牧厅、</w:t>
      </w:r>
      <w:r>
        <w:rPr>
          <w:rFonts w:hint="eastAsia" w:ascii="楷体" w:hAnsi="楷体" w:eastAsia="楷体" w:cs="楷体"/>
          <w:b w:val="0"/>
          <w:bCs w:val="0"/>
          <w:color w:val="auto"/>
          <w:sz w:val="32"/>
          <w:szCs w:val="32"/>
          <w:highlight w:val="none"/>
          <w:lang w:val="en-US" w:eastAsia="zh-CN"/>
        </w:rPr>
        <w:t>商务厅、交通运输厅、卫生健康委、市场监管局，呼和浩特海关、满洲里海关按职责分工负责）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（八）</w:t>
      </w:r>
      <w:r>
        <w:rPr>
          <w:rFonts w:hint="eastAsia" w:ascii="楷体" w:hAnsi="楷体" w:eastAsia="楷体" w:cs="楷体"/>
          <w:b w:val="0"/>
          <w:bCs w:val="0"/>
          <w:color w:val="auto"/>
          <w:spacing w:val="6"/>
          <w:sz w:val="32"/>
          <w:szCs w:val="32"/>
          <w:highlight w:val="none"/>
          <w:lang w:val="en-US" w:eastAsia="zh-CN"/>
        </w:rPr>
        <w:t>发展速冻食品冷链物流。</w:t>
      </w:r>
      <w:r>
        <w:rPr>
          <w:rFonts w:hint="eastAsia" w:ascii="仿宋" w:hAnsi="仿宋" w:eastAsia="仿宋" w:cs="仿宋"/>
          <w:b w:val="0"/>
          <w:bCs w:val="0"/>
          <w:color w:val="auto"/>
          <w:spacing w:val="6"/>
          <w:sz w:val="32"/>
          <w:szCs w:val="32"/>
          <w:highlight w:val="none"/>
          <w:lang w:val="en-US" w:eastAsia="zh-CN"/>
        </w:rPr>
        <w:t>支持呼和浩特市、包头市、</w:t>
      </w:r>
      <w:r>
        <w:rPr>
          <w:rFonts w:hint="eastAsia" w:ascii="仿宋" w:hAnsi="仿宋" w:eastAsia="仿宋" w:cs="仿宋"/>
          <w:b w:val="0"/>
          <w:bCs w:val="0"/>
          <w:color w:val="auto"/>
          <w:sz w:val="32"/>
          <w:szCs w:val="32"/>
          <w:highlight w:val="none"/>
          <w:lang w:val="en-US" w:eastAsia="zh-CN"/>
        </w:rPr>
        <w:t>赤峰市、通辽市、乌兰察布市等速冻食品产业集聚区龙头生产企业对接国家骨干冷链物流基地和产销冷链集配中心，建立集原材料采购、生产加工、产品销售、检验检测于一体的全流程冷链服务链条，促进速冻食品产业规模化、集约化发展。适应连锁餐饮、</w:t>
      </w:r>
      <w:r>
        <w:rPr>
          <w:rFonts w:hint="eastAsia" w:ascii="仿宋" w:hAnsi="仿宋" w:eastAsia="仿宋" w:cs="仿宋"/>
          <w:b w:val="0"/>
          <w:bCs w:val="0"/>
          <w:color w:val="auto"/>
          <w:spacing w:val="6"/>
          <w:sz w:val="32"/>
          <w:szCs w:val="32"/>
          <w:highlight w:val="none"/>
          <w:lang w:val="en-US" w:eastAsia="zh-CN"/>
        </w:rPr>
        <w:t>团餐等标准化、流程化经营要求，依托产销冷链集配中心、中央厨房，发展速冻类标准食材、食材半成品供应链，提高品控能力。</w:t>
      </w:r>
      <w:r>
        <w:rPr>
          <w:rFonts w:hint="eastAsia" w:ascii="楷体" w:hAnsi="楷体" w:eastAsia="楷体" w:cs="楷体"/>
          <w:b w:val="0"/>
          <w:bCs w:val="0"/>
          <w:color w:val="auto"/>
          <w:spacing w:val="6"/>
          <w:sz w:val="32"/>
          <w:szCs w:val="32"/>
          <w:highlight w:val="none"/>
          <w:lang w:val="en-US" w:eastAsia="zh-CN"/>
        </w:rPr>
        <w:t>（自治区商务厅、市场监管局、供销合作联社按职责分工负责）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（九）发展医药产品冷链物流。</w:t>
      </w:r>
      <w:r>
        <w:rPr>
          <w:rFonts w:hint="eastAsia" w:ascii="仿宋" w:hAnsi="仿宋" w:eastAsia="仿宋" w:cs="仿宋"/>
          <w:b w:val="0"/>
          <w:bCs w:val="0"/>
          <w:color w:val="auto"/>
          <w:sz w:val="32"/>
          <w:szCs w:val="32"/>
          <w:highlight w:val="none"/>
          <w:lang w:val="en-US" w:eastAsia="zh-CN"/>
        </w:rPr>
        <w:t>引导道地中药（蒙药）材主产区因地制宜建设通风贮藏库、冷藏库、地窖等，完善分级、清洗、干燥、包装、装卸输送等商品化处理设施设备。支持医药生产企业、流通企业、物流企业建设医药物流中心，完善医药冷库网络化布局及配套冷链设施设备功能，提升信息化管理水平。推动医药生产、流通、物流企业与疾控中心、医院、苏木乡镇卫生院（室）等医疗网点无缝衔接，提高医药产品冷链物流和使用环节的质量保障水平，鼓励发展多温共配、接力配送等模式。健全应急联动服务及统一调度机制，严格落实全国统一的医药产品冷链物流特别管理机制，保障紧急状态下疫苗等重要医药产品运输畅通和过程质量安全。</w:t>
      </w:r>
      <w:r>
        <w:rPr>
          <w:rFonts w:hint="eastAsia" w:ascii="楷体" w:hAnsi="楷体" w:eastAsia="楷体" w:cs="楷体"/>
          <w:b w:val="0"/>
          <w:bCs w:val="0"/>
          <w:color w:val="auto"/>
          <w:sz w:val="32"/>
          <w:szCs w:val="32"/>
          <w:highlight w:val="none"/>
          <w:lang w:val="en-US" w:eastAsia="zh-CN"/>
        </w:rPr>
        <w:t>（自治区农牧厅、卫生健康委、交通运输厅、应急厅、市场监管局、药监局，内蒙古邮政管理局按职责分工负责）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（十）强化冷链干支线运输。</w:t>
      </w:r>
      <w:r>
        <w:rPr>
          <w:rFonts w:hint="eastAsia" w:ascii="仿宋" w:hAnsi="仿宋" w:eastAsia="仿宋" w:cs="仿宋"/>
          <w:b w:val="0"/>
          <w:bCs w:val="0"/>
          <w:color w:val="auto"/>
          <w:sz w:val="32"/>
          <w:szCs w:val="32"/>
          <w:highlight w:val="none"/>
          <w:lang w:val="en-US" w:eastAsia="zh-CN"/>
        </w:rPr>
        <w:t>发挥呼和浩特、巴彦淖尔国家骨干冷链物流基地和呼和浩特商贸服务型、鄂尔多斯生产服务型、乌兰察布—二连浩特陆港型（陆上边境口岸型）、满洲里陆上边境口岸型国家物流枢纽等大型物流基础设施集聚优势，完善集疏运体系，开展规模化冷链物流干支线运输。大力发展公路冷链专线、铁路冷链班列等干线运输模式，重点提高铁路在中长距离冷链物流干线运输中的比重。引导物流企业强化综合服务能力，提供“干线运输+区域分拨+城市配送”冷链物流服务。</w:t>
      </w:r>
      <w:r>
        <w:rPr>
          <w:rFonts w:hint="eastAsia" w:ascii="楷体" w:hAnsi="楷体" w:eastAsia="楷体" w:cs="楷体"/>
          <w:b w:val="0"/>
          <w:bCs w:val="0"/>
          <w:color w:val="auto"/>
          <w:sz w:val="32"/>
          <w:szCs w:val="32"/>
          <w:highlight w:val="none"/>
          <w:lang w:val="en-US" w:eastAsia="zh-CN"/>
        </w:rPr>
        <w:t>（自治区发展改革委、交通运输厅，内蒙古邮政管理局、中国铁路呼</w:t>
      </w:r>
      <w:r>
        <w:rPr>
          <w:rFonts w:hint="eastAsia" w:ascii="楷体" w:hAnsi="楷体" w:eastAsia="楷体" w:cs="楷体"/>
          <w:b w:val="0"/>
          <w:bCs w:val="0"/>
          <w:color w:val="auto"/>
          <w:spacing w:val="-6"/>
          <w:sz w:val="32"/>
          <w:szCs w:val="32"/>
          <w:highlight w:val="none"/>
          <w:lang w:val="en-US" w:eastAsia="zh-CN"/>
        </w:rPr>
        <w:t>和浩特局集团有限公司、内蒙古民航机场集团公司按职责分工负责）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（十一）完善城乡冷链物流双向通道。</w:t>
      </w:r>
      <w:r>
        <w:rPr>
          <w:rFonts w:hint="eastAsia" w:ascii="仿宋" w:hAnsi="仿宋" w:eastAsia="仿宋" w:cs="仿宋"/>
          <w:b w:val="0"/>
          <w:bCs w:val="0"/>
          <w:color w:val="auto"/>
          <w:sz w:val="32"/>
          <w:szCs w:val="32"/>
          <w:highlight w:val="none"/>
          <w:lang w:val="en-US" w:eastAsia="zh-CN"/>
        </w:rPr>
        <w:t>畅通农畜产品上行通道，鼓励发展“平台企业+农业基地”“生鲜电商+产地直发”等新业态新模式，引导形成产销密切衔接的农畜产品出村进城新通</w:t>
      </w:r>
      <w:r>
        <w:rPr>
          <w:rFonts w:hint="eastAsia" w:ascii="仿宋" w:hAnsi="仿宋" w:eastAsia="仿宋" w:cs="仿宋"/>
          <w:b w:val="0"/>
          <w:bCs w:val="0"/>
          <w:color w:val="auto"/>
          <w:spacing w:val="6"/>
          <w:sz w:val="32"/>
          <w:szCs w:val="32"/>
          <w:highlight w:val="none"/>
          <w:lang w:val="en-US" w:eastAsia="zh-CN"/>
        </w:rPr>
        <w:t>道。推进“快递进村”工程，鼓励邮政快递、供销、交通运输、电商等企业共建共用冷链物流基础设施，扩大生鲜消费品供给。</w:t>
      </w:r>
      <w:r>
        <w:rPr>
          <w:rFonts w:hint="eastAsia" w:ascii="仿宋" w:hAnsi="仿宋" w:eastAsia="仿宋" w:cs="仿宋"/>
          <w:b w:val="0"/>
          <w:bCs w:val="0"/>
          <w:color w:val="auto"/>
          <w:sz w:val="32"/>
          <w:szCs w:val="32"/>
          <w:highlight w:val="none"/>
          <w:lang w:val="en-US" w:eastAsia="zh-CN"/>
        </w:rPr>
        <w:t>鼓励大型生鲜电商、连锁商超等统筹建设城乡一体化冷链物流网络。</w:t>
      </w:r>
      <w:r>
        <w:rPr>
          <w:rFonts w:hint="eastAsia" w:ascii="楷体" w:hAnsi="楷体" w:eastAsia="楷体" w:cs="楷体"/>
          <w:b w:val="0"/>
          <w:bCs w:val="0"/>
          <w:color w:val="auto"/>
          <w:sz w:val="32"/>
          <w:szCs w:val="32"/>
          <w:highlight w:val="none"/>
          <w:lang w:val="en-US" w:eastAsia="zh-CN"/>
        </w:rPr>
        <w:t>（自治区交通运输厅、农牧厅、商务厅、供销合作联社，内蒙古邮政管理局按职责分工负责）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（十二）发展冷链多式联运。</w:t>
      </w:r>
      <w:r>
        <w:rPr>
          <w:rFonts w:hint="eastAsia" w:ascii="仿宋" w:hAnsi="仿宋" w:eastAsia="仿宋" w:cs="仿宋"/>
          <w:b w:val="0"/>
          <w:bCs w:val="0"/>
          <w:color w:val="auto"/>
          <w:sz w:val="32"/>
          <w:szCs w:val="32"/>
          <w:highlight w:val="none"/>
          <w:lang w:val="en-US" w:eastAsia="zh-CN"/>
        </w:rPr>
        <w:t>依托呼和浩特市、鄂尔多斯市航空枢纽以及主要铁路、公路枢纽，加强自动化、专业化、智能化冷链多式联运设施建设，发展冷链航班、冷链运输车专线网络，提高多式联运一体化组织能力。大力发展冷链甩挂运输，鼓励企</w:t>
      </w:r>
      <w:r>
        <w:rPr>
          <w:rFonts w:hint="eastAsia" w:ascii="仿宋" w:hAnsi="仿宋" w:eastAsia="仿宋" w:cs="仿宋"/>
          <w:b w:val="0"/>
          <w:bCs w:val="0"/>
          <w:color w:val="auto"/>
          <w:spacing w:val="6"/>
          <w:sz w:val="32"/>
          <w:szCs w:val="32"/>
          <w:highlight w:val="none"/>
          <w:lang w:val="en-US" w:eastAsia="zh-CN"/>
        </w:rPr>
        <w:t>业建立“冷藏挂车池”。培养冷链多式联运经营人，统筹公路、</w:t>
      </w:r>
      <w:r>
        <w:rPr>
          <w:rFonts w:hint="eastAsia" w:ascii="仿宋" w:hAnsi="仿宋" w:eastAsia="仿宋" w:cs="仿宋"/>
          <w:b w:val="0"/>
          <w:bCs w:val="0"/>
          <w:color w:val="auto"/>
          <w:sz w:val="32"/>
          <w:szCs w:val="32"/>
          <w:highlight w:val="none"/>
          <w:lang w:val="en-US" w:eastAsia="zh-CN"/>
        </w:rPr>
        <w:t>铁路、航空等多种运输方式和邮政快递，开展全程冷链运输组织。</w:t>
      </w:r>
      <w:r>
        <w:rPr>
          <w:rFonts w:hint="eastAsia" w:ascii="楷体" w:hAnsi="楷体" w:eastAsia="楷体" w:cs="楷体"/>
          <w:b w:val="0"/>
          <w:bCs w:val="0"/>
          <w:color w:val="auto"/>
          <w:sz w:val="32"/>
          <w:szCs w:val="32"/>
          <w:highlight w:val="none"/>
          <w:lang w:val="en-US" w:eastAsia="zh-CN"/>
        </w:rPr>
        <w:t>（自治区交通运输厅、发展改革委、公安厅，中国铁路呼和浩特局集团有限公司、内蒙古民航机场集团公司按职责分工负责）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（十三）畅通冷链运输国际通道。</w:t>
      </w:r>
      <w:r>
        <w:rPr>
          <w:rFonts w:hint="eastAsia" w:ascii="仿宋" w:hAnsi="仿宋" w:eastAsia="仿宋" w:cs="仿宋"/>
          <w:b w:val="0"/>
          <w:bCs w:val="0"/>
          <w:color w:val="auto"/>
          <w:sz w:val="32"/>
          <w:szCs w:val="32"/>
          <w:highlight w:val="none"/>
          <w:lang w:val="en-US" w:eastAsia="zh-CN"/>
        </w:rPr>
        <w:t>积极争取设立呼和浩特市进境冰鲜水产品、满洲里市和乌兰察布市进境肉类监管场地。依托乌兰察布市七苏木中欧班列枢纽物流基地等项目建设，提升中欧班列冷链物流服务水平，畅通亚欧陆路冷链物流通道。鼓励满洲里、二连浩特、甘其毛都等主要农畜产品进出口口岸积极拓展国际铁路联运、跨境公路国际冷链物流业务。鼓励具备条件的企业布局建设冷链海外仓，提升跨境冷链物流组织能力。</w:t>
      </w:r>
      <w:r>
        <w:rPr>
          <w:rFonts w:hint="eastAsia" w:ascii="楷体" w:hAnsi="楷体" w:eastAsia="楷体" w:cs="楷体"/>
          <w:b w:val="0"/>
          <w:bCs w:val="0"/>
          <w:color w:val="auto"/>
          <w:sz w:val="32"/>
          <w:szCs w:val="32"/>
          <w:highlight w:val="none"/>
          <w:lang w:val="en-US" w:eastAsia="zh-CN"/>
        </w:rPr>
        <w:t>（自治区发展改革委、交通运输厅、商务厅，呼和浩特海关、满洲里海关按职责分工负责）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（十四）推动冷链设备设施升级。</w:t>
      </w:r>
      <w:r>
        <w:rPr>
          <w:rFonts w:hint="eastAsia" w:ascii="仿宋" w:hAnsi="仿宋" w:eastAsia="仿宋" w:cs="仿宋"/>
          <w:b w:val="0"/>
          <w:bCs w:val="0"/>
          <w:color w:val="auto"/>
          <w:sz w:val="32"/>
          <w:szCs w:val="32"/>
          <w:highlight w:val="none"/>
          <w:u w:val="none"/>
          <w:lang w:val="en-US" w:eastAsia="zh-CN"/>
        </w:rPr>
        <w:t>引导冷链运输企业使用标准化托盘、周转箱等运载单元以及蓄冷箱、保温箱等单元化冷链载器具。加强标准化冷链载器具循环共用体系建设，完善载器具租赁、维修、保养、调度等公共运营服务。</w:t>
      </w:r>
      <w:r>
        <w:rPr>
          <w:rFonts w:hint="eastAsia" w:ascii="仿宋" w:hAnsi="仿宋" w:eastAsia="仿宋" w:cs="仿宋"/>
          <w:b w:val="0"/>
          <w:bCs w:val="0"/>
          <w:color w:val="auto"/>
          <w:sz w:val="32"/>
          <w:szCs w:val="32"/>
          <w:highlight w:val="none"/>
          <w:lang w:val="en-US" w:eastAsia="zh-CN"/>
        </w:rPr>
        <w:t>严格冷藏车市场准入</w:t>
      </w:r>
      <w:r>
        <w:rPr>
          <w:rFonts w:hint="eastAsia" w:ascii="仿宋" w:hAnsi="仿宋" w:eastAsia="仿宋" w:cs="仿宋"/>
          <w:b w:val="0"/>
          <w:bCs w:val="0"/>
          <w:color w:val="auto"/>
          <w:spacing w:val="6"/>
          <w:sz w:val="32"/>
          <w:szCs w:val="32"/>
          <w:highlight w:val="none"/>
          <w:lang w:val="en-US" w:eastAsia="zh-CN"/>
        </w:rPr>
        <w:t>条件，加大标准化车型推广力度，加强冷藏车生产、改装监管，</w:t>
      </w:r>
      <w:r>
        <w:rPr>
          <w:rFonts w:hint="eastAsia" w:ascii="仿宋" w:hAnsi="仿宋" w:eastAsia="仿宋" w:cs="仿宋"/>
          <w:b w:val="0"/>
          <w:bCs w:val="0"/>
          <w:color w:val="auto"/>
          <w:sz w:val="32"/>
          <w:szCs w:val="32"/>
          <w:highlight w:val="none"/>
          <w:lang w:val="en-US" w:eastAsia="zh-CN"/>
        </w:rPr>
        <w:t>依法依规严厉打击非法改装行为。</w:t>
      </w:r>
      <w:r>
        <w:rPr>
          <w:rFonts w:hint="eastAsia" w:ascii="楷体" w:hAnsi="楷体" w:eastAsia="楷体" w:cs="楷体"/>
          <w:b w:val="0"/>
          <w:bCs w:val="0"/>
          <w:color w:val="auto"/>
          <w:sz w:val="32"/>
          <w:szCs w:val="32"/>
          <w:highlight w:val="none"/>
          <w:lang w:val="en-US" w:eastAsia="zh-CN"/>
        </w:rPr>
        <w:t>（自治区公安厅、交通运输厅按职责分工负责）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（十五）提高数字化智能化水平。</w:t>
      </w:r>
      <w:r>
        <w:rPr>
          <w:rFonts w:hint="eastAsia" w:ascii="仿宋" w:hAnsi="仿宋" w:eastAsia="仿宋" w:cs="仿宋"/>
          <w:b w:val="0"/>
          <w:bCs w:val="0"/>
          <w:color w:val="auto"/>
          <w:sz w:val="32"/>
          <w:szCs w:val="32"/>
          <w:highlight w:val="none"/>
          <w:lang w:val="en-US" w:eastAsia="zh-CN"/>
        </w:rPr>
        <w:t>对接全国供销合作社农畜产品冷链物流公共服务信息平台，积极参与全国性、多层级数字冷链仓库网络建设。推动冷链物流数字化发展，推广温度传感器、温度记录仪、无线射频识别（RFID）电子标签等设备，实现到货检验、入库、出库、盘点等各环节数据自动化采集与传输。鼓励企业牵头开展冷链物流相关技术、装备的研发应用，促进传统冷链物流产业智能化发展。积极参与数字化冷库试点工作。依托呼</w:t>
      </w:r>
      <w:r>
        <w:rPr>
          <w:rFonts w:hint="eastAsia" w:ascii="仿宋" w:hAnsi="仿宋" w:eastAsia="仿宋" w:cs="仿宋"/>
          <w:b w:val="0"/>
          <w:bCs w:val="0"/>
          <w:color w:val="auto"/>
          <w:spacing w:val="6"/>
          <w:sz w:val="32"/>
          <w:szCs w:val="32"/>
          <w:highlight w:val="none"/>
          <w:lang w:val="en-US" w:eastAsia="zh-CN"/>
        </w:rPr>
        <w:t>和浩特市、乌兰察布市、鄂尔多斯市等城市网络货运试点工作，</w:t>
      </w:r>
      <w:r>
        <w:rPr>
          <w:rFonts w:hint="eastAsia" w:ascii="仿宋" w:hAnsi="仿宋" w:eastAsia="仿宋" w:cs="仿宋"/>
          <w:b w:val="0"/>
          <w:bCs w:val="0"/>
          <w:color w:val="auto"/>
          <w:sz w:val="32"/>
          <w:szCs w:val="32"/>
          <w:highlight w:val="none"/>
          <w:lang w:val="en-US" w:eastAsia="zh-CN"/>
        </w:rPr>
        <w:t>引导网络货运平台企业开展冷链物流业务，提高冷链物流运输效</w:t>
      </w:r>
      <w:r>
        <w:rPr>
          <w:rFonts w:hint="eastAsia" w:ascii="仿宋" w:hAnsi="仿宋" w:eastAsia="仿宋" w:cs="仿宋"/>
          <w:b w:val="0"/>
          <w:bCs w:val="0"/>
          <w:color w:val="auto"/>
          <w:spacing w:val="6"/>
          <w:sz w:val="32"/>
          <w:szCs w:val="32"/>
          <w:highlight w:val="none"/>
          <w:lang w:val="en-US" w:eastAsia="zh-CN"/>
        </w:rPr>
        <w:t>率。</w:t>
      </w:r>
      <w:r>
        <w:rPr>
          <w:rFonts w:hint="eastAsia" w:ascii="楷体" w:hAnsi="楷体" w:eastAsia="楷体" w:cs="楷体"/>
          <w:b w:val="0"/>
          <w:bCs w:val="0"/>
          <w:color w:val="auto"/>
          <w:spacing w:val="6"/>
          <w:sz w:val="32"/>
          <w:szCs w:val="32"/>
          <w:highlight w:val="none"/>
          <w:lang w:val="en-US" w:eastAsia="zh-CN"/>
        </w:rPr>
        <w:t>（自治区科技厅、工业和信息化厅、财政厅、交通运输厅、</w:t>
      </w:r>
      <w:r>
        <w:rPr>
          <w:rFonts w:hint="eastAsia" w:ascii="楷体" w:hAnsi="楷体" w:eastAsia="楷体" w:cs="楷体"/>
          <w:b w:val="0"/>
          <w:bCs w:val="0"/>
          <w:color w:val="auto"/>
          <w:sz w:val="32"/>
          <w:szCs w:val="32"/>
          <w:highlight w:val="none"/>
          <w:lang w:val="en-US" w:eastAsia="zh-CN"/>
        </w:rPr>
        <w:t>供销合作联社，内蒙古税务局按职责分工负责）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（十六）推动冷链物流绿色低碳发展。</w:t>
      </w:r>
      <w:r>
        <w:rPr>
          <w:rFonts w:hint="eastAsia" w:ascii="仿宋" w:hAnsi="仿宋" w:eastAsia="仿宋" w:cs="仿宋"/>
          <w:b w:val="0"/>
          <w:bCs w:val="0"/>
          <w:color w:val="auto"/>
          <w:sz w:val="32"/>
          <w:szCs w:val="32"/>
          <w:highlight w:val="none"/>
          <w:lang w:val="en-US" w:eastAsia="zh-CN"/>
        </w:rPr>
        <w:t>加快新能源冷藏车和冷藏箱研发制造，积极推广新型冷藏车、铁路冷藏车、冷藏集装箱。支持各类冷链物流基地、园区、集配中心和农畜产品批发市场等加强公共充电桩、加气站建设。新建冷库等设施要严格执行国家节能标准要求，鼓励利用太阳能、自然冷能等清洁能源。适应城市绿色配送发展需要，加快淘汰高排放冷藏车，鼓励更换新能源冷藏车，引导使用绿色、安全、节能、环保冷藏车及配套装备设施。</w:t>
      </w:r>
      <w:r>
        <w:rPr>
          <w:rFonts w:hint="eastAsia" w:ascii="楷体" w:hAnsi="楷体" w:eastAsia="楷体" w:cs="楷体"/>
          <w:b w:val="0"/>
          <w:bCs w:val="0"/>
          <w:color w:val="auto"/>
          <w:sz w:val="32"/>
          <w:szCs w:val="32"/>
          <w:highlight w:val="none"/>
          <w:lang w:val="en-US" w:eastAsia="zh-CN"/>
        </w:rPr>
        <w:t>（自治区工业和信息化厅、公安厅、交通运输厅、生态环境厅、能源局，内蒙古邮政管理局、中国铁路呼和浩特局集团有限公司按职责分工负责）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（十七）培育冷链物流市场主体。</w:t>
      </w:r>
      <w:r>
        <w:rPr>
          <w:rFonts w:hint="eastAsia" w:ascii="仿宋" w:hAnsi="仿宋" w:eastAsia="仿宋" w:cs="仿宋"/>
          <w:b w:val="0"/>
          <w:bCs w:val="0"/>
          <w:color w:val="auto"/>
          <w:sz w:val="32"/>
          <w:szCs w:val="32"/>
          <w:highlight w:val="none"/>
          <w:lang w:val="en-US" w:eastAsia="zh-CN"/>
        </w:rPr>
        <w:t>引导大型生产、流通企业整合开放内部冷链物流资源，开展社会化服务。推动农畜产品生产加工企业、商贸流通企业和物流企业深度参与冷链产品生产和贸易组织，提升供应链管理能力和市场竞争力。以招商引资和培育本土企业为抓手，大力引进区外大型第三方冷链物流企业，积极培育自治区第三方冷链物流企业。鼓励冷链物流企业跨界融合，创新业态模式，培育一批特色鲜明、创新发展的标杆企业。</w:t>
      </w:r>
      <w:r>
        <w:rPr>
          <w:rFonts w:hint="eastAsia" w:ascii="楷体" w:hAnsi="楷体" w:eastAsia="楷体" w:cs="楷体"/>
          <w:b w:val="0"/>
          <w:bCs w:val="0"/>
          <w:color w:val="auto"/>
          <w:sz w:val="32"/>
          <w:szCs w:val="32"/>
          <w:highlight w:val="none"/>
          <w:lang w:val="en-US" w:eastAsia="zh-CN"/>
        </w:rPr>
        <w:t>（自治区商务厅、交通运输厅、国资委、供销合作联社按职责分工负责）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（十八）健全监管制度。</w:t>
      </w:r>
      <w:r>
        <w:rPr>
          <w:rFonts w:hint="eastAsia" w:ascii="仿宋" w:hAnsi="仿宋" w:eastAsia="仿宋" w:cs="仿宋"/>
          <w:b w:val="0"/>
          <w:bCs w:val="0"/>
          <w:color w:val="auto"/>
          <w:sz w:val="32"/>
          <w:szCs w:val="32"/>
          <w:highlight w:val="none"/>
          <w:lang w:val="en-US" w:eastAsia="zh-CN"/>
        </w:rPr>
        <w:t>严格执行《中华人民共和国食品安全法》《中华人民共和国药品管理法》《中华人民共和国疫苗管理法》等冷链物流相关法律法规，完善自治区配套法规政策。建立统一领导、分工负责、分级管理的冷链物流监管机制，加强跨部门沟通协调，加大监督检查力度，确保各项监管制度严格执行到位。依法规范各类冷链物流相关市场主体经营活动，严格执行农畜产品、食品入市查验制度。</w:t>
      </w:r>
      <w:r>
        <w:rPr>
          <w:rFonts w:hint="eastAsia" w:ascii="楷体" w:hAnsi="楷体" w:eastAsia="楷体" w:cs="楷体"/>
          <w:b w:val="0"/>
          <w:bCs w:val="0"/>
          <w:color w:val="auto"/>
          <w:sz w:val="32"/>
          <w:szCs w:val="32"/>
          <w:highlight w:val="none"/>
          <w:lang w:val="en-US" w:eastAsia="zh-CN"/>
        </w:rPr>
        <w:t>（自治区市场监管局、交通运输厅、卫生健康委、供销合作联社，内蒙古邮政管理局按职责分工负责）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（十九）创新优化监管方式方法。</w:t>
      </w:r>
      <w:r>
        <w:rPr>
          <w:rFonts w:hint="eastAsia" w:ascii="仿宋" w:hAnsi="仿宋" w:eastAsia="仿宋" w:cs="仿宋"/>
          <w:b w:val="0"/>
          <w:bCs w:val="0"/>
          <w:color w:val="auto"/>
          <w:sz w:val="32"/>
          <w:szCs w:val="32"/>
          <w:highlight w:val="none"/>
          <w:lang w:val="en-US" w:eastAsia="zh-CN"/>
        </w:rPr>
        <w:t>逐步完善冷链追溯、运输监管等重要领域信息平台，推动海关、市场监管、交通运输等跨</w:t>
      </w:r>
      <w:r>
        <w:rPr>
          <w:rFonts w:hint="eastAsia" w:ascii="仿宋" w:hAnsi="仿宋" w:eastAsia="仿宋" w:cs="仿宋"/>
          <w:b w:val="0"/>
          <w:bCs w:val="0"/>
          <w:color w:val="auto"/>
          <w:spacing w:val="6"/>
          <w:sz w:val="32"/>
          <w:szCs w:val="32"/>
          <w:highlight w:val="none"/>
          <w:lang w:val="en-US" w:eastAsia="zh-CN"/>
        </w:rPr>
        <w:t>部门协同监管和数据资源共享。依托“蒙冷链”食品追溯系统，</w:t>
      </w:r>
      <w:r>
        <w:rPr>
          <w:rFonts w:hint="eastAsia" w:ascii="仿宋" w:hAnsi="仿宋" w:eastAsia="仿宋" w:cs="仿宋"/>
          <w:b w:val="0"/>
          <w:bCs w:val="0"/>
          <w:color w:val="auto"/>
          <w:sz w:val="32"/>
          <w:szCs w:val="32"/>
          <w:highlight w:val="none"/>
          <w:lang w:val="en-US" w:eastAsia="zh-CN"/>
        </w:rPr>
        <w:t>加快形成全链条追溯体系，提升冷链监管效能。畅通消费者投诉举报渠道，引导和鼓励群众参与冷链物流监督。依托内蒙古社会信用信息平台，加强冷链物流企业信用信息归集和共享，通过“信用中国（内蒙古）”网站依法向社会公开。加大信用信息评价结果应用力度，依法依规实施联合奖惩。</w:t>
      </w:r>
      <w:r>
        <w:rPr>
          <w:rFonts w:hint="eastAsia" w:ascii="楷体" w:hAnsi="楷体" w:eastAsia="楷体" w:cs="楷体"/>
          <w:b w:val="0"/>
          <w:bCs w:val="0"/>
          <w:color w:val="auto"/>
          <w:sz w:val="32"/>
          <w:szCs w:val="32"/>
          <w:highlight w:val="none"/>
          <w:lang w:val="en-US" w:eastAsia="zh-CN"/>
        </w:rPr>
        <w:t>（自治区发展改革委、交通运输厅、市场监管局、大数据中心，呼和浩特海关、满洲里海关、人民银行呼和浩特中心支行按职责分工负责）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（二十）强化检验检疫。</w:t>
      </w:r>
      <w:r>
        <w:rPr>
          <w:rFonts w:hint="eastAsia" w:ascii="仿宋" w:hAnsi="仿宋" w:eastAsia="仿宋" w:cs="仿宋"/>
          <w:b w:val="0"/>
          <w:bCs w:val="0"/>
          <w:color w:val="auto"/>
          <w:sz w:val="32"/>
          <w:szCs w:val="32"/>
          <w:highlight w:val="none"/>
          <w:lang w:val="en-US" w:eastAsia="zh-CN"/>
        </w:rPr>
        <w:t>围绕主要农畜产品产销区</w:t>
      </w:r>
      <w:r>
        <w:rPr>
          <w:rFonts w:hint="eastAsia" w:ascii="仿宋" w:hAnsi="仿宋" w:eastAsia="仿宋" w:cs="仿宋"/>
          <w:b w:val="0"/>
          <w:bCs w:val="0"/>
          <w:color w:val="auto"/>
          <w:spacing w:val="-6"/>
          <w:sz w:val="32"/>
          <w:szCs w:val="32"/>
          <w:highlight w:val="none"/>
          <w:lang w:val="en-US" w:eastAsia="zh-CN"/>
        </w:rPr>
        <w:t>、集散地、</w:t>
      </w:r>
      <w:r>
        <w:rPr>
          <w:rFonts w:hint="eastAsia" w:ascii="仿宋" w:hAnsi="仿宋" w:eastAsia="仿宋" w:cs="仿宋"/>
          <w:b w:val="0"/>
          <w:bCs w:val="0"/>
          <w:color w:val="auto"/>
          <w:spacing w:val="6"/>
          <w:sz w:val="32"/>
          <w:szCs w:val="32"/>
          <w:highlight w:val="none"/>
          <w:lang w:val="en-US" w:eastAsia="zh-CN"/>
        </w:rPr>
        <w:t>口岸等重点地区，优化检验检疫站点布局，提高装备配备水平，</w:t>
      </w:r>
      <w:r>
        <w:rPr>
          <w:rFonts w:hint="eastAsia" w:ascii="仿宋" w:hAnsi="仿宋" w:eastAsia="仿宋" w:cs="仿宋"/>
          <w:b w:val="0"/>
          <w:bCs w:val="0"/>
          <w:color w:val="auto"/>
          <w:sz w:val="32"/>
          <w:szCs w:val="32"/>
          <w:highlight w:val="none"/>
          <w:lang w:val="en-US" w:eastAsia="zh-CN"/>
        </w:rPr>
        <w:t>增强冷链食品药品检验检疫能力。支持农畜产品批发市场、冷链物流企业、屠宰加工企业等建设快检实验室。依托自治区和各盟市食品安全重点实验室，加强食品安全专业技术机构冷链物流检验检疫能力建设。推动冷链产品检验检测检疫实现全过程及跨区域信息互通、监管互认和执法互助。建立健全进口冻品集中监管制度，加强检验检疫结果、货物来源去向等关键数据共享。支持冷链物流企业通过产学研合作方式，牵头组建检验检测领域重点实验室、企业研发中心等各类创新平台载体，提升冷链物流检验检疫能力和水平。</w:t>
      </w:r>
      <w:r>
        <w:rPr>
          <w:rFonts w:hint="eastAsia" w:ascii="楷体" w:hAnsi="楷体" w:eastAsia="楷体" w:cs="楷体"/>
          <w:b w:val="0"/>
          <w:bCs w:val="0"/>
          <w:color w:val="auto"/>
          <w:sz w:val="32"/>
          <w:szCs w:val="32"/>
          <w:highlight w:val="none"/>
          <w:lang w:val="en-US" w:eastAsia="zh-CN"/>
        </w:rPr>
        <w:t>（自治区市场监管局、科技厅、公安厅、卫生健康委，呼和浩特海关、满洲里海关按职责分工负责）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三、保障措施</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（一）加强组织领导。</w:t>
      </w:r>
      <w:r>
        <w:rPr>
          <w:rFonts w:hint="eastAsia" w:ascii="仿宋" w:hAnsi="仿宋" w:eastAsia="仿宋" w:cs="仿宋"/>
          <w:b w:val="0"/>
          <w:bCs w:val="0"/>
          <w:color w:val="auto"/>
          <w:sz w:val="32"/>
          <w:szCs w:val="32"/>
          <w:highlight w:val="none"/>
          <w:lang w:val="en-US" w:eastAsia="zh-CN"/>
        </w:rPr>
        <w:t>自治区发展改革委要会同有关部门建立冷链物流发展协调推进工作机制，统筹推进重点工作落地，重大问题及时向自治区人民政府报告。各地区、各有关部门要结合</w:t>
      </w:r>
      <w:r>
        <w:rPr>
          <w:rFonts w:hint="eastAsia" w:ascii="仿宋" w:hAnsi="仿宋" w:eastAsia="仿宋" w:cs="仿宋"/>
          <w:b w:val="0"/>
          <w:bCs w:val="0"/>
          <w:color w:val="auto"/>
          <w:spacing w:val="-6"/>
          <w:sz w:val="32"/>
          <w:szCs w:val="32"/>
          <w:highlight w:val="none"/>
          <w:lang w:val="en-US" w:eastAsia="zh-CN"/>
        </w:rPr>
        <w:t>实际，细化任务举措，压实工作责任，统筹推进冷链物流发展。</w:t>
      </w:r>
      <w:r>
        <w:rPr>
          <w:rFonts w:hint="eastAsia" w:ascii="仿宋" w:hAnsi="仿宋" w:eastAsia="仿宋" w:cs="仿宋"/>
          <w:b w:val="0"/>
          <w:bCs w:val="0"/>
          <w:color w:val="auto"/>
          <w:sz w:val="32"/>
          <w:szCs w:val="32"/>
          <w:highlight w:val="none"/>
          <w:lang w:val="en-US" w:eastAsia="zh-CN"/>
        </w:rPr>
        <w:t>自治区各有关部门要对照国家《“十四五”冷链物流发展规划》重点工程，按照职责分工落实好自治区冷链物流发展重点工程。</w:t>
      </w:r>
      <w:r>
        <w:rPr>
          <w:rFonts w:hint="eastAsia" w:ascii="楷体" w:hAnsi="楷体" w:eastAsia="楷体" w:cs="楷体"/>
          <w:b w:val="0"/>
          <w:bCs w:val="0"/>
          <w:color w:val="auto"/>
          <w:sz w:val="32"/>
          <w:szCs w:val="32"/>
          <w:highlight w:val="none"/>
          <w:lang w:val="en-US" w:eastAsia="zh-CN"/>
        </w:rPr>
        <w:t>（自治区发展改革委、各有关部门按职责分工负责）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（二）强化政策支持。</w:t>
      </w:r>
      <w:r>
        <w:rPr>
          <w:rFonts w:hint="eastAsia" w:ascii="仿宋" w:hAnsi="仿宋" w:eastAsia="仿宋" w:cs="仿宋"/>
          <w:b w:val="0"/>
          <w:bCs w:val="0"/>
          <w:color w:val="auto"/>
          <w:sz w:val="32"/>
          <w:szCs w:val="32"/>
          <w:highlight w:val="none"/>
          <w:lang w:val="en-US" w:eastAsia="zh-CN"/>
        </w:rPr>
        <w:t>建立健全冷链物流项目储备库，利用地方政府专项债券、各级财政资金等现有资金支持渠道，支持符合条件的国家骨干冷链物流基地、冷链集配中心、产地保鲜设施等冷链物流基础设施建设。推荐符合条件的项目申报中国农业发展银行农村流通体系建设贷款。在严格落实国家土地政策基础上，统筹做好冷链物流设施布局建设与国土空间等相关规划的衔接，保障合理用地需求。永久性农畜产品预冷设施用地按建设用地管理，在用地安排上给予支持。冷链物流企业仓储用地符合条件的，按规定享受城镇土地使用税优惠政策。严格落实鲜活农畜产品运输“绿色通道”政策，鼓励各地区因地制宜出台支持城市</w:t>
      </w:r>
      <w:r>
        <w:rPr>
          <w:rFonts w:hint="eastAsia" w:ascii="仿宋" w:hAnsi="仿宋" w:eastAsia="仿宋" w:cs="仿宋"/>
          <w:b w:val="0"/>
          <w:bCs w:val="0"/>
          <w:color w:val="auto"/>
          <w:spacing w:val="6"/>
          <w:sz w:val="32"/>
          <w:szCs w:val="32"/>
          <w:highlight w:val="none"/>
          <w:lang w:val="en-US" w:eastAsia="zh-CN"/>
        </w:rPr>
        <w:t>配送冷藏车便利通行政策。在冷链物流领域推行“一照多址”，</w:t>
      </w:r>
      <w:r>
        <w:rPr>
          <w:rFonts w:hint="eastAsia" w:ascii="仿宋" w:hAnsi="仿宋" w:eastAsia="仿宋" w:cs="仿宋"/>
          <w:b w:val="0"/>
          <w:bCs w:val="0"/>
          <w:color w:val="auto"/>
          <w:sz w:val="32"/>
          <w:szCs w:val="32"/>
          <w:highlight w:val="none"/>
          <w:lang w:val="en-US" w:eastAsia="zh-CN"/>
        </w:rPr>
        <w:t>全面推广资质证照电子化，完善便利服务。</w:t>
      </w:r>
      <w:r>
        <w:rPr>
          <w:rFonts w:hint="eastAsia" w:ascii="楷体" w:hAnsi="楷体" w:eastAsia="楷体" w:cs="楷体"/>
          <w:b w:val="0"/>
          <w:bCs w:val="0"/>
          <w:color w:val="auto"/>
          <w:sz w:val="32"/>
          <w:szCs w:val="32"/>
          <w:highlight w:val="none"/>
          <w:lang w:val="en-US" w:eastAsia="zh-CN"/>
        </w:rPr>
        <w:t>（自治区发展改革委、</w:t>
      </w:r>
      <w:r>
        <w:rPr>
          <w:rFonts w:hint="eastAsia" w:ascii="楷体" w:hAnsi="楷体" w:eastAsia="楷体" w:cs="楷体"/>
          <w:b w:val="0"/>
          <w:bCs w:val="0"/>
          <w:color w:val="auto"/>
          <w:spacing w:val="6"/>
          <w:sz w:val="32"/>
          <w:szCs w:val="32"/>
          <w:highlight w:val="none"/>
          <w:lang w:val="en-US" w:eastAsia="zh-CN"/>
        </w:rPr>
        <w:t>公安厅、财政厅、自然资源厅、交通运输厅、农牧厅、商务厅、</w:t>
      </w:r>
      <w:r>
        <w:rPr>
          <w:rFonts w:hint="eastAsia" w:ascii="楷体" w:hAnsi="楷体" w:eastAsia="楷体" w:cs="楷体"/>
          <w:b w:val="0"/>
          <w:bCs w:val="0"/>
          <w:color w:val="auto"/>
          <w:sz w:val="32"/>
          <w:szCs w:val="32"/>
          <w:highlight w:val="none"/>
          <w:lang w:val="en-US" w:eastAsia="zh-CN"/>
        </w:rPr>
        <w:t>市场监管局，内蒙古税务局、农业发展银行内蒙古分行按职责分工负责）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（三）加强专业人才培养。</w:t>
      </w:r>
      <w:r>
        <w:rPr>
          <w:rFonts w:hint="eastAsia" w:ascii="仿宋" w:hAnsi="仿宋" w:eastAsia="仿宋" w:cs="仿宋"/>
          <w:b w:val="0"/>
          <w:bCs w:val="0"/>
          <w:color w:val="auto"/>
          <w:sz w:val="32"/>
          <w:szCs w:val="32"/>
          <w:highlight w:val="none"/>
          <w:lang w:val="en-US" w:eastAsia="zh-CN"/>
        </w:rPr>
        <w:t>支持具备条件的高等院校和职业院校开设冷链物流相关专业或课程。鼓励高等院校深入对接行业需求，以应用为导向发展冷链物流继续教育。鼓励职业院校与冷链物流相关企业合作，通过建立实训基地、产业学院等方式，强化冷链物流人才实践能力及创新能力培养。开展多层次、宽领域国际国内交流合作，培养引进高层次冷链物流人才。</w:t>
      </w:r>
      <w:r>
        <w:rPr>
          <w:rFonts w:hint="eastAsia" w:ascii="楷体" w:hAnsi="楷体" w:eastAsia="楷体" w:cs="楷体"/>
          <w:b w:val="0"/>
          <w:bCs w:val="0"/>
          <w:color w:val="auto"/>
          <w:sz w:val="32"/>
          <w:szCs w:val="32"/>
          <w:highlight w:val="none"/>
          <w:lang w:val="en-US" w:eastAsia="zh-CN"/>
        </w:rPr>
        <w:t>（自治区教育厅、人力资源社会保障厅按职责分工负责）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（四）强化标准执行和统计监测。</w:t>
      </w:r>
      <w:r>
        <w:rPr>
          <w:rFonts w:hint="eastAsia" w:ascii="仿宋" w:hAnsi="仿宋" w:eastAsia="仿宋" w:cs="仿宋"/>
          <w:b w:val="0"/>
          <w:bCs w:val="0"/>
          <w:color w:val="auto"/>
          <w:sz w:val="32"/>
          <w:szCs w:val="32"/>
          <w:highlight w:val="none"/>
          <w:lang w:val="en-US" w:eastAsia="zh-CN"/>
        </w:rPr>
        <w:t>严格落实冷链物流强制性国家标准、行业标准。以行业协会、高等院校、科研院所、龙头</w:t>
      </w:r>
      <w:r>
        <w:rPr>
          <w:rFonts w:hint="eastAsia" w:ascii="仿宋" w:hAnsi="仿宋" w:eastAsia="仿宋" w:cs="仿宋"/>
          <w:b w:val="0"/>
          <w:bCs w:val="0"/>
          <w:color w:val="auto"/>
          <w:spacing w:val="-6"/>
          <w:sz w:val="32"/>
          <w:szCs w:val="32"/>
          <w:highlight w:val="none"/>
          <w:lang w:val="en-US" w:eastAsia="zh-CN"/>
        </w:rPr>
        <w:t>企业等为重点，推动冷链物流标准化工作。按照国家统一安排，</w:t>
      </w:r>
      <w:r>
        <w:rPr>
          <w:rFonts w:hint="eastAsia" w:ascii="仿宋" w:hAnsi="仿宋" w:eastAsia="仿宋" w:cs="仿宋"/>
          <w:b w:val="0"/>
          <w:bCs w:val="0"/>
          <w:color w:val="auto"/>
          <w:sz w:val="32"/>
          <w:szCs w:val="32"/>
          <w:highlight w:val="none"/>
          <w:lang w:val="en-US" w:eastAsia="zh-CN"/>
        </w:rPr>
        <w:t>开展冷链物流行业调查和冷链物流行业统计制度建立工作，根据实际需要开展冷链物流统计试点。依托国家骨干冷链物流基地、冷链集配中心、龙头物流企业、行业协会等，加强日常运行监测和行业发展形势分析研判。</w:t>
      </w:r>
      <w:r>
        <w:rPr>
          <w:rFonts w:hint="eastAsia" w:ascii="楷体" w:hAnsi="楷体" w:eastAsia="楷体" w:cs="楷体"/>
          <w:b w:val="0"/>
          <w:bCs w:val="0"/>
          <w:color w:val="auto"/>
          <w:sz w:val="32"/>
          <w:szCs w:val="32"/>
          <w:highlight w:val="none"/>
          <w:lang w:val="en-US" w:eastAsia="zh-CN"/>
        </w:rPr>
        <w:t>（自治区发展改革委、交通运输厅、农牧厅、商务厅、市场监管局、统计局按职责分工负责）</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0" w:firstLineChars="0"/>
        <w:textAlignment w:val="auto"/>
        <w:rPr>
          <w:rFonts w:hint="eastAsia" w:ascii="仿宋" w:hAnsi="仿宋" w:eastAsia="仿宋" w:cs="仿宋"/>
          <w:b w:val="0"/>
          <w:bCs w:val="0"/>
          <w:color w:val="auto"/>
          <w:sz w:val="32"/>
          <w:szCs w:val="32"/>
          <w:highlight w:val="none"/>
          <w:lang w:val="en-US" w:eastAsia="zh-CN"/>
        </w:rPr>
      </w:pPr>
    </w:p>
    <w:p>
      <w:pPr>
        <w:pStyle w:val="2"/>
        <w:keepNext w:val="0"/>
        <w:keepLines w:val="0"/>
        <w:pageBreakBefore w:val="0"/>
        <w:widowControl w:val="0"/>
        <w:kinsoku/>
        <w:wordWrap/>
        <w:overflowPunct/>
        <w:topLinePunct/>
        <w:autoSpaceDE/>
        <w:autoSpaceDN/>
        <w:bidi w:val="0"/>
        <w:adjustRightInd/>
        <w:snapToGrid/>
        <w:spacing w:after="0" w:line="580" w:lineRule="exact"/>
        <w:ind w:firstLine="640" w:firstLineChars="200"/>
        <w:jc w:val="both"/>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sz w:val="32"/>
          <w:szCs w:val="32"/>
          <w:highlight w:val="none"/>
          <w:lang w:val="en-US" w:eastAsia="zh-CN"/>
        </w:rPr>
        <w:t>附件：</w:t>
      </w:r>
      <w:r>
        <w:rPr>
          <w:rFonts w:hint="eastAsia" w:ascii="仿宋" w:hAnsi="仿宋" w:eastAsia="仿宋" w:cs="仿宋"/>
          <w:b w:val="0"/>
          <w:bCs w:val="0"/>
          <w:color w:val="auto"/>
          <w:kern w:val="2"/>
          <w:sz w:val="32"/>
          <w:szCs w:val="32"/>
          <w:highlight w:val="none"/>
          <w:lang w:val="en-US" w:eastAsia="zh-CN" w:bidi="ar-SA"/>
        </w:rPr>
        <w:t>内蒙古自治区冷链物流发展重点工程</w:t>
      </w: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autoSpaceDE/>
        <w:autoSpaceDN/>
        <w:bidi w:val="0"/>
        <w:adjustRightInd/>
        <w:snapToGrid/>
        <w:spacing w:after="0" w:line="580" w:lineRule="exact"/>
        <w:textAlignment w:val="auto"/>
        <w:rPr>
          <w:rFonts w:hint="eastAsia" w:ascii="仿宋" w:hAnsi="仿宋" w:eastAsia="仿宋" w:cs="仿宋"/>
          <w:sz w:val="32"/>
          <w:szCs w:val="32"/>
        </w:rPr>
      </w:pPr>
    </w:p>
    <w:p>
      <w:pPr>
        <w:pStyle w:val="3"/>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autoSpaceDE/>
        <w:autoSpaceDN/>
        <w:bidi w:val="0"/>
        <w:adjustRightInd/>
        <w:snapToGrid/>
        <w:spacing w:after="0" w:line="580" w:lineRule="exact"/>
        <w:textAlignment w:val="auto"/>
        <w:rPr>
          <w:rFonts w:hint="eastAsia" w:ascii="仿宋" w:hAnsi="仿宋" w:eastAsia="仿宋" w:cs="仿宋"/>
          <w:sz w:val="32"/>
          <w:szCs w:val="32"/>
        </w:rPr>
      </w:pPr>
    </w:p>
    <w:p>
      <w:pPr>
        <w:pStyle w:val="3"/>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autoSpaceDE/>
        <w:autoSpaceDN/>
        <w:bidi w:val="0"/>
        <w:adjustRightInd/>
        <w:snapToGrid/>
        <w:spacing w:after="0" w:line="580" w:lineRule="exact"/>
        <w:textAlignment w:val="auto"/>
        <w:rPr>
          <w:rFonts w:hint="eastAsia" w:ascii="仿宋" w:hAnsi="仿宋" w:eastAsia="仿宋" w:cs="仿宋"/>
          <w:sz w:val="32"/>
          <w:szCs w:val="32"/>
        </w:rPr>
      </w:pPr>
    </w:p>
    <w:p>
      <w:pPr>
        <w:pStyle w:val="3"/>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autoSpaceDE/>
        <w:autoSpaceDN/>
        <w:bidi w:val="0"/>
        <w:adjustRightInd/>
        <w:snapToGrid/>
        <w:spacing w:after="0" w:line="240" w:lineRule="auto"/>
        <w:textAlignment w:val="auto"/>
        <w:rPr>
          <w:rFonts w:hint="eastAsia" w:ascii="仿宋" w:hAnsi="仿宋" w:eastAsia="仿宋" w:cs="仿宋"/>
          <w:sz w:val="32"/>
          <w:szCs w:val="32"/>
          <w:lang w:eastAsia="zh-CN"/>
        </w:rPr>
        <w:sectPr>
          <w:headerReference r:id="rId3" w:type="default"/>
          <w:footerReference r:id="rId5" w:type="default"/>
          <w:headerReference r:id="rId4" w:type="even"/>
          <w:footerReference r:id="rId6" w:type="even"/>
          <w:pgSz w:w="11906" w:h="16838"/>
          <w:pgMar w:top="2098" w:right="1474" w:bottom="1701" w:left="1474" w:header="851" w:footer="1417" w:gutter="0"/>
          <w:paperSrc/>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2"/>
        <w:keepNext w:val="0"/>
        <w:keepLines w:val="0"/>
        <w:pageBreakBefore w:val="0"/>
        <w:widowControl w:val="0"/>
        <w:kinsoku/>
        <w:wordWrap/>
        <w:overflowPunct/>
        <w:topLinePunct/>
        <w:autoSpaceDE/>
        <w:autoSpaceDN/>
        <w:bidi w:val="0"/>
        <w:adjustRightInd/>
        <w:snapToGrid/>
        <w:spacing w:after="0" w:line="240" w:lineRule="auto"/>
        <w:textAlignment w:val="auto"/>
        <w:rPr>
          <w:rFonts w:hint="eastAsia" w:ascii="仿宋" w:hAnsi="仿宋" w:eastAsia="仿宋" w:cs="仿宋"/>
          <w:sz w:val="32"/>
          <w:szCs w:val="32"/>
          <w:lang w:eastAsia="zh-CN"/>
        </w:rPr>
        <w:sectPr>
          <w:pgSz w:w="16838" w:h="11906" w:orient="landscape"/>
          <w:pgMar w:top="1474" w:right="2098" w:bottom="1474" w:left="1701" w:header="851" w:footer="1417" w:gutter="0"/>
          <w:paperSrc/>
          <w:pgBorders>
            <w:top w:val="none" w:sz="0" w:space="0"/>
            <w:left w:val="none" w:sz="0" w:space="0"/>
            <w:bottom w:val="none" w:sz="0" w:space="0"/>
            <w:right w:val="none" w:sz="0" w:space="0"/>
          </w:pgBorders>
          <w:pgNumType w:fmt="numberInDash"/>
          <w:cols w:space="0" w:num="1"/>
          <w:rtlGutter w:val="0"/>
          <w:docGrid w:type="lines" w:linePitch="319" w:charSpace="0"/>
        </w:sectPr>
      </w:pPr>
      <w:r>
        <w:rPr>
          <w:rFonts w:hint="eastAsia" w:ascii="仿宋" w:hAnsi="仿宋" w:eastAsia="仿宋" w:cs="仿宋"/>
          <w:sz w:val="32"/>
          <w:szCs w:val="32"/>
          <w:lang w:eastAsia="zh-CN"/>
        </w:rPr>
        <w:drawing>
          <wp:inline distT="0" distB="0" distL="114300" distR="114300">
            <wp:extent cx="5617210" cy="8098790"/>
            <wp:effectExtent l="0" t="0" r="16510" b="2540"/>
            <wp:docPr id="1" name="图片 6" descr="内政办发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内政办发82-1"/>
                    <pic:cNvPicPr>
                      <a:picLocks noChangeAspect="1"/>
                    </pic:cNvPicPr>
                  </pic:nvPicPr>
                  <pic:blipFill>
                    <a:blip r:embed="rId8"/>
                    <a:stretch>
                      <a:fillRect/>
                    </a:stretch>
                  </pic:blipFill>
                  <pic:spPr>
                    <a:xfrm rot="5400000">
                      <a:off x="0" y="0"/>
                      <a:ext cx="5617210" cy="8098790"/>
                    </a:xfrm>
                    <a:prstGeom prst="rect">
                      <a:avLst/>
                    </a:prstGeom>
                    <a:noFill/>
                    <a:ln>
                      <a:noFill/>
                    </a:ln>
                  </pic:spPr>
                </pic:pic>
              </a:graphicData>
            </a:graphic>
          </wp:inline>
        </w:drawing>
      </w:r>
    </w:p>
    <w:p>
      <w:pPr>
        <w:pStyle w:val="2"/>
        <w:keepNext w:val="0"/>
        <w:keepLines w:val="0"/>
        <w:pageBreakBefore w:val="0"/>
        <w:widowControl w:val="0"/>
        <w:kinsoku/>
        <w:wordWrap/>
        <w:overflowPunct/>
        <w:topLinePunct/>
        <w:autoSpaceDE/>
        <w:autoSpaceDN/>
        <w:bidi w:val="0"/>
        <w:adjustRightInd/>
        <w:snapToGrid/>
        <w:spacing w:after="0"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635625" cy="8229600"/>
            <wp:effectExtent l="0" t="0" r="0" b="3175"/>
            <wp:docPr id="2" name="图片 5" descr="内政办发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内政办发82-2"/>
                    <pic:cNvPicPr>
                      <a:picLocks noChangeAspect="1"/>
                    </pic:cNvPicPr>
                  </pic:nvPicPr>
                  <pic:blipFill>
                    <a:blip r:embed="rId9"/>
                    <a:stretch>
                      <a:fillRect/>
                    </a:stretch>
                  </pic:blipFill>
                  <pic:spPr>
                    <a:xfrm rot="5400000">
                      <a:off x="0" y="0"/>
                      <a:ext cx="5635625" cy="822960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5623560" cy="8217535"/>
            <wp:effectExtent l="0" t="0" r="12065" b="15240"/>
            <wp:docPr id="3" name="图片 4" descr="内政办发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内政办发82-3"/>
                    <pic:cNvPicPr>
                      <a:picLocks noChangeAspect="1"/>
                    </pic:cNvPicPr>
                  </pic:nvPicPr>
                  <pic:blipFill>
                    <a:blip r:embed="rId10"/>
                    <a:stretch>
                      <a:fillRect/>
                    </a:stretch>
                  </pic:blipFill>
                  <pic:spPr>
                    <a:xfrm rot="5400000">
                      <a:off x="0" y="0"/>
                      <a:ext cx="5623560" cy="8217535"/>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5635625" cy="8229600"/>
            <wp:effectExtent l="0" t="0" r="0" b="3175"/>
            <wp:docPr id="5" name="图片 8" descr="内政办发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内政办发82-4"/>
                    <pic:cNvPicPr>
                      <a:picLocks noChangeAspect="1"/>
                    </pic:cNvPicPr>
                  </pic:nvPicPr>
                  <pic:blipFill>
                    <a:blip r:embed="rId11"/>
                    <a:stretch>
                      <a:fillRect/>
                    </a:stretch>
                  </pic:blipFill>
                  <pic:spPr>
                    <a:xfrm rot="5400000">
                      <a:off x="0" y="0"/>
                      <a:ext cx="5635625" cy="8229600"/>
                    </a:xfrm>
                    <a:prstGeom prst="rect">
                      <a:avLst/>
                    </a:prstGeom>
                    <a:noFill/>
                    <a:ln>
                      <a:noFill/>
                    </a:ln>
                  </pic:spPr>
                </pic:pic>
              </a:graphicData>
            </a:graphic>
          </wp:inline>
        </w:drawing>
      </w:r>
      <w:bookmarkStart w:id="1" w:name="_GoBack"/>
      <w:r>
        <w:rPr>
          <w:rFonts w:hint="eastAsia" w:ascii="仿宋" w:hAnsi="仿宋" w:eastAsia="仿宋" w:cs="仿宋"/>
          <w:sz w:val="32"/>
          <w:szCs w:val="32"/>
          <w:lang w:eastAsia="zh-CN"/>
        </w:rPr>
        <w:drawing>
          <wp:inline distT="0" distB="0" distL="114300" distR="114300">
            <wp:extent cx="5187950" cy="8143875"/>
            <wp:effectExtent l="0" t="0" r="9525" b="12700"/>
            <wp:docPr id="4" name="图片 2" descr="内政办发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内政办发82-5"/>
                    <pic:cNvPicPr>
                      <a:picLocks noChangeAspect="1"/>
                    </pic:cNvPicPr>
                  </pic:nvPicPr>
                  <pic:blipFill>
                    <a:blip r:embed="rId12"/>
                    <a:stretch>
                      <a:fillRect/>
                    </a:stretch>
                  </pic:blipFill>
                  <pic:spPr>
                    <a:xfrm rot="5400000">
                      <a:off x="0" y="0"/>
                      <a:ext cx="5187950" cy="8143875"/>
                    </a:xfrm>
                    <a:prstGeom prst="rect">
                      <a:avLst/>
                    </a:prstGeom>
                    <a:noFill/>
                    <a:ln>
                      <a:noFill/>
                    </a:ln>
                  </pic:spPr>
                </pic:pic>
              </a:graphicData>
            </a:graphic>
          </wp:inline>
        </w:drawing>
      </w:r>
      <w:bookmarkEnd w:id="1"/>
    </w:p>
    <w:p>
      <w:pPr>
        <w:pStyle w:val="2"/>
        <w:rPr>
          <w:rFonts w:hint="eastAsia"/>
        </w:rPr>
      </w:pPr>
    </w:p>
    <w:p>
      <w:pPr>
        <w:pStyle w:val="2"/>
        <w:rPr>
          <w:rFonts w:hint="eastAsia"/>
        </w:rPr>
      </w:pPr>
    </w:p>
    <w:p>
      <w:pPr>
        <w:pStyle w:val="3"/>
        <w:rPr>
          <w:rFonts w:hint="eastAsia"/>
        </w:rPr>
      </w:pPr>
    </w:p>
    <w:p>
      <w:pPr>
        <w:pStyle w:val="2"/>
        <w:rPr>
          <w:rFonts w:hint="eastAsia"/>
        </w:rPr>
      </w:pPr>
    </w:p>
    <w:p>
      <w:pPr>
        <w:pStyle w:val="3"/>
        <w:rPr>
          <w:rFonts w:hint="eastAsia"/>
        </w:rPr>
      </w:pPr>
    </w:p>
    <w:p>
      <w:pPr>
        <w:pStyle w:val="3"/>
        <w:rPr>
          <w:rFonts w:hint="eastAsia"/>
        </w:rPr>
      </w:pPr>
    </w:p>
    <w:p>
      <w:pPr>
        <w:pStyle w:val="2"/>
        <w:rPr>
          <w:rFonts w:hint="eastAsia"/>
        </w:rPr>
      </w:pPr>
    </w:p>
    <w:p>
      <w:pPr>
        <w:pStyle w:val="3"/>
        <w:rPr>
          <w:rFonts w:hint="eastAsia"/>
        </w:rPr>
      </w:pPr>
    </w:p>
    <w:p>
      <w:pPr>
        <w:pStyle w:val="2"/>
        <w:rPr>
          <w:rFonts w:hint="eastAsia"/>
        </w:rPr>
      </w:pPr>
    </w:p>
    <w:p>
      <w:pPr>
        <w:pStyle w:val="2"/>
        <w:rPr>
          <w:rFonts w:hint="eastAsia"/>
        </w:rPr>
      </w:pPr>
    </w:p>
    <w:p>
      <w:pPr>
        <w:pStyle w:val="3"/>
        <w:rPr>
          <w:rFonts w:hint="eastAsia"/>
        </w:rPr>
      </w:pPr>
    </w:p>
    <w:tbl>
      <w:tblPr>
        <w:tblStyle w:val="10"/>
        <w:tblpPr w:leftFromText="180" w:rightFromText="180" w:vertAnchor="text" w:horzAnchor="page" w:tblpX="1882" w:tblpY="831"/>
        <w:tblOverlap w:val="never"/>
        <w:tblW w:w="0" w:type="auto"/>
        <w:jc w:val="center"/>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956"/>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95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048" w:leftChars="499" w:right="210" w:rightChars="100" w:firstLine="0" w:firstLineChars="0"/>
              <w:textAlignment w:val="auto"/>
              <w:rPr>
                <w:rFonts w:ascii="仿宋_GB2312" w:eastAsia="仿宋_GB2312"/>
                <w:sz w:val="28"/>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r>
              <w:rPr>
                <w:rFonts w:hint="eastAsia" w:ascii="仿宋_GB2312" w:eastAsia="仿宋_GB2312"/>
                <w:sz w:val="28"/>
              </w:rPr>
              <w:t>高级人民法院，检察院。</w:t>
            </w:r>
          </w:p>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firstLine="840" w:firstLineChars="300"/>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95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left="210" w:leftChars="100" w:right="210" w:rightChars="100"/>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2</w:t>
            </w:r>
            <w:r>
              <w:rPr>
                <w:rFonts w:hint="eastAsia" w:ascii="仿宋_GB2312" w:eastAsia="仿宋_GB2312"/>
                <w:sz w:val="28"/>
              </w:rPr>
              <w:t>年</w:t>
            </w:r>
            <w:r>
              <w:rPr>
                <w:rFonts w:hint="eastAsia" w:ascii="仿宋_GB2312" w:eastAsia="仿宋_GB2312"/>
                <w:sz w:val="28"/>
                <w:lang w:val="en-US" w:eastAsia="zh-CN"/>
              </w:rPr>
              <w:t>12</w:t>
            </w:r>
            <w:r>
              <w:rPr>
                <w:rFonts w:hint="eastAsia" w:ascii="仿宋_GB2312" w:eastAsia="仿宋_GB2312"/>
                <w:sz w:val="28"/>
              </w:rPr>
              <w:t>月</w:t>
            </w:r>
            <w:r>
              <w:rPr>
                <w:rFonts w:hint="eastAsia" w:ascii="仿宋_GB2312" w:eastAsia="仿宋_GB2312"/>
                <w:sz w:val="28"/>
                <w:lang w:val="en-US" w:eastAsia="zh-CN"/>
              </w:rPr>
              <w:t>3</w:t>
            </w:r>
            <w:r>
              <w:rPr>
                <w:rFonts w:hint="eastAsia" w:ascii="仿宋_GB2312" w:eastAsia="仿宋_GB2312"/>
                <w:sz w:val="28"/>
              </w:rPr>
              <w:t>日印发</w:t>
            </w:r>
          </w:p>
        </w:tc>
      </w:tr>
    </w:tbl>
    <w:p>
      <w:pPr>
        <w:pStyle w:val="2"/>
        <w:rPr>
          <w:rFonts w:hint="eastAsia"/>
        </w:rPr>
      </w:pPr>
    </w:p>
    <w:sectPr>
      <w:pgSz w:w="16838" w:h="11906" w:orient="landscape"/>
      <w:pgMar w:top="1474" w:right="2098" w:bottom="1474" w:left="1701" w:header="851" w:footer="1417" w:gutter="0"/>
      <w:paperSrc/>
      <w:pgBorders>
        <w:top w:val="none" w:sz="0" w:space="0"/>
        <w:left w:val="none" w:sz="0" w:space="0"/>
        <w:bottom w:val="none" w:sz="0" w:space="0"/>
        <w:right w:val="none" w:sz="0" w:space="0"/>
      </w:pgBorders>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_GBK">
    <w:altName w:val="Arial Unicode MS"/>
    <w:panose1 w:val="03000502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9452" w:y="-23"/>
      <w:rPr>
        <w:rStyle w:val="14"/>
        <w:rFonts w:hint="eastAsia" w:ascii="宋体" w:hAnsi="宋体"/>
        <w:sz w:val="28"/>
        <w:szCs w:val="28"/>
      </w:rPr>
    </w:pPr>
    <w:r>
      <w:rPr>
        <w:rFonts w:hint="eastAsia" w:ascii="宋体" w:hAnsi="宋体"/>
        <w:sz w:val="28"/>
        <w:szCs w:val="28"/>
      </w:rPr>
      <w:fldChar w:fldCharType="begin"/>
    </w:r>
    <w:r>
      <w:rPr>
        <w:rStyle w:val="14"/>
        <w:rFonts w:hint="eastAsia" w:ascii="宋体" w:hAnsi="宋体"/>
        <w:sz w:val="28"/>
        <w:szCs w:val="28"/>
      </w:rPr>
      <w:instrText xml:space="preserve">PAGE  </w:instrText>
    </w:r>
    <w:r>
      <w:rPr>
        <w:rFonts w:hint="eastAsia" w:ascii="宋体" w:hAnsi="宋体"/>
        <w:sz w:val="28"/>
        <w:szCs w:val="28"/>
      </w:rPr>
      <w:fldChar w:fldCharType="separate"/>
    </w:r>
    <w:r>
      <w:rPr>
        <w:rStyle w:val="14"/>
        <w:rFonts w:ascii="宋体" w:hAnsi="宋体"/>
        <w:sz w:val="28"/>
        <w:szCs w:val="28"/>
        <w:lang/>
      </w:rPr>
      <w:t>- 1 -</w:t>
    </w:r>
    <w:r>
      <w:rPr>
        <w:rFonts w:hint="eastAsia" w:ascii="宋体" w:hAnsi="宋体"/>
        <w:sz w:val="28"/>
        <w:szCs w:val="28"/>
      </w:rP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1892" w:y="-23"/>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lang/>
      </w:rPr>
      <w:t>- 2 -</w:t>
    </w:r>
    <w:r>
      <w:rPr>
        <w:rFonts w:ascii="宋体" w:hAnsi="宋体"/>
        <w:sz w:val="28"/>
        <w:szCs w:val="28"/>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lZjk5NDFjN2E0NTZiZDgzNTc3NmI3N2IyMjUxOTYifQ=="/>
  </w:docVars>
  <w:rsids>
    <w:rsidRoot w:val="00000000"/>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17C"/>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316E"/>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1DB8"/>
    <w:rsid w:val="001B2E25"/>
    <w:rsid w:val="001B36FF"/>
    <w:rsid w:val="001B6A85"/>
    <w:rsid w:val="001C0E2E"/>
    <w:rsid w:val="001C21AB"/>
    <w:rsid w:val="001C291D"/>
    <w:rsid w:val="001C2E2C"/>
    <w:rsid w:val="001C2FB0"/>
    <w:rsid w:val="001C3230"/>
    <w:rsid w:val="001C4131"/>
    <w:rsid w:val="001C472D"/>
    <w:rsid w:val="001D0723"/>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16F7"/>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C7FAF"/>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09D1"/>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6EC"/>
    <w:rsid w:val="003A6755"/>
    <w:rsid w:val="003B1AA3"/>
    <w:rsid w:val="003B32B0"/>
    <w:rsid w:val="003B59D9"/>
    <w:rsid w:val="003C0C2B"/>
    <w:rsid w:val="003C1EB9"/>
    <w:rsid w:val="003C3249"/>
    <w:rsid w:val="003C3EA0"/>
    <w:rsid w:val="003C419C"/>
    <w:rsid w:val="003C41EC"/>
    <w:rsid w:val="003C4942"/>
    <w:rsid w:val="003D01EF"/>
    <w:rsid w:val="003D14CC"/>
    <w:rsid w:val="003D3B34"/>
    <w:rsid w:val="003D46AE"/>
    <w:rsid w:val="003D6174"/>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11A"/>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B71C1"/>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4F1B"/>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068"/>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7F6516"/>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440"/>
    <w:rsid w:val="00933AD4"/>
    <w:rsid w:val="00935D37"/>
    <w:rsid w:val="00936389"/>
    <w:rsid w:val="009367C7"/>
    <w:rsid w:val="0094058F"/>
    <w:rsid w:val="00940633"/>
    <w:rsid w:val="009413D6"/>
    <w:rsid w:val="009418C7"/>
    <w:rsid w:val="00942DC2"/>
    <w:rsid w:val="009433EF"/>
    <w:rsid w:val="00943770"/>
    <w:rsid w:val="0094465F"/>
    <w:rsid w:val="009446AB"/>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01BD"/>
    <w:rsid w:val="009A1E22"/>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658F"/>
    <w:rsid w:val="00A16646"/>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2406"/>
    <w:rsid w:val="00A746B2"/>
    <w:rsid w:val="00A74FC4"/>
    <w:rsid w:val="00A8034A"/>
    <w:rsid w:val="00A81344"/>
    <w:rsid w:val="00A8144C"/>
    <w:rsid w:val="00A82198"/>
    <w:rsid w:val="00A85729"/>
    <w:rsid w:val="00A869B9"/>
    <w:rsid w:val="00A871E1"/>
    <w:rsid w:val="00A872AA"/>
    <w:rsid w:val="00A87303"/>
    <w:rsid w:val="00A91C4C"/>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0AE"/>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55D3"/>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6F3"/>
    <w:rsid w:val="00B40DCF"/>
    <w:rsid w:val="00B41574"/>
    <w:rsid w:val="00B43C7B"/>
    <w:rsid w:val="00B4489A"/>
    <w:rsid w:val="00B4656E"/>
    <w:rsid w:val="00B47AB4"/>
    <w:rsid w:val="00B509ED"/>
    <w:rsid w:val="00B51750"/>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1E82"/>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4245"/>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D74E1"/>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9F4"/>
    <w:rsid w:val="00DB6B93"/>
    <w:rsid w:val="00DB6C2C"/>
    <w:rsid w:val="00DC0A4B"/>
    <w:rsid w:val="00DC0E9B"/>
    <w:rsid w:val="00DC21CC"/>
    <w:rsid w:val="00DC73F9"/>
    <w:rsid w:val="00DC7CCD"/>
    <w:rsid w:val="00DD19B7"/>
    <w:rsid w:val="00DD22BC"/>
    <w:rsid w:val="00DD2998"/>
    <w:rsid w:val="00DE279C"/>
    <w:rsid w:val="00DE52B4"/>
    <w:rsid w:val="00DE605E"/>
    <w:rsid w:val="00DF14B1"/>
    <w:rsid w:val="00DF1A59"/>
    <w:rsid w:val="00DF35B5"/>
    <w:rsid w:val="00DF5F69"/>
    <w:rsid w:val="00DF641D"/>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2E26"/>
    <w:rsid w:val="00EC6399"/>
    <w:rsid w:val="00EC7B6C"/>
    <w:rsid w:val="00ED00C1"/>
    <w:rsid w:val="00ED059D"/>
    <w:rsid w:val="00ED11DD"/>
    <w:rsid w:val="00ED3579"/>
    <w:rsid w:val="00ED36C0"/>
    <w:rsid w:val="00ED6C3E"/>
    <w:rsid w:val="00ED6EE5"/>
    <w:rsid w:val="00ED7EF1"/>
    <w:rsid w:val="00EE610D"/>
    <w:rsid w:val="00EE642A"/>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C6878"/>
    <w:rsid w:val="00FD314F"/>
    <w:rsid w:val="00FD3F68"/>
    <w:rsid w:val="00FD6099"/>
    <w:rsid w:val="00FD668C"/>
    <w:rsid w:val="00FD6BBF"/>
    <w:rsid w:val="00FD707C"/>
    <w:rsid w:val="00FE51BD"/>
    <w:rsid w:val="00FE5DC3"/>
    <w:rsid w:val="00FF1779"/>
    <w:rsid w:val="00FF1981"/>
    <w:rsid w:val="00FF2340"/>
    <w:rsid w:val="00FF60C7"/>
    <w:rsid w:val="00FF7392"/>
    <w:rsid w:val="011410E7"/>
    <w:rsid w:val="02167855"/>
    <w:rsid w:val="023B43DC"/>
    <w:rsid w:val="030C5A8C"/>
    <w:rsid w:val="03F9887B"/>
    <w:rsid w:val="043D4CEA"/>
    <w:rsid w:val="04D871BC"/>
    <w:rsid w:val="074D26E8"/>
    <w:rsid w:val="083A6877"/>
    <w:rsid w:val="0BB037E9"/>
    <w:rsid w:val="0FEF32CA"/>
    <w:rsid w:val="11095B8B"/>
    <w:rsid w:val="13404ED0"/>
    <w:rsid w:val="16036302"/>
    <w:rsid w:val="16A022AB"/>
    <w:rsid w:val="177CB924"/>
    <w:rsid w:val="17EF87D9"/>
    <w:rsid w:val="1A7D41CF"/>
    <w:rsid w:val="1CF777BC"/>
    <w:rsid w:val="1DFFBF47"/>
    <w:rsid w:val="1F7F15D1"/>
    <w:rsid w:val="1FD3237E"/>
    <w:rsid w:val="1FDD1A27"/>
    <w:rsid w:val="1FFD0D51"/>
    <w:rsid w:val="21CE0EBF"/>
    <w:rsid w:val="22F31E1A"/>
    <w:rsid w:val="24485B15"/>
    <w:rsid w:val="25984E90"/>
    <w:rsid w:val="26C82B97"/>
    <w:rsid w:val="26D846AB"/>
    <w:rsid w:val="26FE2CF1"/>
    <w:rsid w:val="273E7C3F"/>
    <w:rsid w:val="277F7013"/>
    <w:rsid w:val="2A615292"/>
    <w:rsid w:val="2C0D2239"/>
    <w:rsid w:val="2F314E0D"/>
    <w:rsid w:val="2F7E1441"/>
    <w:rsid w:val="2FFC0618"/>
    <w:rsid w:val="32D75A45"/>
    <w:rsid w:val="35736002"/>
    <w:rsid w:val="35FE5D19"/>
    <w:rsid w:val="379DF362"/>
    <w:rsid w:val="37AEE34C"/>
    <w:rsid w:val="399E0F98"/>
    <w:rsid w:val="39B65569"/>
    <w:rsid w:val="3A4E2F34"/>
    <w:rsid w:val="3B7795D8"/>
    <w:rsid w:val="3BCF93A6"/>
    <w:rsid w:val="3BD73020"/>
    <w:rsid w:val="3BFE39E5"/>
    <w:rsid w:val="3BFE4295"/>
    <w:rsid w:val="3C6B26BF"/>
    <w:rsid w:val="3CFECF8E"/>
    <w:rsid w:val="3CFFCF30"/>
    <w:rsid w:val="3DFEF047"/>
    <w:rsid w:val="3E2866CC"/>
    <w:rsid w:val="3E97F4FD"/>
    <w:rsid w:val="3EBF23F6"/>
    <w:rsid w:val="3EEE01E5"/>
    <w:rsid w:val="3EFF95E5"/>
    <w:rsid w:val="3F3F0413"/>
    <w:rsid w:val="3F4EF066"/>
    <w:rsid w:val="3F7C35DD"/>
    <w:rsid w:val="3F7FC4B5"/>
    <w:rsid w:val="3F9F62AC"/>
    <w:rsid w:val="3FDC1539"/>
    <w:rsid w:val="3FE37A55"/>
    <w:rsid w:val="3FFFACE9"/>
    <w:rsid w:val="41D75940"/>
    <w:rsid w:val="443E29D3"/>
    <w:rsid w:val="463B6ECE"/>
    <w:rsid w:val="465327CE"/>
    <w:rsid w:val="46ED19A2"/>
    <w:rsid w:val="48A045AB"/>
    <w:rsid w:val="48A1187B"/>
    <w:rsid w:val="4BB12688"/>
    <w:rsid w:val="4BFBDBED"/>
    <w:rsid w:val="4C7F498A"/>
    <w:rsid w:val="4CE5579D"/>
    <w:rsid w:val="4D1709C3"/>
    <w:rsid w:val="4D9E504F"/>
    <w:rsid w:val="4DFF2C29"/>
    <w:rsid w:val="4EF74772"/>
    <w:rsid w:val="4F6A2AE2"/>
    <w:rsid w:val="4FFD0715"/>
    <w:rsid w:val="51650C56"/>
    <w:rsid w:val="51796035"/>
    <w:rsid w:val="53BF1324"/>
    <w:rsid w:val="540F0375"/>
    <w:rsid w:val="57CC07EF"/>
    <w:rsid w:val="57E495BA"/>
    <w:rsid w:val="57E6DA39"/>
    <w:rsid w:val="57FFA38E"/>
    <w:rsid w:val="58135360"/>
    <w:rsid w:val="5A5C30F9"/>
    <w:rsid w:val="5BAE3879"/>
    <w:rsid w:val="5C957B5A"/>
    <w:rsid w:val="5D8FF2D8"/>
    <w:rsid w:val="5DC12740"/>
    <w:rsid w:val="5DCF5FE2"/>
    <w:rsid w:val="5E7F4D68"/>
    <w:rsid w:val="5EBFF5BC"/>
    <w:rsid w:val="5F45041F"/>
    <w:rsid w:val="5FCF6A92"/>
    <w:rsid w:val="60A76D6C"/>
    <w:rsid w:val="61FB8109"/>
    <w:rsid w:val="63BF1C58"/>
    <w:rsid w:val="64B86B45"/>
    <w:rsid w:val="65FCD68D"/>
    <w:rsid w:val="66E7C9A3"/>
    <w:rsid w:val="66FB20F5"/>
    <w:rsid w:val="69FF2433"/>
    <w:rsid w:val="6AD678DC"/>
    <w:rsid w:val="6C2F8A2A"/>
    <w:rsid w:val="6C60119C"/>
    <w:rsid w:val="6F2C465B"/>
    <w:rsid w:val="6FF7E01D"/>
    <w:rsid w:val="6FFA3ACF"/>
    <w:rsid w:val="6FFB6444"/>
    <w:rsid w:val="6FFBFBDD"/>
    <w:rsid w:val="6FFF75E2"/>
    <w:rsid w:val="70EC5E44"/>
    <w:rsid w:val="722D19B3"/>
    <w:rsid w:val="728F1E7C"/>
    <w:rsid w:val="72D52371"/>
    <w:rsid w:val="737A1495"/>
    <w:rsid w:val="73FD01D9"/>
    <w:rsid w:val="75168422"/>
    <w:rsid w:val="755F7FD8"/>
    <w:rsid w:val="762B1198"/>
    <w:rsid w:val="769F7AB2"/>
    <w:rsid w:val="777B524D"/>
    <w:rsid w:val="7865402E"/>
    <w:rsid w:val="78FE2394"/>
    <w:rsid w:val="79BFDF8C"/>
    <w:rsid w:val="79DF18E8"/>
    <w:rsid w:val="7AA226C9"/>
    <w:rsid w:val="7AFEEC13"/>
    <w:rsid w:val="7B0B341B"/>
    <w:rsid w:val="7B57BC0F"/>
    <w:rsid w:val="7BB7F741"/>
    <w:rsid w:val="7BF5310A"/>
    <w:rsid w:val="7BFF454D"/>
    <w:rsid w:val="7CFD0115"/>
    <w:rsid w:val="7D164783"/>
    <w:rsid w:val="7D594086"/>
    <w:rsid w:val="7DB74A53"/>
    <w:rsid w:val="7DBF6B6F"/>
    <w:rsid w:val="7DD798BF"/>
    <w:rsid w:val="7DDF83D8"/>
    <w:rsid w:val="7DFF0B92"/>
    <w:rsid w:val="7E06559B"/>
    <w:rsid w:val="7E5ED981"/>
    <w:rsid w:val="7E960D71"/>
    <w:rsid w:val="7EB4BE3F"/>
    <w:rsid w:val="7ED4AD0B"/>
    <w:rsid w:val="7EDFB008"/>
    <w:rsid w:val="7EEF1DF6"/>
    <w:rsid w:val="7EF59984"/>
    <w:rsid w:val="7F7F5CC4"/>
    <w:rsid w:val="7F8DC711"/>
    <w:rsid w:val="7FD66002"/>
    <w:rsid w:val="7FFA2E3E"/>
    <w:rsid w:val="7FFF4445"/>
    <w:rsid w:val="7FFFD424"/>
    <w:rsid w:val="7FFFF3A8"/>
    <w:rsid w:val="7FFFF907"/>
    <w:rsid w:val="8FE7563C"/>
    <w:rsid w:val="99EF20CC"/>
    <w:rsid w:val="9AA3E2FD"/>
    <w:rsid w:val="9ADD5DBA"/>
    <w:rsid w:val="9BFEBD38"/>
    <w:rsid w:val="9F7BF253"/>
    <w:rsid w:val="9FBFBD8E"/>
    <w:rsid w:val="9FF66DAB"/>
    <w:rsid w:val="A6FFEE89"/>
    <w:rsid w:val="A7F3EF23"/>
    <w:rsid w:val="AF7E6D14"/>
    <w:rsid w:val="AFDF7203"/>
    <w:rsid w:val="AFED6006"/>
    <w:rsid w:val="B1DED7D0"/>
    <w:rsid w:val="B7FFDE37"/>
    <w:rsid w:val="BA9E075D"/>
    <w:rsid w:val="BCAF1AD4"/>
    <w:rsid w:val="BD6F0EA3"/>
    <w:rsid w:val="BDF78DD3"/>
    <w:rsid w:val="BDF7D40E"/>
    <w:rsid w:val="BEC602A3"/>
    <w:rsid w:val="BFDB5A27"/>
    <w:rsid w:val="CFBBF1BC"/>
    <w:rsid w:val="CFBDDCFA"/>
    <w:rsid w:val="CFBF5B93"/>
    <w:rsid w:val="D3BFB2AF"/>
    <w:rsid w:val="D4AF3853"/>
    <w:rsid w:val="D6DFBBD5"/>
    <w:rsid w:val="D77FF6BC"/>
    <w:rsid w:val="D8DDE1F2"/>
    <w:rsid w:val="D9CF8FA9"/>
    <w:rsid w:val="DBFE84D4"/>
    <w:rsid w:val="DBFF9BE9"/>
    <w:rsid w:val="DCF7C778"/>
    <w:rsid w:val="DDF5EA84"/>
    <w:rsid w:val="DDFE2E01"/>
    <w:rsid w:val="DDFF17B1"/>
    <w:rsid w:val="DE7CA12A"/>
    <w:rsid w:val="DEF16DC7"/>
    <w:rsid w:val="DF7E07F2"/>
    <w:rsid w:val="DFD7DA8C"/>
    <w:rsid w:val="DFF3FD41"/>
    <w:rsid w:val="DFF90993"/>
    <w:rsid w:val="DFFAC907"/>
    <w:rsid w:val="DFFB7F93"/>
    <w:rsid w:val="E3FD4DC6"/>
    <w:rsid w:val="E49E4BBC"/>
    <w:rsid w:val="E57F8116"/>
    <w:rsid w:val="E5DDB565"/>
    <w:rsid w:val="E69F673B"/>
    <w:rsid w:val="E83ACC82"/>
    <w:rsid w:val="EA7D2267"/>
    <w:rsid w:val="EBD713B3"/>
    <w:rsid w:val="EBF2564A"/>
    <w:rsid w:val="EBFFFD80"/>
    <w:rsid w:val="EC2F73D8"/>
    <w:rsid w:val="ECFFD383"/>
    <w:rsid w:val="EDDFD9C6"/>
    <w:rsid w:val="EECFCC92"/>
    <w:rsid w:val="EEFB6CCE"/>
    <w:rsid w:val="EF5FE238"/>
    <w:rsid w:val="F1374590"/>
    <w:rsid w:val="F3BB268F"/>
    <w:rsid w:val="F3FFD57E"/>
    <w:rsid w:val="F5BEEC7D"/>
    <w:rsid w:val="F75A573A"/>
    <w:rsid w:val="F77C93DC"/>
    <w:rsid w:val="F7E7B37A"/>
    <w:rsid w:val="F7FFE7C3"/>
    <w:rsid w:val="F9CF138B"/>
    <w:rsid w:val="FADBE896"/>
    <w:rsid w:val="FAFA2EBE"/>
    <w:rsid w:val="FAFC8EE6"/>
    <w:rsid w:val="FAFFA86A"/>
    <w:rsid w:val="FBD579D7"/>
    <w:rsid w:val="FBF74A4A"/>
    <w:rsid w:val="FBFFE299"/>
    <w:rsid w:val="FD3FE5D3"/>
    <w:rsid w:val="FD6F3439"/>
    <w:rsid w:val="FD7F2CEF"/>
    <w:rsid w:val="FD7FBDFA"/>
    <w:rsid w:val="FDFFFE90"/>
    <w:rsid w:val="FEAF7FA4"/>
    <w:rsid w:val="FEF1798A"/>
    <w:rsid w:val="FEF6DF57"/>
    <w:rsid w:val="FF6BE3B0"/>
    <w:rsid w:val="FF7D574D"/>
    <w:rsid w:val="FF7F65C5"/>
    <w:rsid w:val="FF8530E5"/>
    <w:rsid w:val="FF9F8524"/>
    <w:rsid w:val="FFDAA565"/>
    <w:rsid w:val="FFE75AD3"/>
    <w:rsid w:val="FFF3469D"/>
    <w:rsid w:val="FFF5CC1A"/>
    <w:rsid w:val="FFFACEE3"/>
    <w:rsid w:val="FFFD03B1"/>
    <w:rsid w:val="FFFDC192"/>
    <w:rsid w:val="FFFF497C"/>
    <w:rsid w:val="FFFFB15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character" w:default="1" w:styleId="12">
    <w:name w:val="Default Paragraph Font"/>
    <w:semiHidden/>
    <w:uiPriority w:val="0"/>
  </w:style>
  <w:style w:type="table" w:default="1" w:styleId="10">
    <w:name w:val="Normal Table"/>
    <w:semiHidden/>
    <w:uiPriority w:val="0"/>
    <w:tblPr>
      <w:tblStyle w:val="10"/>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eastAsia="宋体" w:cs="Times New Roman"/>
      <w:szCs w:val="22"/>
      <w:lang w:bidi="ar-SA"/>
    </w:rPr>
  </w:style>
  <w:style w:type="paragraph" w:customStyle="1" w:styleId="3">
    <w:name w:val="正文 A"/>
    <w:next w:val="2"/>
    <w:qFormat/>
    <w:uiPriority w:val="0"/>
    <w:pPr>
      <w:widowControl w:val="0"/>
      <w:jc w:val="both"/>
    </w:pPr>
    <w:rPr>
      <w:rFonts w:ascii="Calibri" w:hAnsi="Calibri" w:eastAsia="Arial Unicode MS" w:cs="Arial Unicode MS"/>
      <w:color w:val="000000"/>
      <w:kern w:val="2"/>
      <w:sz w:val="32"/>
      <w:szCs w:val="32"/>
      <w:lang w:val="en-US" w:eastAsia="zh-CN" w:bidi="ar-SA"/>
    </w:rPr>
  </w:style>
  <w:style w:type="paragraph" w:styleId="4">
    <w:name w:val="Document Map"/>
    <w:basedOn w:val="1"/>
    <w:semiHidden/>
    <w:uiPriority w:val="0"/>
    <w:pPr>
      <w:shd w:val="clear" w:color="auto" w:fill="000080"/>
    </w:pPr>
  </w:style>
  <w:style w:type="paragraph" w:styleId="5">
    <w:name w:val="Date"/>
    <w:basedOn w:val="1"/>
    <w:next w:val="1"/>
    <w:link w:val="15"/>
    <w:uiPriority w:val="0"/>
    <w:pPr>
      <w:ind w:left="100" w:leftChars="2500"/>
    </w:pPr>
    <w:rPr>
      <w:rFonts w:ascii="仿宋_GB2312" w:eastAsia="仿宋_GB2312"/>
      <w:sz w:val="32"/>
    </w:rPr>
  </w:style>
  <w:style w:type="paragraph" w:styleId="6">
    <w:name w:val="Balloon Text"/>
    <w:basedOn w:val="1"/>
    <w:semiHidden/>
    <w:uiPriority w:val="0"/>
    <w:rPr>
      <w:sz w:val="18"/>
      <w:szCs w:val="18"/>
    </w:rPr>
  </w:style>
  <w:style w:type="paragraph" w:styleId="7">
    <w:name w:val="footer"/>
    <w:basedOn w:val="1"/>
    <w:link w:val="16"/>
    <w:uiPriority w:val="0"/>
    <w:pPr>
      <w:tabs>
        <w:tab w:val="center" w:pos="4153"/>
        <w:tab w:val="right" w:pos="8306"/>
      </w:tabs>
      <w:snapToGrid w:val="0"/>
      <w:jc w:val="left"/>
    </w:pPr>
    <w:rPr>
      <w:sz w:val="18"/>
      <w:szCs w:val="18"/>
    </w:rPr>
  </w:style>
  <w:style w:type="paragraph" w:styleId="8">
    <w:name w:val="header"/>
    <w:basedOn w:val="1"/>
    <w:link w:val="17"/>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rFonts w:ascii="Calibri" w:hAnsi="Calibri" w:eastAsia="宋体" w:cs="Times New Roman"/>
      <w:kern w:val="0"/>
      <w:sz w:val="24"/>
      <w:szCs w:val="22"/>
      <w:lang w:val="en-US" w:eastAsia="zh-CN" w:bidi="ar"/>
    </w:rPr>
  </w:style>
  <w:style w:type="table" w:styleId="11">
    <w:name w:val="Table Grid"/>
    <w:basedOn w:val="10"/>
    <w:uiPriority w:val="0"/>
    <w:pPr>
      <w:widowControl w:val="0"/>
      <w:jc w:val="both"/>
    </w:pPr>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rFonts w:ascii="Calibri" w:hAnsi="Calibri" w:eastAsia="宋体" w:cs="Times New Roman"/>
      <w:b/>
      <w:bCs/>
    </w:rPr>
  </w:style>
  <w:style w:type="character" w:styleId="14">
    <w:name w:val="page number"/>
    <w:basedOn w:val="12"/>
    <w:uiPriority w:val="0"/>
  </w:style>
  <w:style w:type="character" w:customStyle="1" w:styleId="15">
    <w:name w:val=" Char Char2"/>
    <w:basedOn w:val="12"/>
    <w:link w:val="5"/>
    <w:uiPriority w:val="0"/>
    <w:rPr>
      <w:rFonts w:ascii="仿宋_GB2312" w:hAnsi="Times New Roman" w:eastAsia="仿宋_GB2312" w:cs="Times New Roman"/>
      <w:kern w:val="2"/>
      <w:sz w:val="32"/>
      <w:szCs w:val="24"/>
      <w:lang w:bidi="ar-SA"/>
    </w:rPr>
  </w:style>
  <w:style w:type="character" w:customStyle="1" w:styleId="16">
    <w:name w:val=" Char Char"/>
    <w:basedOn w:val="12"/>
    <w:link w:val="7"/>
    <w:semiHidden/>
    <w:uiPriority w:val="99"/>
    <w:rPr>
      <w:rFonts w:ascii="Calibri" w:hAnsi="Calibri" w:eastAsia="宋体" w:cs="Mongolian Baiti"/>
      <w:kern w:val="2"/>
      <w:sz w:val="18"/>
      <w:szCs w:val="22"/>
    </w:rPr>
  </w:style>
  <w:style w:type="character" w:customStyle="1" w:styleId="17">
    <w:name w:val=" Char Char1"/>
    <w:basedOn w:val="12"/>
    <w:link w:val="8"/>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Lenovo (Beijing) Limited</Company>
  <Pages>19</Pages>
  <Words>6898</Words>
  <Characters>6922</Characters>
  <Lines>1</Lines>
  <Paragraphs>1</Paragraphs>
  <TotalTime>3</TotalTime>
  <ScaleCrop>false</ScaleCrop>
  <LinksUpToDate>false</LinksUpToDate>
  <CharactersWithSpaces>6930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哈尼哈尼</cp:lastModifiedBy>
  <cp:lastPrinted>2022-12-05T22:01:38Z</cp:lastPrinted>
  <dcterms:modified xsi:type="dcterms:W3CDTF">2022-12-08T12:03:20Z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7853B7E0FBB3428D9D7A436833339B9F</vt:lpwstr>
  </property>
</Properties>
</file>