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内蒙古自治区人民政府办公厅关于印发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自治区推动城乡建设绿色发展实施方案的通知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" w:firstLineChars="50"/>
        <w:jc w:val="center"/>
        <w:textAlignment w:val="auto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eastAsia="zh-CN"/>
        </w:rPr>
        <w:t>内政办发〔2022〕79号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bookmarkStart w:id="1" w:name="_GoBack"/>
      <w:r>
        <w:rPr>
          <w:rFonts w:hint="eastAsia" w:ascii="楷体" w:hAnsi="楷体" w:eastAsia="楷体" w:cs="楷体"/>
          <w:sz w:val="32"/>
          <w:szCs w:val="32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2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经自治区人民政府同意，现将《内蒙古自治区推动城乡建设绿色发展实施方案》印发给你们，请结合实际，认真贯彻落实。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spacing w:line="580" w:lineRule="exact"/>
        <w:ind w:left="0" w:leftChars="0" w:firstLine="5017" w:firstLineChars="1568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2022年11月18日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firstLine="640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lang w:eastAsia="zh-CN"/>
        </w:rPr>
        <w:t>内蒙古自治区推动城乡建设绿色发展实施方案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after="0" w:afterLines="0" w:line="580" w:lineRule="exact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为贯彻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落实《中共中央办公厅、国务院办公厅印发〈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关于推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动城乡建设绿色发展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  <w:lang w:eastAsia="zh-CN"/>
        </w:rPr>
        <w:t>的意见〉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  <w:lang w:eastAsia="zh-CN"/>
        </w:rPr>
        <w:t>通知》（中办发〔2021〕37号）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精神，加快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推动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全区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城乡建设绿色发展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，结合自治区实际，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制定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本方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案。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一、总体要求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以习近平新时代中国特色社会主义思想为指导，深入贯彻党的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二十大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精神，全面落实习近平生态文明思想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习近平总书记对内蒙古重要讲话重要指示批示精神，完整、准确、全面贯彻新发展理念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坚持以人民为中心，坚持生态优先、节约优先、保护优先，坚持系统观念，统筹发展与安全，实施城市更新行动和乡村建设行动，加快转变城乡建设方式，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落实碳达峰、碳中和目标任务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，为扎实走好以生态优先、绿色发展为导向的高质量发展新路子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作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出积极贡献。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到2025年，自治区城乡建设绿色发展取得重大进展，城市整体性、系统性、生长性增强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城乡生态环境质量整体改善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建设方式不断优化，基础设施和建筑绿色品质稳步提升，综合治理能力显著提高，绿色生活方式普遍推广。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2035年，城乡建设全面实现绿色发展，碳减排扎实推进，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绿色发展空间格局、产业结构、生产方式和生活方式全面建立，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城乡建设领域治理体系治理能力实现现代化，人与自然和谐共生、宜居宜业宜游、绿色低碳循环的城乡绿色发展局面基本形成。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二、构建集约高效绿色空间载体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）促进区域和城市群绿色发展。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全面对接国家城镇化空间布局，围绕“一群双星多点”城镇空间布局，引导资源要素向城市群集聚，形成与资源环境承载能力相匹配、重大风险防控相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结合的空间格局。严格落实耕地保护制度，强化生态保护红线、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水资源刚性约束和城镇开发边界管控。统筹开展国土空间生态保护与修复，衔接“三线一单”，协同建设区域生态网络。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推进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呼包鄂乌城市群综合交通、通信网络、能源等基础设施互联互通，积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极创建国家综合货运枢纽补链强链试点。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（自治区发展改革委、工业和信息化厅、自然资源厅、生态环境厅、住房城乡建设厅、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交通运输厅、水利厅、能源局、林草局等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负责，各盟行政公署、市人民政府负责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落实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。以下均需各盟行政公署、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人民政府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落实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，不再列出）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（二）建设人与自然和谐共生的美丽城市。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国土空间规划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管理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，合理确定城镇建设用地规模、国土开发强度，积极探索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混合用地、产城融合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城市空间结构布局。实施城市更新行动，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推动老旧小区综合改造，推行小规模、渐进式有机更新和微改造。积极争创国家系统化全域推进海绵城市建设示范，探索符合内蒙古特色的海绵城市建设路径。推进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</w:rPr>
        <w:t>城市黑臭水体整治环境保护专项行动，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到2025年，实现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盟市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级城市建成区黑臭水体长治久清，基本完成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旗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县级市建成区黑臭水体治理任务。加强城市公共文化、教育、医疗卫生、养老服务、福利救助等公共服务设施及无障碍设施建设。推进城市绿道建设，实施城市山体、河湖、湿地生态修复，保护现有城镇绿地和树木，合理布局社区公园、口袋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公园，提高乡土树种应用比例。推进县城城镇化补短板强弱项，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严格限制县城民用建筑高度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，县城新建住宅以６层为主，最高不超过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18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层，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确需建设18层以上居住建筑的，应严格充分论证，并确保消防应急、市政配套设施等建设到位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强化县城节约型基础设施建设，推进县城公共服务设施提质扩面，满足群众就地就近进城安家需求。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（自治区发展改革委、教育厅、民政厅、自然资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源厅、生态环境厅、住房城乡建设厅、水利厅、文化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旅游厅、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卫生健康委、体育局、林草局等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（三）积极创建绿色社区和完整社区。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推进绿色社区创建行动，推进社区基础设施绿色化，提高社区信息化智能化水平。开展城市居住社区建设补短板行动，统筹建设公共服务、商业服务、文化体育等设施，构建十五分钟社区生活圈，到2025年，基本补齐既有社区各类公共服务资源短板，城市居住社区环境明显改善，建成一批完整社区试点，全区地级城市完整居住社区覆盖率显著提升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（自治区住房城乡建设厅、发展改革委、教育厅、民政厅、自然资源厅、生态环境厅、商务厅、文化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旅游厅、卫生健康委等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（四）打造绿色生态宜居的美丽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农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村牧区。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应编尽编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原则，科学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编制村庄规划，持续开展乡村建设评价工作。加强农村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牧区供水设施建设，提升分散户的供水保障能力。以生活污水、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垃圾治理、黑臭水体整治和饮用水水源地保护为重点，推进农村牧区人居环境整治，到2025年，全区农村牧区生活污水治理率达到32%。分区分类推进农村牧区厕所革命。提高农房设计水平和建设质量，加强既有农房节能绿色化改造。支持各地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培育发展休闲农牧业等新业态新模式，推动乡村全面振兴。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（自治区农牧厅、发展改革委、自然资源厅、生态环境厅、住房城乡建设厅、交通运输厅、文化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旅游厅、乡村振兴局等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三、统筹城乡基础设施一体化建设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（五）推动绿色交通体系建设。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优化城市路网结构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适度提高城市道路路网密度，到2025年，城市道路网密度不小于8.5公里/平方公里。加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大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次支街巷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道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路改造力度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打通各类断头路，提高道路通达性和通畅性。依托公交场站、停车场、高速公路服务区等场所，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完善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充电基础设施。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停车泊位供给。鼓励发展共享单车（非助力自行车）等新型交通方式。推动城市步行街改造升级和绿色步道建设，全面开展人行道净化行动。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加强“四好农村路”建设，推进交通基础设施向村户延伸。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（自治区交通运输厅、发展改革委、公安厅、自然资源厅、住房城乡建设厅、能源局等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（六）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加强能源基础设施建设。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推进城镇配电网升级改造，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农村牧区电网改造。加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大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城镇供热管网、燃气管网建设与改造力度，到2025年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完成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运行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</w:rPr>
        <w:t>年限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满20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</w:rPr>
        <w:t>供热管道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，以及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存在泄露隐患、热损失大等问题的其他管道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u w:val="none"/>
          <w:shd w:val="clear" w:color="auto" w:fill="FFFFFF"/>
        </w:rPr>
        <w:t>改造任务，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城镇燃气普及率超过95%，推动供热管网、燃气设施向城乡结合部、农村牧区延伸。加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快推进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呼和浩特市、包头市、乌兰察布市、巴彦淖尔市等国家冬季清洁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取暖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试点城市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任务落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实，逐步提高清洁能源在取暖用能中的比例，到2025年，全区城镇清洁取暖覆盖率超过93%。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（自治区能源局、财政厅、生态环境厅、住房城乡建设厅等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（七）推进水资源节约循环利用设施建设。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城镇供水管网普查与改造，到2025年，城镇用水普及率超过99%，城镇供水管网漏损率控制在10%以下，积极创建国家公共供水管网漏损治理试点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，黄河流域缺水型城市全部达到国家节水型城市标准。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加快城镇污水处理设施建设及配套管网改造建设，推动污水再生利用和污泥稳定化、无害化处理处置，到2025年，缺水城市再生水回用率超过35%，城市污泥无害化处置率超过90%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，黄河流域具备生活污水处理设施的建制镇基本实现全覆盖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（自治区住房城乡建设厅、发展改革委、生态环境厅、水利厅等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（八）推动垃圾资源化无害化处理设施建设。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建立完善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城市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生活垃圾分类投放、收集、运输、处理系统，在呼和浩特市、鄂尔多斯市等城市建成区开展生活垃圾分类示范试点。到2025年，城镇生活垃圾无害化处理率达到100%。加快餐厨废弃物处置设施建设，各盟市实现餐厨垃圾处理设施全覆盖。推进垃圾资源化利用，在设市城市优先发展垃圾焚烧处理。加大建筑垃圾和施工弃土资源化利用力度，积极推动“无废城市”建设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（自治区住房城乡建设厅、发展改革委、生态环境厅等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（九）强化城市防灾减灾体系建设。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优化城市防灾空间，利用公园绿地、广场等预留防灾避难空间和安置重建空间。加强公共消防设施、人防设施、防灾避难场所等防灾减灾基础设施建设。优化城市交通工程设施布局，构建城市快速应急通道。推进城市给排水、供电、供气、供热、交通、信息通讯等生命线系统设施建设。加强超高层建筑防火安全管理。统筹城市防洪排涝设施建设，到2025年，全面消除城市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区内严重影响生产生活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安全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的易涝积水点。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（自治区应急厅、发展改革委、工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业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和信息化厅、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bidi="ar"/>
        </w:rPr>
        <w:t>自然资源厅、住房城乡建设厅、交通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eastAsia="zh-CN" w:bidi="ar"/>
        </w:rPr>
        <w:t>运输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bidi="ar"/>
        </w:rPr>
        <w:t>厅、水利厅、人防办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eastAsia="zh-CN" w:bidi="ar"/>
        </w:rPr>
        <w:t>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内蒙古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消防救援总队等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四、提高建筑全生命期绿色品质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（十）推动建筑领域碳减排。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提高建筑节能标准，积极开展超低能耗、近零能耗和零碳建筑试点示范，持续推进城镇既有居住建筑节能改造，到2025年，完成改造面积1000万平方米。实施公共建筑节能改造。加快热电联产余热、工业余热供暖规模化应用，因地制宜推广太阳能、浅层地热能、空气能等可再生能源建筑应用。在具备条件的城乡建筑中实施电气化工程，推动以电代气、以电代油，推动“光储直柔”等技术应用，实现建筑用能与电网调度柔性互动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（自治区住房城乡建设厅、发展改革委、农牧厅、能源局等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（十一）推动高品质绿色建筑建设。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全区城镇新建建筑全面执行绿色建筑标准，《内蒙古自治区民用建筑节能和绿色建筑发展条例》确定的“四类”民用建筑执行一星级及以上绿色建筑标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准，超高层建筑执行三星级绿色建筑标准。严格绿色建筑规划、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设计、施工、竣工验收监管。实施绿色建筑统一标识制度，强化对绿色建筑评价标识项目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事中事后监管。推进既有建筑绿色化改造，鼓励与城镇老旧小区改造、农村危房改造等同步实施。开展节约型机关、绿色学校、绿色医院创建行动。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（自治区住房城乡建设厅、发展改革委、教育厅、自然资源厅、卫生健康委、机关事务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管理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（十二）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kern w:val="0"/>
          <w:sz w:val="32"/>
          <w:szCs w:val="32"/>
          <w:lang w:bidi="ar"/>
        </w:rPr>
        <w:t>推广绿色建造方式。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开展绿色建造示范工程创建，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新开工建筑和市政工程全面推行绿色施工模式。大力发展装配式建筑，自2023年起，政府投资工程项目原则上均采用装配式建筑，并逐年提高装配率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到2025年，全区装配式建筑占当年新建建筑面积比例力争达到30%以上，其中，呼和浩特市、包头市、赤峰市、鄂尔多斯市主城区达到40%以上。鼓励公共建筑优先选用装配式钢结构建筑，积极推动钢结构住宅和农房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（自治区住房城乡建设厅、发展改革委、工业和信息化厅、自然资源厅等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（十三）</w:t>
      </w:r>
      <w:r>
        <w:rPr>
          <w:rFonts w:hint="eastAsia" w:ascii="楷体" w:hAnsi="楷体" w:eastAsia="楷体" w:cs="楷体"/>
          <w:b w:val="0"/>
          <w:bCs w:val="0"/>
          <w:color w:val="auto"/>
          <w:spacing w:val="-6"/>
          <w:kern w:val="0"/>
          <w:sz w:val="32"/>
          <w:szCs w:val="32"/>
          <w:lang w:bidi="ar"/>
        </w:rPr>
        <w:t>促进绿色建材推广应用。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kern w:val="2"/>
          <w:sz w:val="32"/>
          <w:szCs w:val="32"/>
          <w:shd w:val="clear" w:color="auto" w:fill="FFFFFF"/>
        </w:rPr>
        <w:t>积极开发应用绿色建材，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加强绿色建材产品生产、认证、采信应用等监督管理。推动绿色建筑、保障性住房等政府投资或使用财政资金的建设项目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以及2万平方米以上的公共建筑、5万平方米以上的居住建筑项目，率先采用获得认证的绿色建材产品。开展绿色建材政府集中采购试点，落实绿色建材政府采购需求标准，提升政府采购工程建筑品质。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工业和信息化厅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、财政厅、市场监管局等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五、提升城乡建设绿色治理能力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val="en-US" w:eastAsia="zh-CN" w:bidi="ar"/>
        </w:rPr>
        <w:t>（十四）构建城市智慧管理体系。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实施呼包鄂乌智慧城市群建设工程和新型智慧城市示范工程，支持呼和浩特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等城市建设“城市大脑”，鼓励有条件的地区开展“智慧新城新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区”试点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建“数字孪生城市”，逐步推行城市楼宇、公共空间、地下管网等“一张图”数字化管理和城市运行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“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一网统管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。完善自治区数字化城市管理平台，加强“智慧建筑”“智慧城管”“智慧房产”等数字平台建设与应用，推进自治区、盟市、旗县（市、区）三级平台互联互通。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工业和信息化厅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、大数据局等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（十五）推动形成绿色生活方式。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鼓励使用环保再生产品和绿色设计产品，减少一次性消费品和包装用材消耗，加强塑料污染全链条治理，整治过度包装。推广节能节水用品，倡导绿色装修。鼓励部分空间、部分时间等绿色低碳用能方式，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推进行为节能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。开展绿色出行创建行动，鼓励公众选择公共交通、自行车和步行等出行方式。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（自治区发展改革委、党委宣传部、生态环境厅、住房城乡建设厅、交通运输厅、市场监管局等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（十六）加强历史文化保护传承。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开展全区历史文化资源普查，做好测绘、建档、挂牌工作。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抓好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国家、自治区历史文化名城、名镇、名村创建工作。强化历史建筑保护修缮、改造和使用监管。在城市更新中加强历史文化传承与风貌保护，不拆传统民居，不砍古树名木，采用微改造方式，补齐历史文化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资源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基础设施和服务设施短板，推动历史建筑活化利用和有机更新。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（自治区住房城乡建设厅、自然资源厅、文化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和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旅游厅等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六、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创新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完善工作方法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（十七）统筹城乡规划建设管理。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将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城乡建设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绿色发展要求融入国土空间规划体系，统筹城市布局的经济、生活、生态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安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全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  <w:lang w:eastAsia="zh-CN"/>
        </w:rPr>
        <w:t>需要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，统筹地上地下空间综合利用，统筹各类基础设施建设，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系统推进重大工程项目。提高城市设计水平，加强对城市的空间立体性、平面协调性、风貌整体性、文脉延续性等方面的建设管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控，完善城市形态，提升建筑品质。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  <w:lang w:eastAsia="zh-CN"/>
        </w:rPr>
        <w:t>健全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完善城乡规划、建设、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管理制度，动态管控建设进程，确保一张蓝图实施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绘到底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（自治区自然资源厅、发展改革委、住房城乡建设厅等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（十八）建立城市体检评估制度。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在设区的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市全面启动城市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体检评估工作，建立“一年一体检、五年一评估”常态化机制。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将城市体检成果作为编制城市建设相关规划、实施城市更新和确定项目建设计划的重要依据。建立城市体检基础数据库和信息平台，加强数据综合管理应用，逐步形成集预警、监测、评估、反馈为一体的工作机制。鼓励有条件的旗县（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区）探索开展城市体检工作。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（自治区住房城乡建设厅、发展改革委、自然资源厅等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（十九）推动美好环境共建共治共享。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加强基层治理能力建设。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深化城市管理执法体制改革，提高城市管理和执法能力水平。以公共空间改造、老旧小区改造、市容环境整治、历史文化街区保护与利用、美丽乡村建设、污水处理、垃圾分类等为载体，构建社区生活圈，下沉公共服务和社会管理资源，探索适宜城乡社区治理的项目招投标、奖励等工作机制。推动“五社联动”，及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时掌握社区居民需求，精准补短板、强弱项。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bidi="ar"/>
        </w:rPr>
        <w:t>（自治区民政厅、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发展改革委、生态环境厅、住房城乡建设厅等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afterLines="0" w:line="580" w:lineRule="exact"/>
        <w:ind w:firstLine="672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七、切实加强组织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（二十）加强组织领导。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按照“自治区抓统筹、盟</w:t>
      </w:r>
      <w:r>
        <w:rPr>
          <w:rFonts w:hint="eastAsia" w:ascii="仿宋" w:hAnsi="仿宋" w:eastAsia="仿宋" w:cs="仿宋"/>
          <w:b w:val="0"/>
          <w:bCs w:val="0"/>
          <w:color w:val="auto"/>
          <w:spacing w:val="-6"/>
          <w:sz w:val="32"/>
          <w:szCs w:val="32"/>
          <w:shd w:val="clear" w:color="auto" w:fill="FFFFFF"/>
        </w:rPr>
        <w:t>市负总责、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旗县（市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区）抓落实”的原则，加快形成党委统一领导、党政齐抓共管的工作格局。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加强部门统筹协调，推动任务落实。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盟市、旗县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（市、区）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作为城乡建设绿色发展工作的责任主体，要依据国家、自治区确定的目标和要求，制定具体措施，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完善工作机制，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抓好组织实施。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（自治区党委组织部、发展改革委、住房城乡建设厅等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（二十一）强化政策支持。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制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定、修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订城乡建设绿色发展相关政策法规，加大财政对城乡建设绿色发展项目的支持力度。鼓励金融机构创新绿色信贷、保险、债券、基金、碳金融等金融产品，建立完善城乡建设绿色发展项目库。</w:t>
      </w:r>
      <w:r>
        <w:rPr>
          <w:rFonts w:hint="eastAsia" w:ascii="仿宋" w:hAnsi="仿宋" w:eastAsia="仿宋" w:cs="仿宋"/>
          <w:b w:val="0"/>
          <w:bCs w:val="0"/>
          <w:strike w:val="0"/>
          <w:dstrike w:val="0"/>
          <w:color w:val="auto"/>
          <w:spacing w:val="0"/>
          <w:sz w:val="32"/>
          <w:szCs w:val="32"/>
          <w:shd w:val="clear" w:color="auto" w:fill="FFFFFF"/>
        </w:rPr>
        <w:t>建设超低能耗建筑，因采取墙体保温技术增加的建筑面积，不计入房屋建筑面积。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支持各盟市因地制宜研究制定容积率奖励政策。合理开放城镇基础设施投资、建设和运营市场，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通过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特许经营、政府购买服务等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办法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吸引社会资本投入。完善差别电价、分时电价和居民阶梯电价政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sz w:val="32"/>
          <w:szCs w:val="32"/>
          <w:shd w:val="clear" w:color="auto" w:fill="FFFFFF"/>
        </w:rPr>
        <w:t>策，加快推进供热计量和按供热量收费。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bidi="ar"/>
        </w:rPr>
        <w:t>（自治区发展改革委、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财政厅、自然资源厅、生态环境厅、住房城乡建设厅、地方金融监管局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，内蒙古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税务局、人民银行呼和浩特中心支行、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内蒙古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银保监局等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（二十二）推动科技创新。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围绕城乡建设绿色发展重点工作和重大工程建设需求，统筹布局科研项目立项、研发与成果转化。强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化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国家、自治区重点实验室等创新平台对绿色低碳技术的支撑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作用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，培育壮大一批绿色低碳技术创新企业。加强城乡建设绿色发展产学研用协同创新，利用技术公告、目录制度等，推广成熟可靠、经济适用的技术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shd w:val="clear" w:color="auto" w:fill="FFFFFF"/>
        </w:rPr>
        <w:t>产品，推动科技成果与市场需求有效衔</w:t>
      </w:r>
      <w:r>
        <w:rPr>
          <w:rFonts w:hint="eastAsia" w:ascii="仿宋" w:hAnsi="仿宋" w:eastAsia="仿宋" w:cs="仿宋"/>
          <w:b w:val="0"/>
          <w:bCs w:val="0"/>
          <w:color w:val="auto"/>
          <w:spacing w:val="6"/>
          <w:kern w:val="2"/>
          <w:sz w:val="32"/>
          <w:szCs w:val="32"/>
          <w:shd w:val="clear" w:color="auto" w:fill="FFFFFF"/>
        </w:rPr>
        <w:t>接。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bidi="ar"/>
        </w:rPr>
        <w:t>（自治区科技厅、发展改革委、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eastAsia="zh-CN" w:bidi="ar"/>
        </w:rPr>
        <w:t>工业和信息化厅</w:t>
      </w:r>
      <w:r>
        <w:rPr>
          <w:rFonts w:hint="eastAsia" w:ascii="楷体" w:hAnsi="楷体" w:eastAsia="楷体" w:cs="楷体"/>
          <w:b w:val="0"/>
          <w:bCs w:val="0"/>
          <w:color w:val="auto"/>
          <w:spacing w:val="6"/>
          <w:kern w:val="0"/>
          <w:sz w:val="32"/>
          <w:szCs w:val="32"/>
          <w:lang w:bidi="ar"/>
        </w:rPr>
        <w:t>、财政厅、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住房城乡建设厅等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72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（二十三）加强宣传培训。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各有关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部门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加强培训宣传，不断提高党政主要负责同志推动城乡建设绿色发展能力和水平。把城乡建设绿色发展作为各级党校、干部学院的教学内容，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提升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各级领导干部和广大专业技术人员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  <w:lang w:eastAsia="zh-CN"/>
        </w:rPr>
        <w:t>绿色发展能力素质</w:t>
      </w:r>
      <w:r>
        <w:rPr>
          <w:rFonts w:hint="eastAsia" w:ascii="仿宋" w:hAnsi="仿宋" w:eastAsia="仿宋" w:cs="仿宋"/>
          <w:b w:val="0"/>
          <w:bCs w:val="0"/>
          <w:color w:val="auto"/>
          <w:spacing w:val="0"/>
          <w:sz w:val="32"/>
          <w:szCs w:val="32"/>
          <w:shd w:val="clear" w:color="auto" w:fill="FFFFFF"/>
        </w:rPr>
        <w:t>。充分利用各类新闻媒体加强教育宣传和舆论引导，为城乡建设绿色发展营造良好氛围。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（自治区党委组织部、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党委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宣传部、发展改革委、自然资源厅、生态环境厅、住房城乡建设厅等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eastAsia="zh-CN" w:bidi="ar"/>
        </w:rPr>
        <w:t>按照职责分工</w:t>
      </w:r>
      <w:r>
        <w:rPr>
          <w:rFonts w:hint="eastAsia" w:ascii="楷体" w:hAnsi="楷体" w:eastAsia="楷体" w:cs="楷体"/>
          <w:b w:val="0"/>
          <w:bCs w:val="0"/>
          <w:color w:val="auto"/>
          <w:spacing w:val="0"/>
          <w:kern w:val="0"/>
          <w:sz w:val="32"/>
          <w:szCs w:val="32"/>
          <w:lang w:bidi="ar"/>
        </w:rPr>
        <w:t>负责）</w:t>
      </w:r>
      <w:bookmarkEnd w:id="1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3"/>
        <w:tblpPr w:leftFromText="180" w:rightFromText="180" w:vertAnchor="text" w:horzAnchor="page" w:tblpXSpec="center" w:tblpY="289"/>
        <w:tblOverlap w:val="never"/>
        <w:tblW w:w="0" w:type="auto"/>
        <w:jc w:val="center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4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9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  <w:szCs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jc w:val="center"/>
        </w:trPr>
        <w:tc>
          <w:tcPr>
            <w:tcW w:w="8944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内蒙古自治区人民政府办公厅文电处      202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_GBK">
    <w:altName w:val="Arial Unicode MS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9452" w:y="-23"/>
      <w:rPr>
        <w:rStyle w:val="1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page" w:x="1892" w:y="-23"/>
      <w:rPr>
        <w:rStyle w:val="1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ZWFmODIxNWFjNzU0MDBlZmNhYzNmMzUyNTRhNWYifQ=="/>
  </w:docVars>
  <w:rsids>
    <w:rsidRoot w:val="00000000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23B43DC"/>
    <w:rsid w:val="074D26E8"/>
    <w:rsid w:val="103F37B5"/>
    <w:rsid w:val="13404ED0"/>
    <w:rsid w:val="1A7D41CF"/>
    <w:rsid w:val="1E8A19A3"/>
    <w:rsid w:val="1FD3237E"/>
    <w:rsid w:val="21CE0EBF"/>
    <w:rsid w:val="233A4D13"/>
    <w:rsid w:val="24485B15"/>
    <w:rsid w:val="2DD0111B"/>
    <w:rsid w:val="30F7119E"/>
    <w:rsid w:val="36A557F2"/>
    <w:rsid w:val="3B7D9585"/>
    <w:rsid w:val="3E230BD8"/>
    <w:rsid w:val="3EAB0813"/>
    <w:rsid w:val="3EF8B051"/>
    <w:rsid w:val="3FCC30AF"/>
    <w:rsid w:val="43B84847"/>
    <w:rsid w:val="4BB12688"/>
    <w:rsid w:val="4DD6594D"/>
    <w:rsid w:val="51650C56"/>
    <w:rsid w:val="59719771"/>
    <w:rsid w:val="5BAE3879"/>
    <w:rsid w:val="5E266003"/>
    <w:rsid w:val="5F3F6F59"/>
    <w:rsid w:val="5FE86783"/>
    <w:rsid w:val="64B86B45"/>
    <w:rsid w:val="67FF268C"/>
    <w:rsid w:val="6CFB115A"/>
    <w:rsid w:val="6D7479F5"/>
    <w:rsid w:val="6F2C465B"/>
    <w:rsid w:val="7BEB75AD"/>
    <w:rsid w:val="7D164783"/>
    <w:rsid w:val="7E960D71"/>
    <w:rsid w:val="7F6725C4"/>
    <w:rsid w:val="C1FD8471"/>
    <w:rsid w:val="DF9F5C46"/>
    <w:rsid w:val="EBE60C28"/>
    <w:rsid w:val="F6FD84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ody Text"/>
    <w:basedOn w:val="1"/>
    <w:next w:val="1"/>
    <w:qFormat/>
    <w:uiPriority w:val="0"/>
    <w:pPr>
      <w:widowControl/>
      <w:spacing w:after="120" w:afterLines="0" w:afterAutospacing="0"/>
      <w:ind w:firstLine="200" w:firstLineChars="200"/>
      <w:jc w:val="left"/>
    </w:pPr>
    <w:rPr>
      <w:rFonts w:ascii="Calibri" w:hAnsi="Calibri" w:eastAsia="仿宋_GB2312" w:cs="Times New Roman"/>
      <w:sz w:val="30"/>
      <w:szCs w:val="24"/>
      <w:lang w:bidi="ar-SA"/>
    </w:rPr>
  </w:style>
  <w:style w:type="paragraph" w:styleId="4">
    <w:name w:val="Body Text Indent"/>
    <w:basedOn w:val="1"/>
    <w:next w:val="5"/>
    <w:qFormat/>
    <w:uiPriority w:val="99"/>
    <w:pPr>
      <w:spacing w:line="580" w:lineRule="exact"/>
      <w:ind w:firstLine="720" w:firstLineChars="225"/>
      <w:jc w:val="both"/>
    </w:pPr>
    <w:rPr>
      <w:rFonts w:ascii="仿宋_GB2312" w:hAnsi="Calibri" w:eastAsia="仿宋_GB2312" w:cs="Times New Roman"/>
      <w:kern w:val="2"/>
      <w:sz w:val="32"/>
      <w:szCs w:val="24"/>
      <w:lang w:bidi="ar-SA"/>
    </w:r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4"/>
      <w:lang w:bidi="ar-SA"/>
    </w:rPr>
  </w:style>
  <w:style w:type="paragraph" w:styleId="6">
    <w:name w:val="Date"/>
    <w:basedOn w:val="1"/>
    <w:next w:val="1"/>
    <w:link w:val="17"/>
    <w:uiPriority w:val="0"/>
    <w:pPr>
      <w:ind w:left="100" w:leftChars="2500"/>
    </w:pPr>
    <w:rPr>
      <w:rFonts w:ascii="仿宋_GB2312" w:eastAsia="仿宋_GB2312"/>
      <w:sz w:val="32"/>
    </w:rPr>
  </w:style>
  <w:style w:type="paragraph" w:styleId="7">
    <w:name w:val="Body Text Indent 2"/>
    <w:basedOn w:val="1"/>
    <w:qFormat/>
    <w:uiPriority w:val="0"/>
    <w:pPr>
      <w:widowControl/>
      <w:spacing w:after="120" w:line="480" w:lineRule="auto"/>
      <w:ind w:left="420" w:leftChars="200" w:firstLine="200" w:firstLineChars="200"/>
      <w:jc w:val="left"/>
    </w:pPr>
    <w:rPr>
      <w:rFonts w:ascii="Calibri" w:hAnsi="Calibri" w:eastAsia="仿宋_GB2312" w:cs="Times New Roman"/>
      <w:sz w:val="30"/>
      <w:szCs w:val="24"/>
      <w:lang w:bidi="ar-SA"/>
    </w:rPr>
  </w:style>
  <w:style w:type="paragraph" w:styleId="8">
    <w:name w:val="Balloon Text"/>
    <w:basedOn w:val="1"/>
    <w:semiHidden/>
    <w:uiPriority w:val="0"/>
    <w:rPr>
      <w:sz w:val="18"/>
      <w:szCs w:val="18"/>
    </w:rPr>
  </w:style>
  <w:style w:type="paragraph" w:styleId="9">
    <w:name w:val="footer"/>
    <w:basedOn w:val="1"/>
    <w:link w:val="1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ar-SA"/>
    </w:rPr>
  </w:style>
  <w:style w:type="paragraph" w:styleId="12">
    <w:name w:val="Title"/>
    <w:basedOn w:val="1"/>
    <w:next w:val="4"/>
    <w:qFormat/>
    <w:uiPriority w:val="99"/>
    <w:pPr>
      <w:ind w:left="640" w:leftChars="200"/>
      <w:outlineLvl w:val="0"/>
    </w:pPr>
    <w:rPr>
      <w:rFonts w:ascii="Arial" w:hAnsi="Arial" w:eastAsia="仿宋_GB2312" w:cs="Times New Roman"/>
      <w:b/>
      <w:kern w:val="0"/>
      <w:sz w:val="32"/>
      <w:szCs w:val="24"/>
      <w:lang w:bidi="ar-SA"/>
    </w:rPr>
  </w:style>
  <w:style w:type="table" w:styleId="14">
    <w:name w:val="Table Grid"/>
    <w:basedOn w:val="13"/>
    <w:uiPriority w:val="0"/>
    <w:pPr>
      <w:widowControl w:val="0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basedOn w:val="15"/>
    <w:uiPriority w:val="0"/>
  </w:style>
  <w:style w:type="character" w:customStyle="1" w:styleId="17">
    <w:name w:val=" Char Char2"/>
    <w:basedOn w:val="15"/>
    <w:link w:val="6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8">
    <w:name w:val=" Char Char"/>
    <w:basedOn w:val="15"/>
    <w:link w:val="9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9">
    <w:name w:val=" Char Char1"/>
    <w:basedOn w:val="15"/>
    <w:link w:val="10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14</Pages>
  <Words>6582</Words>
  <Characters>6674</Characters>
  <Lines>1</Lines>
  <Paragraphs>1</Paragraphs>
  <TotalTime>10</TotalTime>
  <ScaleCrop>false</ScaleCrop>
  <LinksUpToDate>false</LinksUpToDate>
  <CharactersWithSpaces>6680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哈尼哈尼</cp:lastModifiedBy>
  <cp:lastPrinted>2022-11-19T16:40:31Z</cp:lastPrinted>
  <dcterms:modified xsi:type="dcterms:W3CDTF">2022-11-21T06:32:53Z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CA9E58D8B37C44F3AC1A8B950827A259</vt:lpwstr>
  </property>
</Properties>
</file>