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宋体" w:eastAsia="黑体" w:cs="宋体"/>
          <w:kern w:val="0"/>
          <w:sz w:val="32"/>
          <w:szCs w:val="32"/>
        </w:rPr>
      </w:pPr>
      <w:r>
        <w:rPr>
          <w:rFonts w:hint="eastAsia" w:ascii="黑体" w:hAnsi="宋体" w:eastAsia="黑体" w:cs="宋体"/>
          <w:kern w:val="0"/>
          <w:sz w:val="32"/>
          <w:szCs w:val="32"/>
        </w:rPr>
        <w:t>附件</w:t>
      </w:r>
    </w:p>
    <w:p>
      <w:pPr>
        <w:spacing w:line="580" w:lineRule="exact"/>
        <w:rPr>
          <w:rFonts w:hint="eastAsia" w:ascii="黑体" w:hAnsi="宋体" w:eastAsia="黑体" w:cs="宋体"/>
          <w:kern w:val="0"/>
          <w:sz w:val="32"/>
          <w:szCs w:val="32"/>
        </w:rPr>
      </w:pPr>
    </w:p>
    <w:p>
      <w:pPr>
        <w:spacing w:line="580" w:lineRule="exact"/>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内蒙古自治区基本公共服务领域自治区</w:t>
      </w: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与盟市共同财政事权清单及基础</w:t>
      </w: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标准支出责任划分情况表</w:t>
      </w:r>
    </w:p>
    <w:bookmarkEnd w:id="0"/>
    <w:p>
      <w:pPr>
        <w:spacing w:line="580" w:lineRule="exact"/>
        <w:rPr>
          <w:rFonts w:hint="eastAsia" w:ascii="仿宋_GB2312" w:eastAsia="仿宋_GB2312"/>
          <w:sz w:val="32"/>
          <w:szCs w:val="32"/>
        </w:rPr>
      </w:pPr>
    </w:p>
    <w:tbl>
      <w:tblPr>
        <w:tblStyle w:val="3"/>
        <w:tblW w:w="9340" w:type="dxa"/>
        <w:jc w:val="center"/>
        <w:tblInd w:w="91" w:type="dxa"/>
        <w:tblLayout w:type="fixed"/>
        <w:tblCellMar>
          <w:top w:w="0" w:type="dxa"/>
          <w:left w:w="108" w:type="dxa"/>
          <w:bottom w:w="0" w:type="dxa"/>
          <w:right w:w="108" w:type="dxa"/>
        </w:tblCellMar>
      </w:tblPr>
      <w:tblGrid>
        <w:gridCol w:w="1100"/>
        <w:gridCol w:w="1780"/>
        <w:gridCol w:w="2640"/>
        <w:gridCol w:w="3820"/>
      </w:tblGrid>
      <w:tr>
        <w:tblPrEx>
          <w:tblLayout w:type="fixed"/>
          <w:tblCellMar>
            <w:top w:w="0" w:type="dxa"/>
            <w:left w:w="108" w:type="dxa"/>
            <w:bottom w:w="0" w:type="dxa"/>
            <w:right w:w="108" w:type="dxa"/>
          </w:tblCellMar>
        </w:tblPrEx>
        <w:trPr>
          <w:trHeight w:val="713" w:hRule="atLeast"/>
          <w:tblHeader/>
          <w:jc w:val="center"/>
        </w:trPr>
        <w:tc>
          <w:tcPr>
            <w:tcW w:w="288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宋体" w:eastAsia="黑体" w:cs="宋体"/>
                <w:bCs/>
                <w:color w:val="000000"/>
                <w:kern w:val="0"/>
                <w:sz w:val="24"/>
              </w:rPr>
            </w:pPr>
            <w:r>
              <w:rPr>
                <w:rFonts w:hint="eastAsia" w:ascii="黑体" w:hAnsi="宋体" w:eastAsia="黑体" w:cs="宋体"/>
                <w:bCs/>
                <w:color w:val="000000"/>
                <w:kern w:val="0"/>
                <w:sz w:val="24"/>
              </w:rPr>
              <w:t>共同财政事权事项</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宋体" w:eastAsia="黑体" w:cs="宋体"/>
                <w:bCs/>
                <w:color w:val="000000"/>
                <w:kern w:val="0"/>
                <w:sz w:val="24"/>
              </w:rPr>
            </w:pPr>
            <w:r>
              <w:rPr>
                <w:rFonts w:hint="eastAsia" w:ascii="黑体" w:hAnsi="宋体" w:eastAsia="黑体" w:cs="宋体"/>
                <w:bCs/>
                <w:color w:val="000000"/>
                <w:kern w:val="0"/>
                <w:sz w:val="24"/>
              </w:rPr>
              <w:t>基 础 标 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宋体" w:eastAsia="黑体" w:cs="宋体"/>
                <w:bCs/>
                <w:color w:val="000000"/>
                <w:kern w:val="0"/>
                <w:sz w:val="24"/>
              </w:rPr>
            </w:pPr>
            <w:r>
              <w:rPr>
                <w:rFonts w:hint="eastAsia" w:ascii="黑体" w:hAnsi="宋体" w:eastAsia="黑体" w:cs="宋体"/>
                <w:bCs/>
                <w:color w:val="000000"/>
                <w:kern w:val="0"/>
                <w:sz w:val="24"/>
              </w:rPr>
              <w:t>具体支出责任及分担方式</w:t>
            </w:r>
          </w:p>
        </w:tc>
      </w:tr>
      <w:tr>
        <w:tblPrEx>
          <w:tblLayout w:type="fixed"/>
          <w:tblCellMar>
            <w:top w:w="0" w:type="dxa"/>
            <w:left w:w="108" w:type="dxa"/>
            <w:bottom w:w="0" w:type="dxa"/>
            <w:right w:w="108" w:type="dxa"/>
          </w:tblCellMar>
        </w:tblPrEx>
        <w:trPr>
          <w:trHeight w:val="3011" w:hRule="atLeast"/>
          <w:jc w:val="center"/>
        </w:trPr>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义务</w:t>
            </w:r>
          </w:p>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教育</w:t>
            </w: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义务</w:t>
            </w:r>
          </w:p>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教育</w:t>
            </w: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1.公用经费保障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国家规定部分执行中央制定国家基础标准，在此基础上，继续按规定提高民族学校等公用经费水平。</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国家基础标准内所需经费中央与地方按8∶2分担，地方分担的20%部分及自治区已出台的公用经费保障相关政策所需经费，由自治区与盟市按第一档3∶7、第二档5∶5、第三档7∶3进行分担。</w:t>
            </w:r>
          </w:p>
        </w:tc>
      </w:tr>
      <w:tr>
        <w:tblPrEx>
          <w:tblLayout w:type="fixed"/>
          <w:tblCellMar>
            <w:top w:w="0" w:type="dxa"/>
            <w:left w:w="108" w:type="dxa"/>
            <w:bottom w:w="0" w:type="dxa"/>
            <w:right w:w="108" w:type="dxa"/>
          </w:tblCellMar>
        </w:tblPrEx>
        <w:trPr>
          <w:trHeight w:val="5251"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2.免费提供教科书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课程教科书和免费为小学一年级新生提供正版学生字典执行中央制定补助标准，自治区制定免费提供自治区规定课程教科书补助标准，盟市、旗县（市、区）可以制定免费提供盟市、旗县（市、区）规定课程教科书补助标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课程教科书和免费为小学一年级新生提供正版学生字典使用中央资金落实。自治区制定免费提供自治区规定课程教科书所需经费由自治区财政承担。盟市、旗县制定免费提供盟市、旗县（市、区）规定课程教科书所需经费由盟市、旗县（市、区）财政承担。</w:t>
            </w:r>
          </w:p>
        </w:tc>
      </w:tr>
      <w:tr>
        <w:tblPrEx>
          <w:tblLayout w:type="fixed"/>
          <w:tblCellMar>
            <w:top w:w="0" w:type="dxa"/>
            <w:left w:w="108" w:type="dxa"/>
            <w:bottom w:w="0" w:type="dxa"/>
            <w:right w:w="108" w:type="dxa"/>
          </w:tblCellMar>
        </w:tblPrEx>
        <w:trPr>
          <w:trHeight w:val="3242"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3.家庭经济困难学生生活补助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国家规定部分执行中央制定国家基础标准。在此基础上，继续执行自治区已出台家庭经济困难</w:t>
            </w:r>
            <w:r>
              <w:rPr>
                <w:rFonts w:hint="eastAsia" w:ascii="宋体" w:hAnsi="宋体" w:cs="宋体"/>
                <w:kern w:val="0"/>
                <w:sz w:val="24"/>
              </w:rPr>
              <w:t>寄宿生</w:t>
            </w:r>
            <w:r>
              <w:rPr>
                <w:rFonts w:hint="eastAsia" w:ascii="宋体" w:hAnsi="宋体" w:cs="宋体"/>
                <w:color w:val="000000"/>
                <w:kern w:val="0"/>
                <w:sz w:val="24"/>
              </w:rPr>
              <w:t xml:space="preserve">生活补助相关政策。家庭经济困难非寄宿生生活补助标准待中央确定国家基础标准后，再分档确定补助标准。 </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国家规定部分执行中央制定国家基础标准，所需经费中央与地方按5∶5分担。地方分担的50%部分及自治区已出台的家庭经济困难</w:t>
            </w:r>
            <w:r>
              <w:rPr>
                <w:rFonts w:hint="eastAsia" w:ascii="宋体" w:hAnsi="宋体" w:cs="宋体"/>
                <w:kern w:val="0"/>
                <w:sz w:val="24"/>
              </w:rPr>
              <w:t>寄宿生</w:t>
            </w:r>
            <w:r>
              <w:rPr>
                <w:rFonts w:hint="eastAsia" w:ascii="宋体" w:hAnsi="宋体" w:cs="宋体"/>
                <w:color w:val="000000"/>
                <w:kern w:val="0"/>
                <w:sz w:val="24"/>
              </w:rPr>
              <w:t xml:space="preserve">生活补助相关政策所需经费，由自治区与盟市按第一档3∶7、第二档5∶5、第三档7∶3进行分担。对人口较少民族寄宿生增加安排生活补助所需经费，由中央财政承担。家庭经济困难非寄宿生生活补助待中央确定国家基础标准后，再确定支出责任和分担方式。 </w:t>
            </w:r>
          </w:p>
        </w:tc>
      </w:tr>
      <w:tr>
        <w:tblPrEx>
          <w:tblLayout w:type="fixed"/>
          <w:tblCellMar>
            <w:top w:w="0" w:type="dxa"/>
            <w:left w:w="108" w:type="dxa"/>
            <w:bottom w:w="0" w:type="dxa"/>
            <w:right w:w="108" w:type="dxa"/>
          </w:tblCellMar>
        </w:tblPrEx>
        <w:trPr>
          <w:trHeight w:val="2170"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4.贫困地区学生营养膳食补助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执行中央制定国家基础标准。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试点（我区为8个集中连片特困旗县）所需经费由中央资金落实；自治区试点（除8个集中连片特困旗县外的23个贫困旗县）所需经费，在中央补助之后，所需经费由自治区与盟市按第一档3∶7、第二档5∶5、第三档7∶3进行分担。</w:t>
            </w:r>
          </w:p>
        </w:tc>
      </w:tr>
      <w:tr>
        <w:tblPrEx>
          <w:tblLayout w:type="fixed"/>
          <w:tblCellMar>
            <w:top w:w="0" w:type="dxa"/>
            <w:left w:w="108" w:type="dxa"/>
            <w:bottom w:w="0" w:type="dxa"/>
            <w:right w:w="108" w:type="dxa"/>
          </w:tblCellMar>
        </w:tblPrEx>
        <w:trPr>
          <w:trHeight w:val="1857" w:hRule="atLeast"/>
          <w:jc w:val="center"/>
        </w:trPr>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学生</w:t>
            </w:r>
          </w:p>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资助</w:t>
            </w: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p>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学生</w:t>
            </w:r>
          </w:p>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资助</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5.中等职业教育国家助学金 </w:t>
            </w:r>
          </w:p>
        </w:tc>
        <w:tc>
          <w:tcPr>
            <w:tcW w:w="26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spacing w:val="-10"/>
                <w:kern w:val="0"/>
                <w:sz w:val="24"/>
              </w:rPr>
            </w:pPr>
            <w:r>
              <w:rPr>
                <w:rFonts w:hint="eastAsia" w:ascii="宋体" w:hAnsi="宋体" w:cs="宋体"/>
                <w:color w:val="000000"/>
                <w:spacing w:val="-10"/>
                <w:kern w:val="0"/>
                <w:sz w:val="24"/>
              </w:rPr>
              <w:t>国家规定部分执行中央制定国家基础标准，在此基础上，继续执行自治区已出台中等职业教育国家助学金相关政策。</w:t>
            </w:r>
          </w:p>
        </w:tc>
        <w:tc>
          <w:tcPr>
            <w:tcW w:w="3820"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宋体" w:hAnsi="宋体" w:cs="宋体"/>
                <w:color w:val="000000"/>
                <w:kern w:val="0"/>
                <w:sz w:val="24"/>
              </w:rPr>
            </w:pPr>
            <w:r>
              <w:rPr>
                <w:rFonts w:hint="eastAsia" w:ascii="宋体" w:hAnsi="宋体" w:cs="宋体"/>
                <w:color w:val="000000"/>
                <w:kern w:val="0"/>
                <w:sz w:val="24"/>
              </w:rPr>
              <w:t>国家规定部分所需经费中央与地方按8∶2分担。地方分担的20%部分及自治区已出台的中等职业教育国家助学金相关政策所需经费，由自治区与盟市按第一档3∶7、第二档5∶5、第三档7∶3进行分担。</w:t>
            </w:r>
          </w:p>
        </w:tc>
      </w:tr>
      <w:tr>
        <w:tblPrEx>
          <w:tblLayout w:type="fixed"/>
          <w:tblCellMar>
            <w:top w:w="0" w:type="dxa"/>
            <w:left w:w="108" w:type="dxa"/>
            <w:bottom w:w="0" w:type="dxa"/>
            <w:right w:w="108" w:type="dxa"/>
          </w:tblCellMar>
        </w:tblPrEx>
        <w:trPr>
          <w:trHeight w:val="1853"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6.中等职业教育免学费补助 </w:t>
            </w:r>
          </w:p>
        </w:tc>
        <w:tc>
          <w:tcPr>
            <w:tcW w:w="26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国家规定部分执行中央制定国家基础标准，在此基础上，继续执行自治区已出台中等职业教育免学费补助相关政策。</w:t>
            </w:r>
          </w:p>
        </w:tc>
        <w:tc>
          <w:tcPr>
            <w:tcW w:w="3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国家规定部分所需经费中央与地方按8∶2分担。地方分担的20%部分及自治区已出台的中等职业教育免学费补助相关政策所需经费，由自治区与盟市按第一档3∶7、第二档5∶5、第三档7∶3进行分担。</w:t>
            </w:r>
          </w:p>
        </w:tc>
      </w:tr>
      <w:tr>
        <w:tblPrEx>
          <w:tblLayout w:type="fixed"/>
          <w:tblCellMar>
            <w:top w:w="0" w:type="dxa"/>
            <w:left w:w="108" w:type="dxa"/>
            <w:bottom w:w="0" w:type="dxa"/>
            <w:right w:w="108" w:type="dxa"/>
          </w:tblCellMar>
        </w:tblPrEx>
        <w:trPr>
          <w:trHeight w:val="1396"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7.普通高中教育国家助学金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执行中央制定国家基础标准。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spacing w:val="-6"/>
                <w:kern w:val="0"/>
                <w:sz w:val="24"/>
              </w:rPr>
            </w:pPr>
            <w:r>
              <w:rPr>
                <w:rFonts w:hint="eastAsia" w:ascii="宋体" w:hAnsi="宋体" w:cs="宋体"/>
                <w:color w:val="000000"/>
                <w:spacing w:val="-6"/>
                <w:kern w:val="0"/>
                <w:sz w:val="24"/>
              </w:rPr>
              <w:t>所需经费由中央与地方按8∶2的比例分担。地方分担的20%部分，由自治区与盟市按第一档3</w:t>
            </w:r>
            <w:r>
              <w:rPr>
                <w:rFonts w:hint="eastAsia" w:ascii="宋体" w:hAnsi="宋体" w:cs="宋体"/>
                <w:color w:val="000000"/>
                <w:kern w:val="0"/>
                <w:sz w:val="24"/>
              </w:rPr>
              <w:t>∶</w:t>
            </w:r>
            <w:r>
              <w:rPr>
                <w:rFonts w:hint="eastAsia" w:ascii="宋体" w:hAnsi="宋体" w:cs="宋体"/>
                <w:color w:val="000000"/>
                <w:spacing w:val="-6"/>
                <w:kern w:val="0"/>
                <w:sz w:val="24"/>
              </w:rPr>
              <w:t>7，第二档5</w:t>
            </w:r>
            <w:r>
              <w:rPr>
                <w:rFonts w:hint="eastAsia" w:ascii="宋体" w:hAnsi="宋体" w:cs="宋体"/>
                <w:color w:val="000000"/>
                <w:kern w:val="0"/>
                <w:sz w:val="24"/>
              </w:rPr>
              <w:t>∶</w:t>
            </w:r>
            <w:r>
              <w:rPr>
                <w:rFonts w:hint="eastAsia" w:ascii="宋体" w:hAnsi="宋体" w:cs="宋体"/>
                <w:color w:val="000000"/>
                <w:spacing w:val="-6"/>
                <w:kern w:val="0"/>
                <w:sz w:val="24"/>
              </w:rPr>
              <w:t>5，第三档7</w:t>
            </w:r>
            <w:r>
              <w:rPr>
                <w:rFonts w:hint="eastAsia" w:ascii="宋体" w:hAnsi="宋体" w:cs="宋体"/>
                <w:color w:val="000000"/>
                <w:kern w:val="0"/>
                <w:sz w:val="24"/>
              </w:rPr>
              <w:t>∶</w:t>
            </w:r>
            <w:r>
              <w:rPr>
                <w:rFonts w:hint="eastAsia" w:ascii="宋体" w:hAnsi="宋体" w:cs="宋体"/>
                <w:color w:val="000000"/>
                <w:spacing w:val="-6"/>
                <w:kern w:val="0"/>
                <w:sz w:val="24"/>
              </w:rPr>
              <w:t>3进行分担。</w:t>
            </w:r>
          </w:p>
        </w:tc>
      </w:tr>
      <w:tr>
        <w:tblPrEx>
          <w:tblLayout w:type="fixed"/>
          <w:tblCellMar>
            <w:top w:w="0" w:type="dxa"/>
            <w:left w:w="108" w:type="dxa"/>
            <w:bottom w:w="0" w:type="dxa"/>
            <w:right w:w="108" w:type="dxa"/>
          </w:tblCellMar>
        </w:tblPrEx>
        <w:trPr>
          <w:trHeight w:val="1853"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8.普通高中教育免学杂费补助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国家规定部分执行中央制定国家基础标准，在此基础上，继续执行自治区已出台普通高中教育免学杂费补助相关政策。</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国家规定部分所需经费中央与地方按8∶2分担。地方分担的20%部分及自治区已出台的普通高中教育免学杂费补助相关政策所需经费，由自治区与盟市按第一档3∶7、第二档5∶5、第三档7∶3进行分担。</w:t>
            </w:r>
          </w:p>
        </w:tc>
      </w:tr>
      <w:tr>
        <w:tblPrEx>
          <w:tblLayout w:type="fixed"/>
          <w:tblCellMar>
            <w:top w:w="0" w:type="dxa"/>
            <w:left w:w="108" w:type="dxa"/>
            <w:bottom w:w="0" w:type="dxa"/>
            <w:right w:w="108" w:type="dxa"/>
          </w:tblCellMar>
        </w:tblPrEx>
        <w:trPr>
          <w:trHeight w:val="1551"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基本就业服务</w:t>
            </w: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9.基本公共就业服务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各盟市结合实际确定具体补助标准。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自治区统筹中央资金，主要依据年末常住人口数、登记失业人数、登记失业人数、地方投入情况、各地区财政困难程度等因素确定分配额度。</w:t>
            </w:r>
          </w:p>
        </w:tc>
      </w:tr>
      <w:tr>
        <w:tblPrEx>
          <w:tblLayout w:type="fixed"/>
          <w:tblCellMar>
            <w:top w:w="0" w:type="dxa"/>
            <w:left w:w="108" w:type="dxa"/>
            <w:bottom w:w="0" w:type="dxa"/>
            <w:right w:w="108" w:type="dxa"/>
          </w:tblCellMar>
        </w:tblPrEx>
        <w:trPr>
          <w:trHeight w:val="2310"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基本养老保险</w:t>
            </w: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10.城乡居民基本养老保险补助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中央制定国家基础标准，自治区在国家基础标准上适当提高标准。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spacing w:val="-4"/>
                <w:kern w:val="0"/>
                <w:sz w:val="24"/>
              </w:rPr>
            </w:pPr>
            <w:r>
              <w:rPr>
                <w:rFonts w:hint="eastAsia" w:ascii="宋体" w:hAnsi="宋体" w:cs="宋体"/>
                <w:color w:val="000000"/>
                <w:spacing w:val="-4"/>
                <w:kern w:val="0"/>
                <w:sz w:val="24"/>
              </w:rPr>
              <w:t>国家</w:t>
            </w:r>
            <w:r>
              <w:rPr>
                <w:rFonts w:hint="eastAsia" w:ascii="宋体" w:hAnsi="宋体" w:cs="宋体"/>
                <w:spacing w:val="-4"/>
                <w:kern w:val="0"/>
                <w:sz w:val="24"/>
              </w:rPr>
              <w:t>确定的基础养老金标准部分</w:t>
            </w:r>
            <w:r>
              <w:rPr>
                <w:rFonts w:hint="eastAsia" w:ascii="宋体" w:hAnsi="宋体" w:cs="宋体"/>
                <w:color w:val="000000"/>
                <w:spacing w:val="-4"/>
                <w:kern w:val="0"/>
                <w:sz w:val="24"/>
              </w:rPr>
              <w:t>使用中央资金落实，自治区提高基础养老金标准和参保缴费补贴部分，由自治区与盟市按第一档3</w:t>
            </w:r>
            <w:r>
              <w:rPr>
                <w:rFonts w:hint="eastAsia" w:ascii="宋体" w:hAnsi="宋体" w:cs="宋体"/>
                <w:color w:val="000000"/>
                <w:kern w:val="0"/>
                <w:sz w:val="24"/>
              </w:rPr>
              <w:t>∶</w:t>
            </w:r>
            <w:r>
              <w:rPr>
                <w:rFonts w:hint="eastAsia" w:ascii="宋体" w:hAnsi="宋体" w:cs="宋体"/>
                <w:color w:val="000000"/>
                <w:spacing w:val="-4"/>
                <w:kern w:val="0"/>
                <w:sz w:val="24"/>
              </w:rPr>
              <w:t>7、第二档5</w:t>
            </w:r>
            <w:r>
              <w:rPr>
                <w:rFonts w:hint="eastAsia" w:ascii="宋体" w:hAnsi="宋体" w:cs="宋体"/>
                <w:color w:val="000000"/>
                <w:kern w:val="0"/>
                <w:sz w:val="24"/>
              </w:rPr>
              <w:t>∶</w:t>
            </w:r>
            <w:r>
              <w:rPr>
                <w:rFonts w:hint="eastAsia" w:ascii="宋体" w:hAnsi="宋体" w:cs="宋体"/>
                <w:color w:val="000000"/>
                <w:spacing w:val="-4"/>
                <w:kern w:val="0"/>
                <w:sz w:val="24"/>
              </w:rPr>
              <w:t>5、第三档7</w:t>
            </w:r>
            <w:r>
              <w:rPr>
                <w:rFonts w:hint="eastAsia" w:ascii="宋体" w:hAnsi="宋体" w:cs="宋体"/>
                <w:color w:val="000000"/>
                <w:kern w:val="0"/>
                <w:sz w:val="24"/>
              </w:rPr>
              <w:t>∶</w:t>
            </w:r>
            <w:r>
              <w:rPr>
                <w:rFonts w:hint="eastAsia" w:ascii="宋体" w:hAnsi="宋体" w:cs="宋体"/>
                <w:color w:val="000000"/>
                <w:spacing w:val="-4"/>
                <w:kern w:val="0"/>
                <w:sz w:val="24"/>
              </w:rPr>
              <w:t>3进行分担。</w:t>
            </w:r>
          </w:p>
        </w:tc>
      </w:tr>
      <w:tr>
        <w:tblPrEx>
          <w:tblLayout w:type="fixed"/>
          <w:tblCellMar>
            <w:top w:w="0" w:type="dxa"/>
            <w:left w:w="108" w:type="dxa"/>
            <w:bottom w:w="0" w:type="dxa"/>
            <w:right w:w="108" w:type="dxa"/>
          </w:tblCellMar>
        </w:tblPrEx>
        <w:trPr>
          <w:trHeight w:val="1833" w:hRule="atLeast"/>
          <w:jc w:val="center"/>
        </w:trPr>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基本医疗保障</w:t>
            </w: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11.城乡居民基本医疗保险补助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执行中央制定国家基础标准。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spacing w:val="-6"/>
                <w:kern w:val="0"/>
                <w:sz w:val="24"/>
              </w:rPr>
            </w:pPr>
            <w:r>
              <w:rPr>
                <w:rFonts w:hint="eastAsia" w:ascii="宋体" w:hAnsi="宋体" w:cs="宋体"/>
                <w:color w:val="000000"/>
                <w:spacing w:val="-6"/>
                <w:kern w:val="0"/>
                <w:sz w:val="24"/>
              </w:rPr>
              <w:t>所需经费由中央与地方按8∶2的比例分担。地方分担的20%部分，由自治区与盟市按第一档3</w:t>
            </w:r>
            <w:r>
              <w:rPr>
                <w:rFonts w:hint="eastAsia" w:ascii="宋体" w:hAnsi="宋体" w:cs="宋体"/>
                <w:color w:val="000000"/>
                <w:kern w:val="0"/>
                <w:sz w:val="24"/>
              </w:rPr>
              <w:t>∶</w:t>
            </w:r>
            <w:r>
              <w:rPr>
                <w:rFonts w:hint="eastAsia" w:ascii="宋体" w:hAnsi="宋体" w:cs="宋体"/>
                <w:color w:val="000000"/>
                <w:spacing w:val="-6"/>
                <w:kern w:val="0"/>
                <w:sz w:val="24"/>
              </w:rPr>
              <w:t>7、第二档5</w:t>
            </w:r>
            <w:r>
              <w:rPr>
                <w:rFonts w:hint="eastAsia" w:ascii="宋体" w:hAnsi="宋体" w:cs="宋体"/>
                <w:color w:val="000000"/>
                <w:kern w:val="0"/>
                <w:sz w:val="24"/>
              </w:rPr>
              <w:t>∶</w:t>
            </w:r>
            <w:r>
              <w:rPr>
                <w:rFonts w:hint="eastAsia" w:ascii="宋体" w:hAnsi="宋体" w:cs="宋体"/>
                <w:color w:val="000000"/>
                <w:spacing w:val="-6"/>
                <w:kern w:val="0"/>
                <w:sz w:val="24"/>
              </w:rPr>
              <w:t>5、第三档7</w:t>
            </w:r>
            <w:r>
              <w:rPr>
                <w:rFonts w:hint="eastAsia" w:ascii="宋体" w:hAnsi="宋体" w:cs="宋体"/>
                <w:color w:val="000000"/>
                <w:kern w:val="0"/>
                <w:sz w:val="24"/>
              </w:rPr>
              <w:t>∶</w:t>
            </w:r>
            <w:r>
              <w:rPr>
                <w:rFonts w:hint="eastAsia" w:ascii="宋体" w:hAnsi="宋体" w:cs="宋体"/>
                <w:color w:val="000000"/>
                <w:spacing w:val="-6"/>
                <w:kern w:val="0"/>
                <w:sz w:val="24"/>
              </w:rPr>
              <w:t>3进行分担。</w:t>
            </w:r>
          </w:p>
        </w:tc>
      </w:tr>
      <w:tr>
        <w:tblPrEx>
          <w:tblLayout w:type="fixed"/>
          <w:tblCellMar>
            <w:top w:w="0" w:type="dxa"/>
            <w:left w:w="108" w:type="dxa"/>
            <w:bottom w:w="0" w:type="dxa"/>
            <w:right w:w="108" w:type="dxa"/>
          </w:tblCellMar>
        </w:tblPrEx>
        <w:trPr>
          <w:trHeight w:val="1831"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12.医疗救助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自治区制定医疗救助的基础标准，盟市、旗县（市、区）结合实际制定具体标准。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自治区统筹中央资金，主要依据各地区财力状况、保障对象数量等因素确定分配额度。</w:t>
            </w:r>
          </w:p>
        </w:tc>
      </w:tr>
      <w:tr>
        <w:tblPrEx>
          <w:tblLayout w:type="fixed"/>
          <w:tblCellMar>
            <w:top w:w="0" w:type="dxa"/>
            <w:left w:w="108" w:type="dxa"/>
            <w:bottom w:w="0" w:type="dxa"/>
            <w:right w:w="108" w:type="dxa"/>
          </w:tblCellMar>
        </w:tblPrEx>
        <w:trPr>
          <w:trHeight w:val="1238" w:hRule="atLeast"/>
          <w:jc w:val="center"/>
        </w:trPr>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基本卫生计生</w:t>
            </w: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13.基本公共卫生服务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执行中央制定国家基础标准。</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所需经费中央与地方按8∶2分担。地方分担的20%部分，由自治区与盟市按第一档3∶7、第二档5∶5、第三档7∶3进行分担。</w:t>
            </w:r>
          </w:p>
        </w:tc>
      </w:tr>
      <w:tr>
        <w:tblPrEx>
          <w:tblLayout w:type="fixed"/>
          <w:tblCellMar>
            <w:top w:w="0" w:type="dxa"/>
            <w:left w:w="108" w:type="dxa"/>
            <w:bottom w:w="0" w:type="dxa"/>
            <w:right w:w="108" w:type="dxa"/>
          </w:tblCellMar>
        </w:tblPrEx>
        <w:trPr>
          <w:trHeight w:val="2090"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14.计划生育扶助保障 </w:t>
            </w:r>
          </w:p>
        </w:tc>
        <w:tc>
          <w:tcPr>
            <w:tcW w:w="264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国家规定部分执行中央制定国家基础标准，在此基础上，继续执行自治区已出台计划生育扶助保障相关政策。</w:t>
            </w:r>
          </w:p>
        </w:tc>
        <w:tc>
          <w:tcPr>
            <w:tcW w:w="3820" w:type="dxa"/>
            <w:tcBorders>
              <w:top w:val="single" w:color="auto" w:sz="4" w:space="0"/>
              <w:left w:val="nil"/>
              <w:bottom w:val="single" w:color="auto" w:sz="4" w:space="0"/>
              <w:right w:val="single" w:color="auto" w:sz="4" w:space="0"/>
            </w:tcBorders>
            <w:vAlign w:val="center"/>
          </w:tcPr>
          <w:p>
            <w:pPr>
              <w:widowControl/>
              <w:spacing w:line="400" w:lineRule="exact"/>
              <w:rPr>
                <w:rFonts w:hint="eastAsia" w:ascii="宋体" w:hAnsi="宋体" w:cs="宋体"/>
                <w:color w:val="000000"/>
                <w:spacing w:val="-6"/>
                <w:kern w:val="0"/>
                <w:sz w:val="24"/>
              </w:rPr>
            </w:pPr>
            <w:r>
              <w:rPr>
                <w:rFonts w:hint="eastAsia" w:ascii="宋体" w:hAnsi="宋体" w:cs="宋体"/>
                <w:color w:val="000000"/>
                <w:spacing w:val="-6"/>
                <w:kern w:val="0"/>
                <w:sz w:val="24"/>
              </w:rPr>
              <w:t>国家规定部分执行中央制定国家基础标准，所需经费中央与地方按8∶2分担。地方分担的20%部分及自治区已出台的计划生育扶助保障相关政策所需经费，由自治区与盟市按第一档3</w:t>
            </w:r>
            <w:r>
              <w:rPr>
                <w:rFonts w:hint="eastAsia" w:ascii="宋体" w:hAnsi="宋体" w:cs="宋体"/>
                <w:color w:val="000000"/>
                <w:kern w:val="0"/>
                <w:sz w:val="24"/>
              </w:rPr>
              <w:t>∶</w:t>
            </w:r>
            <w:r>
              <w:rPr>
                <w:rFonts w:hint="eastAsia" w:ascii="宋体" w:hAnsi="宋体" w:cs="宋体"/>
                <w:color w:val="000000"/>
                <w:spacing w:val="-6"/>
                <w:kern w:val="0"/>
                <w:sz w:val="24"/>
              </w:rPr>
              <w:t>7、第二档5</w:t>
            </w:r>
            <w:r>
              <w:rPr>
                <w:rFonts w:hint="eastAsia" w:ascii="宋体" w:hAnsi="宋体" w:cs="宋体"/>
                <w:color w:val="000000"/>
                <w:kern w:val="0"/>
                <w:sz w:val="24"/>
              </w:rPr>
              <w:t>∶</w:t>
            </w:r>
            <w:r>
              <w:rPr>
                <w:rFonts w:hint="eastAsia" w:ascii="宋体" w:hAnsi="宋体" w:cs="宋体"/>
                <w:color w:val="000000"/>
                <w:spacing w:val="-6"/>
                <w:kern w:val="0"/>
                <w:sz w:val="24"/>
              </w:rPr>
              <w:t>5、第三档7</w:t>
            </w:r>
            <w:r>
              <w:rPr>
                <w:rFonts w:hint="eastAsia" w:ascii="宋体" w:hAnsi="宋体" w:cs="宋体"/>
                <w:color w:val="000000"/>
                <w:kern w:val="0"/>
                <w:sz w:val="24"/>
              </w:rPr>
              <w:t>∶</w:t>
            </w:r>
            <w:r>
              <w:rPr>
                <w:rFonts w:hint="eastAsia" w:ascii="宋体" w:hAnsi="宋体" w:cs="宋体"/>
                <w:color w:val="000000"/>
                <w:spacing w:val="-6"/>
                <w:kern w:val="0"/>
                <w:sz w:val="24"/>
              </w:rPr>
              <w:t>3进行分担。</w:t>
            </w:r>
          </w:p>
        </w:tc>
      </w:tr>
      <w:tr>
        <w:tblPrEx>
          <w:tblLayout w:type="fixed"/>
          <w:tblCellMar>
            <w:top w:w="0" w:type="dxa"/>
            <w:left w:w="108" w:type="dxa"/>
            <w:bottom w:w="0" w:type="dxa"/>
            <w:right w:w="108" w:type="dxa"/>
          </w:tblCellMar>
        </w:tblPrEx>
        <w:trPr>
          <w:trHeight w:val="1154" w:hRule="atLeast"/>
          <w:jc w:val="center"/>
        </w:trPr>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基本生活救助</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15.困难群众救助 </w:t>
            </w:r>
          </w:p>
        </w:tc>
        <w:tc>
          <w:tcPr>
            <w:tcW w:w="26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自治区制定基础标准，</w:t>
            </w:r>
            <w:r>
              <w:rPr>
                <w:rFonts w:hint="eastAsia" w:ascii="宋体" w:hAnsi="宋体"/>
                <w:sz w:val="24"/>
              </w:rPr>
              <w:t>盟市、旗县（市、区）结合实际确定具体标准。</w:t>
            </w:r>
          </w:p>
        </w:tc>
        <w:tc>
          <w:tcPr>
            <w:tcW w:w="3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自治区统筹中央资金，主要依据各地区财力状况、保障对象数量等因素确定分配额度。</w:t>
            </w:r>
          </w:p>
        </w:tc>
      </w:tr>
      <w:tr>
        <w:tblPrEx>
          <w:tblLayout w:type="fixed"/>
          <w:tblCellMar>
            <w:top w:w="0" w:type="dxa"/>
            <w:left w:w="108" w:type="dxa"/>
            <w:bottom w:w="0" w:type="dxa"/>
            <w:right w:w="108" w:type="dxa"/>
          </w:tblCellMar>
        </w:tblPrEx>
        <w:trPr>
          <w:trHeight w:val="2153"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16.受灾人员救助</w:t>
            </w:r>
          </w:p>
        </w:tc>
        <w:tc>
          <w:tcPr>
            <w:tcW w:w="26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执行中央制定补助标准，盟市、旗县（市、区）可结合实际确定救助标准。</w:t>
            </w:r>
          </w:p>
        </w:tc>
        <w:tc>
          <w:tcPr>
            <w:tcW w:w="3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olor w:val="000000"/>
                <w:sz w:val="24"/>
              </w:rPr>
              <w:t>对遭受重特大自然灾害的，除中央财政按规定的补助标准给予适当补助外，自治区依据受灾人数、受灾面积等因素按规定给予适当补助。灾害救助所需其余资金由盟市、旗县（市、区）财政承担。</w:t>
            </w:r>
          </w:p>
        </w:tc>
      </w:tr>
      <w:tr>
        <w:tblPrEx>
          <w:tblLayout w:type="fixed"/>
          <w:tblCellMar>
            <w:top w:w="0" w:type="dxa"/>
            <w:left w:w="108" w:type="dxa"/>
            <w:bottom w:w="0" w:type="dxa"/>
            <w:right w:w="108" w:type="dxa"/>
          </w:tblCellMar>
        </w:tblPrEx>
        <w:trPr>
          <w:trHeight w:val="1244"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bCs/>
                <w:color w:val="000000"/>
                <w:kern w:val="0"/>
                <w:sz w:val="24"/>
              </w:rPr>
            </w:pP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17.残疾人服务 </w:t>
            </w:r>
          </w:p>
        </w:tc>
        <w:tc>
          <w:tcPr>
            <w:tcW w:w="26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自治区结合实际制定补助标准。</w:t>
            </w:r>
          </w:p>
        </w:tc>
        <w:tc>
          <w:tcPr>
            <w:tcW w:w="3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自治区结合实际制定补助标准，并统筹中央资金，按照保障对象和人数等因素确定分配额度。</w:t>
            </w:r>
          </w:p>
        </w:tc>
      </w:tr>
      <w:tr>
        <w:tblPrEx>
          <w:tblLayout w:type="fixed"/>
          <w:tblCellMar>
            <w:top w:w="0" w:type="dxa"/>
            <w:left w:w="108" w:type="dxa"/>
            <w:bottom w:w="0" w:type="dxa"/>
            <w:right w:w="108" w:type="dxa"/>
          </w:tblCellMar>
        </w:tblPrEx>
        <w:trPr>
          <w:trHeight w:val="2192"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Cs/>
                <w:color w:val="000000"/>
                <w:kern w:val="0"/>
                <w:sz w:val="24"/>
              </w:rPr>
            </w:pPr>
            <w:r>
              <w:rPr>
                <w:rFonts w:hint="eastAsia" w:ascii="宋体" w:hAnsi="宋体" w:cs="宋体"/>
                <w:bCs/>
                <w:color w:val="000000"/>
                <w:kern w:val="0"/>
                <w:sz w:val="24"/>
              </w:rPr>
              <w:t>基本住房保障</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bCs/>
                <w:color w:val="000000"/>
                <w:kern w:val="0"/>
                <w:sz w:val="24"/>
              </w:rPr>
            </w:pPr>
            <w:r>
              <w:rPr>
                <w:rFonts w:hint="eastAsia" w:ascii="宋体" w:hAnsi="宋体" w:cs="宋体"/>
                <w:bCs/>
                <w:color w:val="000000"/>
                <w:kern w:val="0"/>
                <w:sz w:val="24"/>
              </w:rPr>
              <w:t xml:space="preserve">18.城乡保障性安居工程（包括城镇保障性安居工程和农村危房改造等） </w:t>
            </w:r>
          </w:p>
        </w:tc>
        <w:tc>
          <w:tcPr>
            <w:tcW w:w="26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自治区制定测算补助标准，盟市、旗县（市、区）可结合实际确定具体补助标准。</w:t>
            </w:r>
          </w:p>
        </w:tc>
        <w:tc>
          <w:tcPr>
            <w:tcW w:w="3820" w:type="dxa"/>
            <w:tcBorders>
              <w:top w:val="nil"/>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000000"/>
                <w:kern w:val="0"/>
                <w:sz w:val="24"/>
              </w:rPr>
            </w:pPr>
            <w:r>
              <w:rPr>
                <w:rFonts w:hint="eastAsia" w:ascii="宋体" w:hAnsi="宋体" w:cs="宋体"/>
                <w:color w:val="000000"/>
                <w:kern w:val="0"/>
                <w:sz w:val="24"/>
              </w:rPr>
              <w:t>自治区统筹中央资金，主要依据盟市、旗县（市、区）财力状况、年度任务量等因素确定分配额度。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01E33"/>
    <w:rsid w:val="5E40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2018-12-20T01:19:00Z</dcterms:created>
  <dc:creator>哈尼哈尼</dc:creator>
  <cp:lastModifiedBy>哈尼哈尼</cp:lastModifiedBy>
  <dcterms:modified xsi:type="dcterms:W3CDTF">2018-12-20T01:20:15Z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