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附件4 </w:t>
      </w:r>
    </w:p>
    <w:p>
      <w:pPr>
        <w:spacing w:line="580" w:lineRule="exact"/>
        <w:rPr>
          <w:rFonts w:hint="eastAsia" w:ascii="黑体" w:hAnsi="宋体" w:eastAsia="黑体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评价考核指标计算方法</w:t>
      </w:r>
      <w:bookmarkEnd w:id="0"/>
    </w:p>
    <w:p>
      <w:pPr>
        <w:spacing w:line="580" w:lineRule="exact"/>
        <w:ind w:firstLine="2512" w:firstLineChars="695"/>
        <w:rPr>
          <w:rFonts w:hint="eastAsia" w:ascii="方正小标宋简体" w:hAnsi="宋体" w:eastAsia="方正小标宋简体"/>
          <w:b/>
          <w:sz w:val="36"/>
          <w:szCs w:val="36"/>
        </w:rPr>
      </w:pPr>
    </w:p>
    <w:p>
      <w:pPr>
        <w:spacing w:line="560" w:lineRule="exact"/>
        <w:ind w:firstLine="616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pacing w:val="-6"/>
          <w:sz w:val="32"/>
          <w:szCs w:val="32"/>
        </w:rPr>
        <w:t>一、林业生态工程建设任务完成率＝（营造林统计上报面积/</w:t>
      </w:r>
      <w:r>
        <w:rPr>
          <w:rFonts w:hint="eastAsia" w:ascii="仿宋_GB2312" w:hAnsi="华文仿宋" w:eastAsia="仿宋_GB2312"/>
          <w:sz w:val="32"/>
          <w:szCs w:val="32"/>
        </w:rPr>
        <w:t>上级下达营造林任务量）×100%；</w:t>
      </w:r>
    </w:p>
    <w:p>
      <w:pPr>
        <w:spacing w:line="56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二、林业生态工程建设合格率＝（营造林合格面积/营造林统计上报面积）×100%；</w:t>
      </w:r>
    </w:p>
    <w:p>
      <w:pPr>
        <w:spacing w:line="560" w:lineRule="exact"/>
        <w:ind w:firstLine="640" w:firstLineChars="200"/>
        <w:rPr>
          <w:rFonts w:hint="eastAsia" w:ascii="仿宋_GB2312" w:hAnsi="华文仿宋" w:eastAsia="仿宋_GB2312"/>
          <w:spacing w:val="-16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三、</w:t>
      </w:r>
      <w:r>
        <w:rPr>
          <w:rFonts w:hint="eastAsia" w:ascii="仿宋_GB2312" w:hAnsi="华文仿宋" w:eastAsia="仿宋_GB2312"/>
          <w:spacing w:val="-16"/>
          <w:sz w:val="32"/>
          <w:szCs w:val="32"/>
        </w:rPr>
        <w:t>林业案件查处率＝（林业案件办结数/林业案件发生数）×100%；</w:t>
      </w:r>
    </w:p>
    <w:p>
      <w:pPr>
        <w:spacing w:line="56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四、采伐更新率＝（采伐更新面积/采伐总面积）×100%；</w:t>
      </w:r>
    </w:p>
    <w:p>
      <w:pPr>
        <w:spacing w:line="56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五、林权纠纷调处率＝〔年度办结纠纷调解数/（历史遗留纠纷数＋本年度受理纠纷数）〕×100%；</w:t>
      </w:r>
    </w:p>
    <w:p>
      <w:pPr>
        <w:spacing w:line="56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六、森林火灾受害面积受害率＝（森林火灾受害森林面积/森林总面积）×1000‰；</w:t>
      </w:r>
    </w:p>
    <w:p>
      <w:pPr>
        <w:spacing w:line="56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七、有害生物无公害防治率＝（有害生物无公害防治面积/有害生物防治总面积）×100%；</w:t>
      </w:r>
    </w:p>
    <w:p>
      <w:pPr>
        <w:spacing w:line="56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八、有害生物成灾率＝（有害生物成灾面积/森林面积）×1000‰；</w:t>
      </w:r>
    </w:p>
    <w:p>
      <w:pPr>
        <w:spacing w:line="56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九、使用林地审核率＝〔审核审批项目数/发生的占用征用林地项目数（含发现的非法占用林地项目数）〕×100%；</w:t>
      </w:r>
    </w:p>
    <w:p>
      <w:pPr>
        <w:spacing w:line="56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十、森林覆盖率＝〔（有林地面积＋国家特别规定灌木林地面积）/土地总面积〕×100%；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十一、森林蓄积量是指胸径达到5厘米以上林分林木蓄积量。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534F8"/>
    <w:rsid w:val="323534F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T_DYF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2018-09-05T01:23:00Z</dcterms:created>
  <dc:creator>BGT_DYF</dc:creator>
  <cp:lastModifiedBy>BGT_DYF</cp:lastModifiedBy>
  <dcterms:modified xsi:type="dcterms:W3CDTF">2018-09-05T01:23:41Z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