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华文仿宋" w:eastAsia="黑体"/>
          <w:sz w:val="32"/>
          <w:szCs w:val="32"/>
        </w:rPr>
      </w:pPr>
      <w:r>
        <w:rPr>
          <w:rFonts w:hint="eastAsia" w:ascii="黑体" w:hAnsi="华文仿宋" w:eastAsia="黑体"/>
          <w:sz w:val="32"/>
          <w:szCs w:val="32"/>
        </w:rPr>
        <w:t>附件3</w:t>
      </w:r>
    </w:p>
    <w:p>
      <w:pPr>
        <w:spacing w:line="580" w:lineRule="exact"/>
        <w:rPr>
          <w:rFonts w:hint="eastAsia" w:ascii="黑体" w:hAnsi="华文仿宋" w:eastAsia="黑体"/>
          <w:sz w:val="32"/>
          <w:szCs w:val="32"/>
        </w:rPr>
      </w:pPr>
    </w:p>
    <w:p>
      <w:pPr>
        <w:spacing w:line="58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内蒙古自治区保护发展森林资源目标责任制</w:t>
      </w:r>
    </w:p>
    <w:p>
      <w:pPr>
        <w:spacing w:line="58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五年规划目标考核评分标准（试行）</w:t>
      </w:r>
    </w:p>
    <w:p>
      <w:pPr>
        <w:jc w:val="center"/>
        <w:rPr>
          <w:rFonts w:hint="eastAsia" w:ascii="黑体" w:hAnsi="华文仿宋" w:eastAsia="黑体"/>
          <w:sz w:val="32"/>
          <w:szCs w:val="32"/>
        </w:rPr>
      </w:pPr>
    </w:p>
    <w:tbl>
      <w:tblPr>
        <w:tblStyle w:val="3"/>
        <w:tblpPr w:leftFromText="180" w:rightFromText="180" w:vertAnchor="text" w:horzAnchor="margin" w:tblpY="2"/>
        <w:tblW w:w="95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1276"/>
        <w:gridCol w:w="709"/>
        <w:gridCol w:w="57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01" w:type="dxa"/>
            <w:shd w:val="clear" w:color="auto" w:fill="auto"/>
            <w:vAlign w:val="center"/>
          </w:tcPr>
          <w:p>
            <w:pPr>
              <w:widowControl/>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指标名称</w:t>
            </w:r>
          </w:p>
        </w:tc>
        <w:tc>
          <w:tcPr>
            <w:tcW w:w="708" w:type="dxa"/>
            <w:shd w:val="clear" w:color="auto" w:fill="auto"/>
            <w:vAlign w:val="center"/>
          </w:tcPr>
          <w:p>
            <w:pPr>
              <w:widowControl/>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序号</w:t>
            </w:r>
          </w:p>
        </w:tc>
        <w:tc>
          <w:tcPr>
            <w:tcW w:w="1276" w:type="dxa"/>
            <w:shd w:val="clear" w:color="auto" w:fill="auto"/>
            <w:vAlign w:val="center"/>
          </w:tcPr>
          <w:p>
            <w:pPr>
              <w:widowControl/>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二级指标</w:t>
            </w:r>
          </w:p>
        </w:tc>
        <w:tc>
          <w:tcPr>
            <w:tcW w:w="709" w:type="dxa"/>
            <w:shd w:val="clear" w:color="auto" w:fill="auto"/>
            <w:vAlign w:val="center"/>
          </w:tcPr>
          <w:p>
            <w:pPr>
              <w:widowControl/>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分值</w:t>
            </w:r>
          </w:p>
        </w:tc>
        <w:tc>
          <w:tcPr>
            <w:tcW w:w="5722" w:type="dxa"/>
            <w:shd w:val="clear" w:color="auto" w:fill="auto"/>
            <w:vAlign w:val="center"/>
          </w:tcPr>
          <w:p>
            <w:pPr>
              <w:widowControl/>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评      分      标      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085" w:type="dxa"/>
            <w:gridSpan w:val="3"/>
            <w:shd w:val="clear" w:color="auto" w:fill="auto"/>
            <w:vAlign w:val="center"/>
          </w:tcPr>
          <w:p>
            <w:pPr>
              <w:widowControl/>
              <w:ind w:firstLine="180" w:firstLineChars="100"/>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      计</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722" w:type="dxa"/>
            <w:shd w:val="clear" w:color="auto" w:fill="auto"/>
            <w:vAlign w:val="center"/>
          </w:tcPr>
          <w:p>
            <w:pPr>
              <w:widowControl/>
              <w:jc w:val="center"/>
              <w:rPr>
                <w:rFonts w:hint="eastAsia" w:ascii="宋体" w:hAnsi="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1101" w:type="dxa"/>
            <w:vMerge w:val="restart"/>
            <w:shd w:val="clear" w:color="auto" w:fill="auto"/>
            <w:vAlign w:val="center"/>
          </w:tcPr>
          <w:p>
            <w:pPr>
              <w:widowControl/>
              <w:jc w:val="left"/>
              <w:rPr>
                <w:rFonts w:hint="eastAsia" w:ascii="宋体" w:hAnsi="宋体" w:cs="宋体"/>
                <w:bCs/>
                <w:color w:val="000000"/>
                <w:kern w:val="0"/>
                <w:sz w:val="18"/>
                <w:szCs w:val="18"/>
              </w:rPr>
            </w:pPr>
            <w:r>
              <w:rPr>
                <w:rFonts w:hint="eastAsia" w:ascii="宋体" w:hAnsi="宋体" w:cs="宋体"/>
                <w:bCs/>
                <w:color w:val="000000"/>
                <w:kern w:val="0"/>
                <w:sz w:val="18"/>
                <w:szCs w:val="18"/>
              </w:rPr>
              <w:t>森林资源总体情况（100分）</w:t>
            </w:r>
          </w:p>
        </w:tc>
        <w:tc>
          <w:tcPr>
            <w:tcW w:w="708" w:type="dxa"/>
            <w:shd w:val="clear" w:color="auto" w:fill="auto"/>
            <w:vAlign w:val="center"/>
          </w:tcPr>
          <w:p>
            <w:pPr>
              <w:widowControl/>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w:t>
            </w:r>
          </w:p>
        </w:tc>
        <w:tc>
          <w:tcPr>
            <w:tcW w:w="1276" w:type="dxa"/>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森林覆盖率</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5722" w:type="dxa"/>
            <w:shd w:val="clear" w:color="auto" w:fill="auto"/>
            <w:vAlign w:val="center"/>
          </w:tcPr>
          <w:p>
            <w:pPr>
              <w:widowControl/>
              <w:ind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以签订目标责任状时自治区核定该盟市的森林覆盖率现状值和五年规划目标值为基准，考核年度实际森林覆盖率达到或超过自治区核定五年规划森林覆盖率目标的，得满分。每低于或未达到规划目标要求0.1个百分点的，扣5分，扣完为止。考核年度森林覆盖率值低于签订责任状时现状值的，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trPr>
        <w:tc>
          <w:tcPr>
            <w:tcW w:w="1101" w:type="dxa"/>
            <w:vMerge w:val="continue"/>
            <w:shd w:val="clear" w:color="auto" w:fill="auto"/>
            <w:vAlign w:val="center"/>
          </w:tcPr>
          <w:p>
            <w:pPr>
              <w:widowControl/>
              <w:jc w:val="left"/>
              <w:rPr>
                <w:rFonts w:hint="eastAsia" w:ascii="宋体" w:hAnsi="宋体" w:cs="宋体"/>
                <w:bCs/>
                <w:color w:val="000000"/>
                <w:kern w:val="0"/>
                <w:sz w:val="18"/>
                <w:szCs w:val="18"/>
              </w:rPr>
            </w:pPr>
          </w:p>
        </w:tc>
        <w:tc>
          <w:tcPr>
            <w:tcW w:w="708" w:type="dxa"/>
            <w:shd w:val="clear" w:color="auto" w:fill="auto"/>
            <w:vAlign w:val="center"/>
          </w:tcPr>
          <w:p>
            <w:pPr>
              <w:widowControl/>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2</w:t>
            </w:r>
          </w:p>
        </w:tc>
        <w:tc>
          <w:tcPr>
            <w:tcW w:w="1276" w:type="dxa"/>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森林蓄积量</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5722" w:type="dxa"/>
            <w:shd w:val="clear" w:color="auto" w:fill="auto"/>
            <w:vAlign w:val="center"/>
          </w:tcPr>
          <w:p>
            <w:pPr>
              <w:widowControl/>
              <w:ind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以签订目标责任状时自治区核定该盟市的森林蓄积量现状值和五年规划目标值为基准，考核年度实际森林蓄积量达到或超过自治区核定五年规划森林蓄积量目标值的，得满分。每低于或未达到目标值0.1个百分点的，扣5分，扣完为止。考核年度森林蓄积量值低于签订责任状时现状值的，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1101" w:type="dxa"/>
            <w:vMerge w:val="continue"/>
            <w:shd w:val="clear" w:color="auto" w:fill="auto"/>
            <w:vAlign w:val="center"/>
          </w:tcPr>
          <w:p>
            <w:pPr>
              <w:widowControl/>
              <w:jc w:val="left"/>
              <w:rPr>
                <w:rFonts w:hint="eastAsia" w:ascii="宋体" w:hAnsi="宋体" w:cs="宋体"/>
                <w:bCs/>
                <w:color w:val="000000"/>
                <w:kern w:val="0"/>
                <w:sz w:val="18"/>
                <w:szCs w:val="18"/>
              </w:rPr>
            </w:pPr>
          </w:p>
        </w:tc>
        <w:tc>
          <w:tcPr>
            <w:tcW w:w="708" w:type="dxa"/>
            <w:shd w:val="clear" w:color="auto" w:fill="auto"/>
            <w:vAlign w:val="center"/>
          </w:tcPr>
          <w:p>
            <w:pPr>
              <w:widowControl/>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3</w:t>
            </w:r>
          </w:p>
        </w:tc>
        <w:tc>
          <w:tcPr>
            <w:tcW w:w="1276" w:type="dxa"/>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林地保有量</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5722" w:type="dxa"/>
            <w:shd w:val="clear" w:color="auto" w:fill="auto"/>
            <w:vAlign w:val="center"/>
          </w:tcPr>
          <w:p>
            <w:pPr>
              <w:widowControl/>
              <w:ind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以签订目标责任状时自治区核定该盟市的林地保有量为基数，考核年度实际林地面积不减少的，得满分。林地面积每低于或未达到目标值0.1个百分点的，扣5分，扣完为止。因规划调整和征占用导致林地保有量减少的，不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trPr>
        <w:tc>
          <w:tcPr>
            <w:tcW w:w="1101" w:type="dxa"/>
            <w:vMerge w:val="continue"/>
            <w:shd w:val="clear" w:color="auto" w:fill="auto"/>
            <w:vAlign w:val="center"/>
          </w:tcPr>
          <w:p>
            <w:pPr>
              <w:widowControl/>
              <w:jc w:val="left"/>
              <w:rPr>
                <w:rFonts w:hint="eastAsia" w:ascii="宋体" w:hAnsi="宋体" w:cs="宋体"/>
                <w:bCs/>
                <w:color w:val="000000"/>
                <w:kern w:val="0"/>
                <w:sz w:val="18"/>
                <w:szCs w:val="18"/>
              </w:rPr>
            </w:pPr>
          </w:p>
        </w:tc>
        <w:tc>
          <w:tcPr>
            <w:tcW w:w="708" w:type="dxa"/>
            <w:shd w:val="clear" w:color="auto" w:fill="auto"/>
            <w:vAlign w:val="center"/>
          </w:tcPr>
          <w:p>
            <w:pPr>
              <w:widowControl/>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4</w:t>
            </w:r>
          </w:p>
        </w:tc>
        <w:tc>
          <w:tcPr>
            <w:tcW w:w="1276" w:type="dxa"/>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天然林保护情况</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722" w:type="dxa"/>
            <w:shd w:val="clear" w:color="auto" w:fill="auto"/>
            <w:vAlign w:val="center"/>
          </w:tcPr>
          <w:p>
            <w:pPr>
              <w:widowControl/>
              <w:ind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以签订目标责任状时自治区核定该盟市的天然林面积为基准数，考核年度实际天然林面积不减少的，得满分。天然林面积每降低0.1个百分点的，扣5分，扣完为止。发生违反天然林停止商业性采伐政策规定情形的，不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1101" w:type="dxa"/>
            <w:vMerge w:val="continue"/>
            <w:shd w:val="clear" w:color="auto" w:fill="auto"/>
            <w:vAlign w:val="center"/>
          </w:tcPr>
          <w:p>
            <w:pPr>
              <w:widowControl/>
              <w:jc w:val="left"/>
              <w:rPr>
                <w:rFonts w:hint="eastAsia" w:ascii="宋体" w:hAnsi="宋体" w:cs="宋体"/>
                <w:bCs/>
                <w:color w:val="000000"/>
                <w:kern w:val="0"/>
                <w:sz w:val="18"/>
                <w:szCs w:val="18"/>
              </w:rPr>
            </w:pPr>
          </w:p>
        </w:tc>
        <w:tc>
          <w:tcPr>
            <w:tcW w:w="708" w:type="dxa"/>
            <w:shd w:val="clear" w:color="auto" w:fill="auto"/>
            <w:vAlign w:val="center"/>
          </w:tcPr>
          <w:p>
            <w:pPr>
              <w:widowControl/>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5</w:t>
            </w:r>
          </w:p>
        </w:tc>
        <w:tc>
          <w:tcPr>
            <w:tcW w:w="1276" w:type="dxa"/>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年度评价结果</w:t>
            </w:r>
          </w:p>
        </w:tc>
        <w:tc>
          <w:tcPr>
            <w:tcW w:w="709"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5722" w:type="dxa"/>
            <w:shd w:val="clear" w:color="auto" w:fill="auto"/>
            <w:vAlign w:val="center"/>
          </w:tcPr>
          <w:p>
            <w:pPr>
              <w:widowControl/>
              <w:ind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各盟市年度评价结果根据五年规划期内每年的</w:t>
            </w:r>
            <w:r>
              <w:rPr>
                <w:rFonts w:hint="eastAsia" w:ascii="宋体" w:hAnsi="宋体"/>
                <w:sz w:val="18"/>
                <w:szCs w:val="18"/>
              </w:rPr>
              <w:t>年度评价分值计算均值，乘以0.3的系数得考核分值。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43430"/>
    <w:rsid w:val="20B4343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T_DYF\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2018-09-05T01:23:00Z</dcterms:created>
  <dc:creator>BGT_DYF</dc:creator>
  <cp:lastModifiedBy>BGT_DYF</cp:lastModifiedBy>
  <dcterms:modified xsi:type="dcterms:W3CDTF">2018-09-05T01:23:19Z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