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spacing w:line="580" w:lineRule="exact"/>
        <w:ind w:left="0" w:leftChars="0" w:right="0" w:rightChars="0"/>
        <w:jc w:val="center"/>
        <w:textAlignment w:val="auto"/>
        <w:rPr>
          <w:rFonts w:hint="eastAsia" w:ascii="方正小标宋_GBK" w:hAnsi="方正小标宋_GBK" w:eastAsia="方正小标宋_GBK" w:cs="方正小标宋_GBK"/>
          <w:spacing w:val="0"/>
          <w:sz w:val="44"/>
          <w:szCs w:val="44"/>
          <w:lang w:eastAsia="zh-CN"/>
        </w:rPr>
      </w:pPr>
      <w:bookmarkStart w:id="0" w:name="标题"/>
      <w:bookmarkEnd w:id="0"/>
      <w:r>
        <w:rPr>
          <w:rFonts w:hint="eastAsia" w:ascii="方正小标宋_GBK" w:hAnsi="方正小标宋_GBK" w:eastAsia="方正小标宋_GBK" w:cs="方正小标宋_GBK"/>
          <w:spacing w:val="0"/>
          <w:sz w:val="44"/>
          <w:szCs w:val="44"/>
          <w:lang w:eastAsia="zh-CN"/>
        </w:rPr>
        <w:t>内蒙古自治区人民政府办公厅关于推动</w:t>
      </w:r>
    </w:p>
    <w:p>
      <w:pPr>
        <w:keepNext w:val="0"/>
        <w:keepLines w:val="0"/>
        <w:pageBreakBefore w:val="0"/>
        <w:widowControl w:val="0"/>
        <w:kinsoku/>
        <w:wordWrap/>
        <w:overflowPunct/>
        <w:topLinePunct w:val="0"/>
        <w:autoSpaceDE/>
        <w:autoSpaceDN/>
        <w:bidi w:val="0"/>
        <w:spacing w:line="580" w:lineRule="exact"/>
        <w:ind w:left="0" w:leftChars="0" w:right="0" w:rightChars="0"/>
        <w:jc w:val="center"/>
        <w:textAlignment w:val="auto"/>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sz w:val="44"/>
          <w:szCs w:val="44"/>
          <w:lang w:eastAsia="zh-CN"/>
        </w:rPr>
        <w:t>全区风电光伏新能源产业高质量发展的意见</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 w:firstLineChars="50"/>
        <w:jc w:val="center"/>
        <w:textAlignment w:val="auto"/>
        <w:outlineLvl w:val="9"/>
        <w:rPr>
          <w:rFonts w:hint="eastAsia" w:ascii="仿宋_GB2312" w:hAnsi="华文仿宋" w:eastAsia="仿宋_GB2312"/>
          <w:sz w:val="32"/>
        </w:rPr>
      </w:pPr>
      <w:r>
        <w:rPr>
          <w:rFonts w:hint="eastAsia" w:ascii="仿宋_GB2312" w:hAnsi="华文仿宋" w:eastAsia="仿宋_GB2312"/>
          <w:sz w:val="32"/>
          <w:lang w:eastAsia="zh-CN"/>
        </w:rPr>
        <w:t>内政办发〔2022〕19号</w:t>
      </w:r>
    </w:p>
    <w:p>
      <w:pPr>
        <w:pStyle w:val="2"/>
        <w:rPr>
          <w:rFonts w:hint="eastAsia"/>
          <w:lang w:eastAsia="zh-CN"/>
        </w:rPr>
      </w:pPr>
    </w:p>
    <w:p>
      <w:pPr>
        <w:keepNext w:val="0"/>
        <w:keepLines w:val="0"/>
        <w:pageBreakBefore w:val="0"/>
        <w:widowControl w:val="0"/>
        <w:kinsoku/>
        <w:wordWrap/>
        <w:overflowPunct/>
        <w:topLinePunct w:val="0"/>
        <w:autoSpaceDE/>
        <w:autoSpaceDN/>
        <w:bidi w:val="0"/>
        <w:spacing w:line="580" w:lineRule="exact"/>
        <w:ind w:left="0" w:leftChars="0" w:right="0" w:rightChars="0"/>
        <w:jc w:val="center"/>
        <w:textAlignment w:val="auto"/>
        <w:rPr>
          <w:rFonts w:hint="eastAsia" w:ascii="仿宋" w:hAnsi="仿宋" w:eastAsia="仿宋" w:cs="仿宋"/>
          <w:b w:val="0"/>
          <w:bCs w:val="0"/>
          <w:spacing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eastAsia="zh-CN"/>
        </w:rPr>
        <w:t>各盟行政公署、市人民政府，自治区各委、办、厅、局，各大企业、事业单位</w:t>
      </w:r>
      <w:r>
        <w:rPr>
          <w:rFonts w:hint="eastAsia" w:ascii="仿宋" w:hAnsi="仿宋" w:eastAsia="仿宋" w:cs="仿宋"/>
          <w:b w:val="0"/>
          <w:bCs w:val="0"/>
          <w:spacing w:val="0"/>
          <w:sz w:val="32"/>
          <w:szCs w:val="32"/>
        </w:rPr>
        <w:t>：</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为深入贯彻落实《中共中央 国务院关于完整准确全面贯彻新发展理念做好碳达峰碳中和工作的意见》（中发〔2021〕36号）、</w:t>
      </w:r>
      <w:r>
        <w:rPr>
          <w:rFonts w:hint="eastAsia" w:ascii="仿宋" w:hAnsi="仿宋" w:eastAsia="仿宋" w:cs="仿宋"/>
          <w:b w:val="0"/>
          <w:bCs w:val="0"/>
          <w:spacing w:val="-6"/>
          <w:sz w:val="32"/>
          <w:szCs w:val="32"/>
        </w:rPr>
        <w:t>《国务院关于印发2030年前碳达峰行动方案的通知》（国发〔2021〕</w:t>
      </w:r>
      <w:r>
        <w:rPr>
          <w:rFonts w:hint="eastAsia" w:ascii="仿宋" w:hAnsi="仿宋" w:eastAsia="仿宋" w:cs="仿宋"/>
          <w:b w:val="0"/>
          <w:bCs w:val="0"/>
          <w:spacing w:val="0"/>
          <w:sz w:val="32"/>
          <w:szCs w:val="32"/>
        </w:rPr>
        <w:t>23号）精神，加快优化调整能源结构，构建清洁低碳安全高效的能源体系，提升可再生能源开发水平和利用效率，</w:t>
      </w:r>
      <w:r>
        <w:rPr>
          <w:rFonts w:hint="eastAsia" w:ascii="仿宋" w:hAnsi="仿宋" w:eastAsia="仿宋" w:cs="仿宋"/>
          <w:b w:val="0"/>
          <w:bCs w:val="0"/>
          <w:spacing w:val="0"/>
          <w:sz w:val="32"/>
          <w:szCs w:val="32"/>
          <w:lang w:eastAsia="zh-CN"/>
        </w:rPr>
        <w:t>经自治区人民政府同意，</w:t>
      </w:r>
      <w:r>
        <w:rPr>
          <w:rFonts w:hint="eastAsia" w:ascii="仿宋" w:hAnsi="仿宋" w:eastAsia="仿宋" w:cs="仿宋"/>
          <w:b w:val="0"/>
          <w:bCs w:val="0"/>
          <w:spacing w:val="0"/>
          <w:sz w:val="32"/>
          <w:szCs w:val="32"/>
        </w:rPr>
        <w:t>现就推动全区风电、光伏新能源产业高质量发展提出如下意见。</w:t>
      </w:r>
    </w:p>
    <w:p>
      <w:pPr>
        <w:pStyle w:val="12"/>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一、总体要求</w:t>
      </w:r>
    </w:p>
    <w:p>
      <w:pPr>
        <w:pStyle w:val="2"/>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以习近平新时代中国特色社会主义思想为指导，立足新发展阶段，</w:t>
      </w:r>
      <w:r>
        <w:rPr>
          <w:rFonts w:hint="eastAsia" w:ascii="仿宋" w:hAnsi="仿宋" w:eastAsia="仿宋" w:cs="仿宋"/>
          <w:b w:val="0"/>
          <w:bCs w:val="0"/>
          <w:spacing w:val="0"/>
          <w:sz w:val="32"/>
          <w:szCs w:val="32"/>
          <w:lang w:eastAsia="zh-CN"/>
        </w:rPr>
        <w:t>完整、准确、全面</w:t>
      </w:r>
      <w:r>
        <w:rPr>
          <w:rFonts w:hint="eastAsia" w:ascii="仿宋" w:hAnsi="仿宋" w:eastAsia="仿宋" w:cs="仿宋"/>
          <w:b w:val="0"/>
          <w:bCs w:val="0"/>
          <w:spacing w:val="0"/>
          <w:sz w:val="32"/>
          <w:szCs w:val="32"/>
        </w:rPr>
        <w:t>贯彻新发展理念，</w:t>
      </w:r>
      <w:r>
        <w:rPr>
          <w:rFonts w:hint="eastAsia" w:ascii="仿宋" w:hAnsi="仿宋" w:eastAsia="仿宋" w:cs="仿宋"/>
          <w:b w:val="0"/>
          <w:bCs w:val="0"/>
          <w:spacing w:val="0"/>
          <w:sz w:val="32"/>
          <w:szCs w:val="32"/>
          <w:lang w:eastAsia="zh-CN"/>
        </w:rPr>
        <w:t>服务和融入</w:t>
      </w:r>
      <w:r>
        <w:rPr>
          <w:rFonts w:hint="eastAsia" w:ascii="仿宋" w:hAnsi="仿宋" w:eastAsia="仿宋" w:cs="仿宋"/>
          <w:b w:val="0"/>
          <w:bCs w:val="0"/>
          <w:spacing w:val="0"/>
          <w:sz w:val="32"/>
          <w:szCs w:val="32"/>
        </w:rPr>
        <w:t>新发展格局，坚定不移走以生态优先、绿色发展为导向的高质量发展新路子。深入贯彻“四个革命，一个合作”能源安全新战略，全面落实自治区第十一次党代会和全区工业经济高质量发展大会精神，大力发展新能源，优化调整能源结构，推动能源绿色低碳转型，构建清洁低碳</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安全高效的能源体系，通过新能源全产业链发展引领整个产业体系结构优化和经济转型。坚持系统观念，强化顶层设计，突出规划引领，注重统筹兼顾，通过政府引导与市场机制相结合，以新能源全产业链发展、多场景应用为牵引，推动全区新能源大规模、高比例、市场化、高质量发展，努力实现自治区能源经济“两个率先、两个超过”目标。</w:t>
      </w:r>
    </w:p>
    <w:p>
      <w:pPr>
        <w:pStyle w:val="12"/>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二、基本原则</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（一）坚持新能源开发和高质量发展相融合的原则</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坚持风电、光伏新能源产业高质量配置、高质量建设、高质量运行，带动风光产业链高质量协同发展，健全新能源高质量发展支撑体系。建立多元化并网机制，优先支持全额自发自用和不占用电网调峰空间的市场化并网消纳项目，有序组织保障性并网消纳项</w:t>
      </w:r>
      <w:r>
        <w:rPr>
          <w:rFonts w:hint="eastAsia" w:ascii="仿宋" w:hAnsi="仿宋" w:eastAsia="仿宋" w:cs="仿宋"/>
          <w:b w:val="0"/>
          <w:bCs w:val="0"/>
          <w:spacing w:val="-6"/>
          <w:sz w:val="32"/>
          <w:szCs w:val="32"/>
        </w:rPr>
        <w:t>目。高标准、高质量推进新能源项目按期建设，严格准入标准，</w:t>
      </w:r>
      <w:r>
        <w:rPr>
          <w:rFonts w:hint="eastAsia" w:ascii="仿宋" w:hAnsi="仿宋" w:eastAsia="仿宋" w:cs="仿宋"/>
          <w:b w:val="0"/>
          <w:bCs w:val="0"/>
          <w:spacing w:val="0"/>
          <w:sz w:val="32"/>
          <w:szCs w:val="32"/>
        </w:rPr>
        <w:t>强化监管措施。科学确定风光保障小时数，同时保障</w:t>
      </w:r>
      <w:r>
        <w:rPr>
          <w:rFonts w:hint="eastAsia" w:ascii="仿宋" w:hAnsi="仿宋" w:eastAsia="仿宋" w:cs="仿宋"/>
          <w:b w:val="0"/>
          <w:bCs w:val="0"/>
          <w:spacing w:val="0"/>
          <w:sz w:val="32"/>
          <w:szCs w:val="32"/>
          <w:lang w:eastAsia="zh-CN"/>
        </w:rPr>
        <w:t>用电</w:t>
      </w:r>
      <w:r>
        <w:rPr>
          <w:rFonts w:hint="eastAsia" w:ascii="仿宋" w:hAnsi="仿宋" w:eastAsia="仿宋" w:cs="仿宋"/>
          <w:b w:val="0"/>
          <w:bCs w:val="0"/>
          <w:spacing w:val="0"/>
          <w:sz w:val="32"/>
          <w:szCs w:val="32"/>
        </w:rPr>
        <w:t>负荷、储能与新能源项目全</w:t>
      </w:r>
      <w:r>
        <w:rPr>
          <w:rFonts w:hint="eastAsia" w:ascii="仿宋" w:hAnsi="仿宋" w:eastAsia="仿宋" w:cs="仿宋"/>
          <w:b w:val="0"/>
          <w:bCs w:val="0"/>
          <w:spacing w:val="0"/>
          <w:sz w:val="32"/>
          <w:szCs w:val="32"/>
          <w:lang w:eastAsia="zh-CN"/>
        </w:rPr>
        <w:t>寿命周期</w:t>
      </w:r>
      <w:r>
        <w:rPr>
          <w:rFonts w:hint="eastAsia" w:ascii="仿宋" w:hAnsi="仿宋" w:eastAsia="仿宋" w:cs="仿宋"/>
          <w:b w:val="0"/>
          <w:bCs w:val="0"/>
          <w:spacing w:val="0"/>
          <w:sz w:val="32"/>
          <w:szCs w:val="32"/>
        </w:rPr>
        <w:t>安全稳定运行。坚持新能源发展和产业链构建融合发展，推动自治区绿色能源转型和产业结构优化。加强源网协同发展，完善配套政策机制，促进新能源电力消纳。</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（二）</w:t>
      </w:r>
      <w:r>
        <w:rPr>
          <w:rFonts w:hint="eastAsia" w:ascii="楷体" w:hAnsi="楷体" w:eastAsia="楷体" w:cs="楷体"/>
          <w:b w:val="0"/>
          <w:bCs w:val="0"/>
          <w:spacing w:val="-11"/>
          <w:sz w:val="32"/>
          <w:szCs w:val="32"/>
        </w:rPr>
        <w:t>坚持保障能源安全和实现“双碳”目标相统一的原则</w:t>
      </w:r>
      <w:r>
        <w:rPr>
          <w:rFonts w:hint="eastAsia" w:ascii="楷体" w:hAnsi="楷体" w:eastAsia="楷体" w:cs="楷体"/>
          <w:b w:val="0"/>
          <w:bCs w:val="0"/>
          <w:spacing w:val="-11"/>
          <w:sz w:val="32"/>
          <w:szCs w:val="32"/>
          <w:lang w:eastAsia="zh-CN"/>
        </w:rPr>
        <w:t>。</w:t>
      </w:r>
      <w:r>
        <w:rPr>
          <w:rFonts w:hint="eastAsia" w:ascii="仿宋" w:hAnsi="仿宋" w:eastAsia="仿宋" w:cs="仿宋"/>
          <w:b w:val="0"/>
          <w:bCs w:val="0"/>
          <w:spacing w:val="0"/>
          <w:sz w:val="32"/>
          <w:szCs w:val="32"/>
        </w:rPr>
        <w:t>立足资源禀赋和比较优势，把保障国家能源安全作为首要任务，加快构建清洁低碳</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安全高效的能源体系。在确保能源安全稳定供</w:t>
      </w:r>
      <w:r>
        <w:rPr>
          <w:rFonts w:hint="eastAsia" w:ascii="仿宋" w:hAnsi="仿宋" w:eastAsia="仿宋" w:cs="仿宋"/>
          <w:b w:val="0"/>
          <w:bCs w:val="0"/>
          <w:spacing w:val="-6"/>
          <w:sz w:val="32"/>
          <w:szCs w:val="32"/>
        </w:rPr>
        <w:t>应和能源结构调整平稳过渡的前提下，大力推进以沙漠、戈壁、</w:t>
      </w:r>
      <w:r>
        <w:rPr>
          <w:rFonts w:hint="eastAsia" w:ascii="仿宋" w:hAnsi="仿宋" w:eastAsia="仿宋" w:cs="仿宋"/>
          <w:b w:val="0"/>
          <w:bCs w:val="0"/>
          <w:spacing w:val="0"/>
          <w:sz w:val="32"/>
          <w:szCs w:val="32"/>
        </w:rPr>
        <w:t>荒漠地区为重点的国家大型风电</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光伏发电基地项目建设，着力提高外送通道中新能源电量占比，持续扩大本地新能源消纳空间，进一步提升新能源在能源消费中的比重，助力实现碳达峰、碳中和目标。</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（三）坚持生态优先和科学布局相结合的原则</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强化国土空间规划和用途管控，统筹新能源开发利用、生态环境保护和国土空间利用。推进资源总量管理、科学规划</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合理布局、有序开发、规模利用，全面提高资源利用效率。集中式风电项目重点布局在荒漠地区、边境沿线，集中式光伏发电项目重点布局在沙漠地区、采煤沉陷区、露天煤矿排土场等区域，风电</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光伏项目优先实行基地化、集约化、规模化开发。因地制宜推进分散式风电、分布式光伏多场景融合发展。</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（四）坚持总体规划和分步实施相衔接的原则</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规范风能、太阳能资源开发秩序，科学安排总体规划内各区块开发时序，分步实施。盟市要编制风能、太阳能开发总体规划，统筹资源开发条件、电源送出通道和消纳空间，科学合理布局新能源项目。新能源开发规划要与自治区电网规划相衔接，结合电网接入及消纳条件，同步开展新能源送出工程前期工作。</w:t>
      </w:r>
    </w:p>
    <w:p>
      <w:pPr>
        <w:pStyle w:val="12"/>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三、统筹风光资源科学配置</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（一）</w:t>
      </w:r>
      <w:bookmarkStart w:id="1" w:name="_Hlk94131024"/>
      <w:r>
        <w:rPr>
          <w:rFonts w:hint="eastAsia" w:ascii="楷体" w:hAnsi="楷体" w:eastAsia="楷体" w:cs="楷体"/>
          <w:b w:val="0"/>
          <w:bCs w:val="0"/>
          <w:spacing w:val="0"/>
          <w:sz w:val="32"/>
          <w:szCs w:val="32"/>
        </w:rPr>
        <w:t>建立多元化并网机制</w:t>
      </w:r>
      <w:bookmarkEnd w:id="1"/>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市场化并网消纳的新能源项目要通过自建、合建共享调峰资源或购买服务等市场化方式落实并网条件，按</w:t>
      </w:r>
      <w:r>
        <w:rPr>
          <w:rFonts w:hint="eastAsia" w:ascii="仿宋" w:hAnsi="仿宋" w:eastAsia="仿宋" w:cs="仿宋"/>
          <w:b w:val="0"/>
          <w:bCs w:val="0"/>
          <w:spacing w:val="0"/>
          <w:sz w:val="32"/>
          <w:szCs w:val="32"/>
          <w:lang w:eastAsia="zh-CN"/>
        </w:rPr>
        <w:t>照</w:t>
      </w:r>
      <w:r>
        <w:rPr>
          <w:rFonts w:hint="eastAsia" w:ascii="仿宋" w:hAnsi="仿宋" w:eastAsia="仿宋" w:cs="仿宋"/>
          <w:b w:val="0"/>
          <w:bCs w:val="0"/>
          <w:spacing w:val="0"/>
          <w:sz w:val="32"/>
          <w:szCs w:val="32"/>
        </w:rPr>
        <w:t>负荷需求增加并网规模；保障性并网规模按照年度非水电可再生能源电力最低消纳责任权重确定，重点用于支持自治区经济社会高质量发展的重点工程。广泛拓展新能源应用场景，优先支持全额自发自用和不占用电网调峰空间的市场化并网消纳项目。</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b w:val="0"/>
          <w:bCs w:val="0"/>
          <w:spacing w:val="0"/>
          <w:sz w:val="32"/>
          <w:szCs w:val="32"/>
          <w:lang w:eastAsia="zh-CN"/>
        </w:rPr>
      </w:pPr>
      <w:r>
        <w:rPr>
          <w:rFonts w:hint="eastAsia" w:ascii="楷体" w:hAnsi="楷体" w:eastAsia="楷体" w:cs="楷体"/>
          <w:b w:val="0"/>
          <w:bCs w:val="0"/>
          <w:spacing w:val="0"/>
          <w:sz w:val="32"/>
          <w:szCs w:val="32"/>
        </w:rPr>
        <w:t>（二）优先支持市场化并网消纳项目</w:t>
      </w:r>
      <w:r>
        <w:rPr>
          <w:rFonts w:hint="eastAsia" w:ascii="楷体" w:hAnsi="楷体" w:eastAsia="楷体" w:cs="楷体"/>
          <w:b w:val="0"/>
          <w:bCs w:val="0"/>
          <w:spacing w:val="0"/>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1.</w:t>
      </w:r>
      <w:bookmarkStart w:id="2" w:name="_Hlk91840971"/>
      <w:r>
        <w:rPr>
          <w:rFonts w:hint="eastAsia" w:ascii="仿宋" w:hAnsi="仿宋" w:eastAsia="仿宋" w:cs="仿宋"/>
          <w:b w:val="0"/>
          <w:bCs w:val="0"/>
          <w:spacing w:val="0"/>
          <w:sz w:val="32"/>
          <w:szCs w:val="32"/>
        </w:rPr>
        <w:t>源网荷储一体化项目</w:t>
      </w:r>
      <w:bookmarkEnd w:id="2"/>
      <w:r>
        <w:rPr>
          <w:rFonts w:hint="eastAsia" w:ascii="仿宋" w:hAnsi="仿宋" w:eastAsia="仿宋" w:cs="仿宋"/>
          <w:b w:val="0"/>
          <w:bCs w:val="0"/>
          <w:spacing w:val="0"/>
          <w:sz w:val="32"/>
          <w:szCs w:val="32"/>
        </w:rPr>
        <w:t>。支持建设新增负荷源网荷储一体化项目，充分发挥源网荷储协调互济能力，结合负荷侧调节响应能力、负荷特性、电源结构和电网调节能力，按照自主调峰、自我消纳的原则，确定新能源合理规模与配比。</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2.工业园区可再生能源替代项目。大力实施可再生能源替代，充分挖掘工业园区燃煤自备电厂灵活性调节能力和负荷侧响应能力，支持含有燃煤自备电厂的工业园区开展可再生能源替代行动，配置新能源装机规模与园区内自备电厂调峰能力相匹配。无燃煤自备电厂但有新增负荷的工业园区可以开展低碳（零碳）用能示范，全额自发自用，不占用公用电网的消纳空间，按需配置新能源装机规模，新增负荷实现全清洁能源供电。</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3.火电灵活性改造促进新能源消纳利用项目。支持燃煤机组实施灵活性制造改造，提高电力系统调节能力，提升自治区新能源消纳水平。创新煤电机组灵活性改造激励机制，拥有燃煤机组的发电企业在实施火电灵活性改造后，按照增加的调峰空间配置新能源项目。</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4.</w:t>
      </w:r>
      <w:bookmarkStart w:id="3" w:name="_Hlk91840934"/>
      <w:r>
        <w:rPr>
          <w:rFonts w:hint="eastAsia" w:ascii="仿宋" w:hAnsi="仿宋" w:eastAsia="仿宋" w:cs="仿宋"/>
          <w:b w:val="0"/>
          <w:bCs w:val="0"/>
          <w:spacing w:val="0"/>
          <w:sz w:val="32"/>
          <w:szCs w:val="32"/>
        </w:rPr>
        <w:t>风光制氢一体化示范项目</w:t>
      </w:r>
      <w:bookmarkEnd w:id="3"/>
      <w:r>
        <w:rPr>
          <w:rFonts w:hint="eastAsia" w:ascii="仿宋" w:hAnsi="仿宋" w:eastAsia="仿宋" w:cs="仿宋"/>
          <w:b w:val="0"/>
          <w:bCs w:val="0"/>
          <w:spacing w:val="0"/>
          <w:sz w:val="32"/>
          <w:szCs w:val="32"/>
        </w:rPr>
        <w:t>。推动氢能与新能源耦合发展，促进氢能与交通、化工、冶金等行业有机融合，以重点行业应用和关键技术研发为突破口，在发展基础和应用场景相对较好的地区开展风光制氢一体化示范应用。风光制氢一体化示范配建的风</w:t>
      </w:r>
      <w:r>
        <w:rPr>
          <w:rFonts w:hint="eastAsia" w:ascii="仿宋" w:hAnsi="仿宋" w:eastAsia="仿宋" w:cs="仿宋"/>
          <w:b w:val="0"/>
          <w:bCs w:val="0"/>
          <w:spacing w:val="-6"/>
          <w:sz w:val="32"/>
          <w:szCs w:val="32"/>
        </w:rPr>
        <w:t>电、光伏发电项目所发电量原则上自发自用，确需电网支持的，</w:t>
      </w:r>
      <w:r>
        <w:rPr>
          <w:rFonts w:hint="eastAsia" w:ascii="仿宋" w:hAnsi="仿宋" w:eastAsia="仿宋" w:cs="仿宋"/>
          <w:b w:val="0"/>
          <w:bCs w:val="0"/>
          <w:spacing w:val="0"/>
          <w:sz w:val="32"/>
          <w:szCs w:val="32"/>
        </w:rPr>
        <w:t>上网电量不高于新能源所发电量的20%，占用盟市保障性消纳空间。</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5.自建购买储能或调峰能力配建新能源项目。有新增消纳空间的项目，可以采用自建、购买储能或调峰能力配建新能源项目。通过新增抽水蓄能、化学储能、空气储能、气电、光热电站等储能或调峰能力，多渠道增加可再生能源并网规</w:t>
      </w:r>
      <w:r>
        <w:rPr>
          <w:rFonts w:hint="eastAsia" w:ascii="仿宋" w:hAnsi="仿宋" w:eastAsia="仿宋" w:cs="仿宋"/>
          <w:b w:val="0"/>
          <w:bCs w:val="0"/>
          <w:color w:val="auto"/>
          <w:spacing w:val="0"/>
          <w:sz w:val="32"/>
          <w:szCs w:val="32"/>
        </w:rPr>
        <w:t>模。新增负荷年用电量</w:t>
      </w:r>
      <w:r>
        <w:rPr>
          <w:rFonts w:hint="eastAsia" w:ascii="仿宋" w:hAnsi="仿宋" w:eastAsia="仿宋" w:cs="仿宋"/>
          <w:b w:val="0"/>
          <w:bCs w:val="0"/>
          <w:color w:val="auto"/>
          <w:spacing w:val="0"/>
          <w:sz w:val="32"/>
          <w:szCs w:val="32"/>
          <w:lang w:eastAsia="zh-CN"/>
        </w:rPr>
        <w:t>应</w:t>
      </w:r>
      <w:r>
        <w:rPr>
          <w:rFonts w:hint="eastAsia" w:ascii="仿宋" w:hAnsi="仿宋" w:eastAsia="仿宋" w:cs="仿宋"/>
          <w:b w:val="0"/>
          <w:bCs w:val="0"/>
          <w:color w:val="auto"/>
          <w:spacing w:val="0"/>
          <w:sz w:val="32"/>
          <w:szCs w:val="32"/>
        </w:rPr>
        <w:t>不低于对应新能源项目年发电量</w:t>
      </w:r>
      <w:r>
        <w:rPr>
          <w:rFonts w:hint="eastAsia" w:ascii="仿宋" w:hAnsi="仿宋" w:eastAsia="仿宋" w:cs="仿宋"/>
          <w:b w:val="0"/>
          <w:bCs w:val="0"/>
          <w:color w:val="auto"/>
          <w:spacing w:val="0"/>
          <w:sz w:val="32"/>
          <w:szCs w:val="32"/>
          <w:lang w:eastAsia="zh-CN"/>
        </w:rPr>
        <w:t>的</w:t>
      </w:r>
      <w:r>
        <w:rPr>
          <w:rFonts w:hint="eastAsia" w:ascii="仿宋" w:hAnsi="仿宋" w:eastAsia="仿宋" w:cs="仿宋"/>
          <w:b w:val="0"/>
          <w:bCs w:val="0"/>
          <w:color w:val="auto"/>
          <w:spacing w:val="0"/>
          <w:sz w:val="32"/>
          <w:szCs w:val="32"/>
        </w:rPr>
        <w:t>80%，</w:t>
      </w:r>
      <w:r>
        <w:rPr>
          <w:rFonts w:hint="eastAsia" w:ascii="仿宋" w:hAnsi="仿宋" w:eastAsia="仿宋" w:cs="仿宋"/>
          <w:b w:val="0"/>
          <w:bCs w:val="0"/>
          <w:color w:val="auto"/>
          <w:spacing w:val="0"/>
          <w:sz w:val="32"/>
          <w:szCs w:val="32"/>
          <w:lang w:eastAsia="zh-CN"/>
        </w:rPr>
        <w:t>剩余新能源</w:t>
      </w:r>
      <w:r>
        <w:rPr>
          <w:rFonts w:hint="eastAsia" w:ascii="仿宋" w:hAnsi="仿宋" w:eastAsia="仿宋" w:cs="仿宋"/>
          <w:b w:val="0"/>
          <w:bCs w:val="0"/>
          <w:spacing w:val="0"/>
          <w:sz w:val="32"/>
          <w:szCs w:val="32"/>
          <w:lang w:eastAsia="zh-CN"/>
        </w:rPr>
        <w:t>发电量</w:t>
      </w:r>
      <w:r>
        <w:rPr>
          <w:rFonts w:hint="eastAsia" w:ascii="仿宋" w:hAnsi="仿宋" w:eastAsia="仿宋" w:cs="仿宋"/>
          <w:b w:val="0"/>
          <w:bCs w:val="0"/>
          <w:spacing w:val="0"/>
          <w:sz w:val="32"/>
          <w:szCs w:val="32"/>
        </w:rPr>
        <w:t>占用盟市保障性消纳空间。</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6.全额自发自用新能源项目。偏远地区生产生活供电、可中断工业用户供电的微电网等其他类新增用电负荷，可按</w:t>
      </w:r>
      <w:r>
        <w:rPr>
          <w:rFonts w:hint="eastAsia" w:ascii="仿宋" w:hAnsi="仿宋" w:eastAsia="仿宋" w:cs="仿宋"/>
          <w:b w:val="0"/>
          <w:bCs w:val="0"/>
          <w:spacing w:val="0"/>
          <w:sz w:val="32"/>
          <w:szCs w:val="32"/>
          <w:lang w:eastAsia="zh-CN"/>
        </w:rPr>
        <w:t>照</w:t>
      </w:r>
      <w:r>
        <w:rPr>
          <w:rFonts w:hint="eastAsia" w:ascii="仿宋" w:hAnsi="仿宋" w:eastAsia="仿宋" w:cs="仿宋"/>
          <w:b w:val="0"/>
          <w:bCs w:val="0"/>
          <w:spacing w:val="0"/>
          <w:sz w:val="32"/>
          <w:szCs w:val="32"/>
        </w:rPr>
        <w:t>实际供电需要配置新能源规模，实现全额自发自用。对于替代燃煤电厂厂用电的新能源项目，可以直接接入到燃煤电厂升压站。积极支持利用工商业屋顶、空地发展分散式风电、分布式光伏，实现全额自发自用，按需配置新能源规模。</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lang w:eastAsia="zh-CN"/>
        </w:rPr>
      </w:pPr>
      <w:r>
        <w:rPr>
          <w:rFonts w:hint="eastAsia" w:ascii="楷体" w:hAnsi="楷体" w:eastAsia="楷体" w:cs="楷体"/>
          <w:b w:val="0"/>
          <w:bCs w:val="0"/>
          <w:spacing w:val="0"/>
          <w:sz w:val="32"/>
          <w:szCs w:val="32"/>
        </w:rPr>
        <w:t>（三）有序组织保障性并网消纳项目</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自治区能源主管部门会同电网企业</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结合各盟市新能源消纳空间以及并网条件等因</w:t>
      </w:r>
      <w:r>
        <w:rPr>
          <w:rFonts w:hint="eastAsia" w:ascii="仿宋" w:hAnsi="仿宋" w:eastAsia="仿宋" w:cs="仿宋"/>
          <w:b w:val="0"/>
          <w:bCs w:val="0"/>
          <w:spacing w:val="-6"/>
          <w:sz w:val="32"/>
          <w:szCs w:val="32"/>
        </w:rPr>
        <w:t>素，确定各盟市保障性并网消纳项目规模，重点支持以下几类项目</w:t>
      </w:r>
      <w:r>
        <w:rPr>
          <w:rFonts w:hint="eastAsia" w:ascii="仿宋" w:hAnsi="仿宋" w:eastAsia="仿宋" w:cs="仿宋"/>
          <w:b w:val="0"/>
          <w:bCs w:val="0"/>
          <w:spacing w:val="-6"/>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1.风光氢储产业链等重点项目。对推动</w:t>
      </w:r>
      <w:r>
        <w:rPr>
          <w:rFonts w:hint="eastAsia" w:ascii="仿宋" w:hAnsi="仿宋" w:eastAsia="仿宋" w:cs="仿宋"/>
          <w:b w:val="0"/>
          <w:bCs w:val="0"/>
          <w:spacing w:val="0"/>
          <w:sz w:val="32"/>
          <w:szCs w:val="32"/>
          <w:lang w:eastAsia="zh-CN"/>
        </w:rPr>
        <w:t>内蒙古</w:t>
      </w:r>
      <w:r>
        <w:rPr>
          <w:rFonts w:hint="eastAsia" w:ascii="仿宋" w:hAnsi="仿宋" w:eastAsia="仿宋" w:cs="仿宋"/>
          <w:b w:val="0"/>
          <w:bCs w:val="0"/>
          <w:spacing w:val="0"/>
          <w:sz w:val="32"/>
          <w:szCs w:val="32"/>
        </w:rPr>
        <w:t>经济高质量发展、符合</w:t>
      </w:r>
      <w:r>
        <w:rPr>
          <w:rFonts w:hint="eastAsia" w:ascii="仿宋" w:hAnsi="仿宋" w:eastAsia="仿宋" w:cs="仿宋"/>
          <w:b w:val="0"/>
          <w:bCs w:val="0"/>
          <w:spacing w:val="0"/>
          <w:sz w:val="32"/>
          <w:szCs w:val="32"/>
          <w:lang w:eastAsia="zh-CN"/>
        </w:rPr>
        <w:t>自治区</w:t>
      </w:r>
      <w:r>
        <w:rPr>
          <w:rFonts w:hint="eastAsia" w:ascii="仿宋" w:hAnsi="仿宋" w:eastAsia="仿宋" w:cs="仿宋"/>
          <w:b w:val="0"/>
          <w:bCs w:val="0"/>
          <w:spacing w:val="0"/>
          <w:sz w:val="32"/>
          <w:szCs w:val="32"/>
        </w:rPr>
        <w:t>战略性新兴产业发展定位、产业链配套的重大示范项目，支持建设一定规模的保障性并网项目。综合考虑各盟市实际情况，适度探索新能源项目异地配置。</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2.配套生态综合治理的项目。按</w:t>
      </w:r>
      <w:r>
        <w:rPr>
          <w:rFonts w:hint="eastAsia" w:ascii="仿宋" w:hAnsi="仿宋" w:eastAsia="仿宋" w:cs="仿宋"/>
          <w:b w:val="0"/>
          <w:bCs w:val="0"/>
          <w:spacing w:val="0"/>
          <w:sz w:val="32"/>
          <w:szCs w:val="32"/>
          <w:lang w:eastAsia="zh-CN"/>
        </w:rPr>
        <w:t>照</w:t>
      </w:r>
      <w:r>
        <w:rPr>
          <w:rFonts w:hint="eastAsia" w:ascii="仿宋" w:hAnsi="仿宋" w:eastAsia="仿宋" w:cs="仿宋"/>
          <w:b w:val="0"/>
          <w:bCs w:val="0"/>
          <w:spacing w:val="0"/>
          <w:sz w:val="32"/>
          <w:szCs w:val="32"/>
        </w:rPr>
        <w:t>自治区全地域全方位加强生态环境保护要求，为光伏治沙、采煤沉陷区治理、矿区治理等生态保护修复项目配置保障性新能源建设规模。</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3.国家试点示范及乡村振兴等项目。按照国家及自治区有关要求，安排一定的新能源开发建设规模，用于支持国家试点示范及乡村振兴等项目。</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4.分散式风电及分布式光伏发电项目。结合电网条件，由自治区能源主管部门组织电网企业统一</w:t>
      </w:r>
      <w:r>
        <w:rPr>
          <w:rFonts w:hint="eastAsia" w:ascii="仿宋" w:hAnsi="仿宋" w:eastAsia="仿宋" w:cs="仿宋"/>
          <w:b w:val="0"/>
          <w:bCs w:val="0"/>
          <w:spacing w:val="0"/>
          <w:sz w:val="32"/>
          <w:szCs w:val="32"/>
          <w:lang w:eastAsia="zh-CN"/>
        </w:rPr>
        <w:t>测算各盟市的消纳空间</w:t>
      </w:r>
      <w:r>
        <w:rPr>
          <w:rFonts w:hint="eastAsia" w:ascii="仿宋" w:hAnsi="仿宋" w:eastAsia="仿宋" w:cs="仿宋"/>
          <w:b w:val="0"/>
          <w:bCs w:val="0"/>
          <w:spacing w:val="0"/>
          <w:sz w:val="32"/>
          <w:szCs w:val="32"/>
        </w:rPr>
        <w:t>，</w:t>
      </w:r>
      <w:r>
        <w:rPr>
          <w:rFonts w:hint="eastAsia" w:ascii="仿宋" w:hAnsi="仿宋" w:eastAsia="仿宋" w:cs="仿宋"/>
          <w:b w:val="0"/>
          <w:bCs w:val="0"/>
          <w:spacing w:val="0"/>
          <w:sz w:val="32"/>
          <w:szCs w:val="32"/>
          <w:lang w:eastAsia="zh-CN"/>
        </w:rPr>
        <w:t>由</w:t>
      </w:r>
      <w:r>
        <w:rPr>
          <w:rFonts w:hint="eastAsia" w:ascii="仿宋" w:hAnsi="仿宋" w:eastAsia="仿宋" w:cs="仿宋"/>
          <w:b w:val="0"/>
          <w:bCs w:val="0"/>
          <w:spacing w:val="0"/>
          <w:sz w:val="32"/>
          <w:szCs w:val="32"/>
        </w:rPr>
        <w:t>各盟市</w:t>
      </w:r>
      <w:r>
        <w:rPr>
          <w:rFonts w:hint="eastAsia" w:ascii="仿宋" w:hAnsi="仿宋" w:eastAsia="仿宋" w:cs="仿宋"/>
          <w:b w:val="0"/>
          <w:bCs w:val="0"/>
          <w:spacing w:val="0"/>
          <w:sz w:val="32"/>
          <w:szCs w:val="32"/>
          <w:lang w:eastAsia="zh-CN"/>
        </w:rPr>
        <w:t>组织</w:t>
      </w:r>
      <w:r>
        <w:rPr>
          <w:rFonts w:hint="eastAsia" w:ascii="仿宋" w:hAnsi="仿宋" w:eastAsia="仿宋" w:cs="仿宋"/>
          <w:b w:val="0"/>
          <w:bCs w:val="0"/>
          <w:spacing w:val="0"/>
          <w:sz w:val="32"/>
          <w:szCs w:val="32"/>
        </w:rPr>
        <w:t>实施。</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（四）规范项目申报秩序</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自治区能源主管部门要按照国家和自治区的相关要求组织实施好保障性并网消纳项目，研究制定各类市场化并网消纳项目的管理办法或实施细则，分类有序推进项目建设。各类项目申报工作由自治区统一组织，每年四季度组织市场化项目评估，盟市按相应要求组织项目申报，根据自治区评估方案组织实施。每年一季度制定保障性并网消纳项目开发计划，盟市按</w:t>
      </w:r>
      <w:r>
        <w:rPr>
          <w:rFonts w:hint="eastAsia" w:ascii="仿宋" w:hAnsi="仿宋" w:eastAsia="仿宋" w:cs="仿宋"/>
          <w:b w:val="0"/>
          <w:bCs w:val="0"/>
          <w:spacing w:val="0"/>
          <w:sz w:val="32"/>
          <w:szCs w:val="32"/>
          <w:lang w:eastAsia="zh-CN"/>
        </w:rPr>
        <w:t>照</w:t>
      </w:r>
      <w:r>
        <w:rPr>
          <w:rFonts w:hint="eastAsia" w:ascii="仿宋" w:hAnsi="仿宋" w:eastAsia="仿宋" w:cs="仿宋"/>
          <w:b w:val="0"/>
          <w:bCs w:val="0"/>
          <w:spacing w:val="0"/>
          <w:sz w:val="32"/>
          <w:szCs w:val="32"/>
        </w:rPr>
        <w:t>相应要求组织实施。分散式风电、分布式光伏发</w:t>
      </w:r>
      <w:r>
        <w:rPr>
          <w:rFonts w:hint="eastAsia" w:ascii="仿宋" w:hAnsi="仿宋" w:eastAsia="仿宋" w:cs="仿宋"/>
          <w:b w:val="0"/>
          <w:bCs w:val="0"/>
          <w:spacing w:val="0"/>
          <w:sz w:val="32"/>
          <w:szCs w:val="32"/>
          <w:lang w:eastAsia="zh-CN"/>
        </w:rPr>
        <w:t>电</w:t>
      </w:r>
      <w:r>
        <w:rPr>
          <w:rFonts w:hint="eastAsia" w:ascii="仿宋" w:hAnsi="仿宋" w:eastAsia="仿宋" w:cs="仿宋"/>
          <w:b w:val="0"/>
          <w:bCs w:val="0"/>
          <w:spacing w:val="0"/>
          <w:sz w:val="32"/>
          <w:szCs w:val="32"/>
        </w:rPr>
        <w:t>项目按照自治区确定的年度滚动开发计划，由各盟市组织实施。外送项目由自治区统一规划实施。</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支持在区内注册法人实体的能源企业参与各类项目建设，鼓励中央驻区企业、自治区国有能源企业与装备制造企业组成多种形式的联合体进行新能源项目开发。</w:t>
      </w:r>
    </w:p>
    <w:p>
      <w:pPr>
        <w:pStyle w:val="12"/>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四、推进项目高标准建设</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（一）严格准入标准</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风电、光伏发电项目</w:t>
      </w:r>
      <w:r>
        <w:rPr>
          <w:rFonts w:hint="eastAsia" w:ascii="仿宋" w:hAnsi="仿宋" w:eastAsia="仿宋" w:cs="仿宋"/>
          <w:b w:val="0"/>
          <w:bCs w:val="0"/>
          <w:spacing w:val="0"/>
          <w:sz w:val="32"/>
          <w:szCs w:val="32"/>
          <w:lang w:eastAsia="zh-CN"/>
        </w:rPr>
        <w:t>要</w:t>
      </w:r>
      <w:r>
        <w:rPr>
          <w:rFonts w:hint="eastAsia" w:ascii="仿宋" w:hAnsi="仿宋" w:eastAsia="仿宋" w:cs="仿宋"/>
          <w:b w:val="0"/>
          <w:bCs w:val="0"/>
          <w:spacing w:val="0"/>
          <w:sz w:val="32"/>
          <w:szCs w:val="32"/>
        </w:rPr>
        <w:t>采用先进高效的设备，风电机组单机容量不小于4兆瓦；多晶硅电池组件和单晶硅电池组件的光电转换效率分别不低于18%和20.5%。新建市场化并网新能源项目，配建储能规模原则上不低于新能源项目装机容量的15%，储能时长4小时以上；新建保障性并网新能源项目，配建储能规模原则上不低于新能源项目装机容量的15%，储能时长2小时以上。</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（二）强化监管措施</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自治区能源主管部门要建立对盟市和企业的奖惩、评估和监管机制，引导项目有序按期建成并良好运行。新能源项目应严格按</w:t>
      </w:r>
      <w:r>
        <w:rPr>
          <w:rFonts w:hint="eastAsia" w:ascii="仿宋" w:hAnsi="仿宋" w:eastAsia="仿宋" w:cs="仿宋"/>
          <w:b w:val="0"/>
          <w:bCs w:val="0"/>
          <w:spacing w:val="0"/>
          <w:sz w:val="32"/>
          <w:szCs w:val="32"/>
          <w:lang w:eastAsia="zh-CN"/>
        </w:rPr>
        <w:t>照</w:t>
      </w:r>
      <w:r>
        <w:rPr>
          <w:rFonts w:hint="eastAsia" w:ascii="仿宋" w:hAnsi="仿宋" w:eastAsia="仿宋" w:cs="仿宋"/>
          <w:b w:val="0"/>
          <w:bCs w:val="0"/>
          <w:spacing w:val="0"/>
          <w:sz w:val="32"/>
          <w:szCs w:val="32"/>
        </w:rPr>
        <w:t>申报方案实施，对于保障性并网项目不能按</w:t>
      </w:r>
      <w:r>
        <w:rPr>
          <w:rFonts w:hint="eastAsia" w:ascii="仿宋" w:hAnsi="仿宋" w:eastAsia="仿宋" w:cs="仿宋"/>
          <w:b w:val="0"/>
          <w:bCs w:val="0"/>
          <w:spacing w:val="0"/>
          <w:sz w:val="32"/>
          <w:szCs w:val="32"/>
          <w:lang w:eastAsia="zh-CN"/>
        </w:rPr>
        <w:t>照</w:t>
      </w:r>
      <w:r>
        <w:rPr>
          <w:rFonts w:hint="eastAsia" w:ascii="仿宋" w:hAnsi="仿宋" w:eastAsia="仿宋" w:cs="仿宋"/>
          <w:b w:val="0"/>
          <w:bCs w:val="0"/>
          <w:spacing w:val="0"/>
          <w:sz w:val="32"/>
          <w:szCs w:val="32"/>
        </w:rPr>
        <w:t>承诺并网的，将转为市场化项目，在落实消纳和调峰的基础上，按</w:t>
      </w:r>
      <w:r>
        <w:rPr>
          <w:rFonts w:hint="eastAsia" w:ascii="仿宋" w:hAnsi="仿宋" w:eastAsia="仿宋" w:cs="仿宋"/>
          <w:b w:val="0"/>
          <w:bCs w:val="0"/>
          <w:spacing w:val="0"/>
          <w:sz w:val="32"/>
          <w:szCs w:val="32"/>
          <w:lang w:eastAsia="zh-CN"/>
        </w:rPr>
        <w:t>照</w:t>
      </w:r>
      <w:r>
        <w:rPr>
          <w:rFonts w:hint="eastAsia" w:ascii="仿宋" w:hAnsi="仿宋" w:eastAsia="仿宋" w:cs="仿宋"/>
          <w:b w:val="0"/>
          <w:bCs w:val="0"/>
          <w:spacing w:val="0"/>
          <w:sz w:val="32"/>
          <w:szCs w:val="32"/>
        </w:rPr>
        <w:t>市场化消纳方式运行。对于市场化并网项目承诺的新增负荷、火电灵活性改造、储能调峰等关键要求未达标的</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不予并网。未按</w:t>
      </w:r>
      <w:r>
        <w:rPr>
          <w:rFonts w:hint="eastAsia" w:ascii="仿宋" w:hAnsi="仿宋" w:eastAsia="仿宋" w:cs="仿宋"/>
          <w:b w:val="0"/>
          <w:bCs w:val="0"/>
          <w:spacing w:val="0"/>
          <w:sz w:val="32"/>
          <w:szCs w:val="32"/>
          <w:lang w:eastAsia="zh-CN"/>
        </w:rPr>
        <w:t>照</w:t>
      </w:r>
      <w:r>
        <w:rPr>
          <w:rFonts w:hint="eastAsia" w:ascii="仿宋" w:hAnsi="仿宋" w:eastAsia="仿宋" w:cs="仿宋"/>
          <w:b w:val="0"/>
          <w:bCs w:val="0"/>
          <w:spacing w:val="0"/>
          <w:sz w:val="32"/>
          <w:szCs w:val="32"/>
        </w:rPr>
        <w:t>要求完成项目的盟市将采取“区域限批”等措施，取消或压减下一年度的项目规模。</w:t>
      </w:r>
    </w:p>
    <w:p>
      <w:pPr>
        <w:pStyle w:val="12"/>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五、保障安全稳定运行</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（一）科学确定风光保障小时数</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在确保电网安</w:t>
      </w:r>
      <w:r>
        <w:rPr>
          <w:rFonts w:hint="eastAsia" w:ascii="仿宋" w:hAnsi="仿宋" w:eastAsia="仿宋" w:cs="仿宋"/>
          <w:b w:val="0"/>
          <w:bCs w:val="0"/>
          <w:spacing w:val="-6"/>
          <w:sz w:val="32"/>
          <w:szCs w:val="32"/>
        </w:rPr>
        <w:t>全的条件下，</w:t>
      </w:r>
      <w:r>
        <w:rPr>
          <w:rFonts w:hint="eastAsia" w:ascii="仿宋" w:hAnsi="仿宋" w:eastAsia="仿宋" w:cs="仿宋"/>
          <w:b w:val="0"/>
          <w:bCs w:val="0"/>
          <w:spacing w:val="0"/>
          <w:sz w:val="32"/>
          <w:szCs w:val="32"/>
        </w:rPr>
        <w:t>优先安排新能源项目上网发电，</w:t>
      </w:r>
      <w:r>
        <w:rPr>
          <w:rFonts w:hint="eastAsia" w:ascii="仿宋" w:hAnsi="仿宋" w:eastAsia="仿宋" w:cs="仿宋"/>
          <w:b w:val="0"/>
          <w:bCs w:val="0"/>
          <w:spacing w:val="0"/>
          <w:sz w:val="32"/>
          <w:szCs w:val="32"/>
          <w:lang w:eastAsia="zh-CN"/>
        </w:rPr>
        <w:t>按照</w:t>
      </w:r>
      <w:r>
        <w:rPr>
          <w:rFonts w:hint="eastAsia" w:ascii="仿宋" w:hAnsi="仿宋" w:eastAsia="仿宋" w:cs="仿宋"/>
          <w:b w:val="0"/>
          <w:bCs w:val="0"/>
          <w:spacing w:val="0"/>
          <w:sz w:val="32"/>
          <w:szCs w:val="32"/>
        </w:rPr>
        <w:t>新能源就近消纳原则，科学确定风光保障小时数，保障小时数之外的电量参与市场竞价交</w:t>
      </w:r>
      <w:r>
        <w:rPr>
          <w:rFonts w:hint="eastAsia" w:ascii="仿宋" w:hAnsi="仿宋" w:eastAsia="仿宋" w:cs="仿宋"/>
          <w:b w:val="0"/>
          <w:bCs w:val="0"/>
          <w:spacing w:val="-6"/>
          <w:sz w:val="32"/>
          <w:szCs w:val="32"/>
        </w:rPr>
        <w:t>易，按照基数保障电量和市场交易电量合理安排新能源发电量，</w:t>
      </w:r>
      <w:r>
        <w:rPr>
          <w:rFonts w:hint="eastAsia" w:ascii="仿宋" w:hAnsi="仿宋" w:eastAsia="仿宋" w:cs="仿宋"/>
          <w:b w:val="0"/>
          <w:bCs w:val="0"/>
          <w:spacing w:val="0"/>
          <w:sz w:val="32"/>
          <w:szCs w:val="32"/>
        </w:rPr>
        <w:t>确保新能源项目合理收益。</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（二）保障荷储全寿命稳定运行</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新能源开发企业应确保新增负荷需求周期、调峰措施的运行周期不低于新能源的全寿命周期。运行期内若用电负荷减少或中断，新能源开发企业需重新引进用电负荷；调峰能力降低或停运，需建设或购买调峰储能能力，</w:t>
      </w:r>
      <w:r>
        <w:rPr>
          <w:rFonts w:hint="eastAsia" w:ascii="仿宋" w:hAnsi="仿宋" w:eastAsia="仿宋" w:cs="仿宋"/>
          <w:b w:val="0"/>
          <w:bCs w:val="0"/>
          <w:spacing w:val="-6"/>
          <w:sz w:val="32"/>
          <w:szCs w:val="32"/>
        </w:rPr>
        <w:t>确保实施效果不低于项目申报水平。无法完成上述要求的项目，</w:t>
      </w:r>
      <w:r>
        <w:rPr>
          <w:rFonts w:hint="eastAsia" w:ascii="仿宋" w:hAnsi="仿宋" w:eastAsia="仿宋" w:cs="仿宋"/>
          <w:b w:val="0"/>
          <w:bCs w:val="0"/>
          <w:spacing w:val="0"/>
          <w:sz w:val="32"/>
          <w:szCs w:val="32"/>
        </w:rPr>
        <w:t>配套新能源应同步实施退坡运行。</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（三）提高储能安全运行水平</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配套储能系统要做好全生命周期安全管理要求</w:t>
      </w:r>
      <w:r>
        <w:rPr>
          <w:rFonts w:hint="eastAsia" w:ascii="仿宋" w:hAnsi="仿宋" w:eastAsia="仿宋" w:cs="仿宋"/>
          <w:b w:val="0"/>
          <w:bCs w:val="0"/>
          <w:spacing w:val="-6"/>
          <w:sz w:val="32"/>
          <w:szCs w:val="32"/>
        </w:rPr>
        <w:t>，全面提升储能电站安全管理工作的规范化、</w:t>
      </w:r>
      <w:r>
        <w:rPr>
          <w:rFonts w:hint="eastAsia" w:ascii="仿宋" w:hAnsi="仿宋" w:eastAsia="仿宋" w:cs="仿宋"/>
          <w:b w:val="0"/>
          <w:bCs w:val="0"/>
          <w:spacing w:val="0"/>
          <w:sz w:val="32"/>
          <w:szCs w:val="32"/>
        </w:rPr>
        <w:t>科学化水平。</w:t>
      </w:r>
      <w:r>
        <w:rPr>
          <w:rFonts w:hint="eastAsia" w:ascii="仿宋" w:hAnsi="仿宋" w:eastAsia="仿宋" w:cs="仿宋"/>
          <w:b w:val="0"/>
          <w:bCs w:val="0"/>
          <w:spacing w:val="0"/>
          <w:sz w:val="32"/>
          <w:szCs w:val="32"/>
          <w:lang w:eastAsia="zh-CN"/>
        </w:rPr>
        <w:t>自治区要</w:t>
      </w:r>
      <w:r>
        <w:rPr>
          <w:rFonts w:hint="eastAsia" w:ascii="仿宋" w:hAnsi="仿宋" w:eastAsia="仿宋" w:cs="仿宋"/>
          <w:b w:val="0"/>
          <w:bCs w:val="0"/>
          <w:spacing w:val="0"/>
          <w:sz w:val="32"/>
          <w:szCs w:val="32"/>
        </w:rPr>
        <w:t>建立健全储能系统运行评估和监管机制，对储能系统运行安全性定期开展全面评估。储能系统达到设计寿命后，要采取强制退役措施，解决超期服役的问题。</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p>
    <w:p>
      <w:pPr>
        <w:pStyle w:val="12"/>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六、带动产业链发展</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（一）新能源开发与产业链相融合</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将新能源产业作为全区产业转型升级和结构调整的重要抓手，深入实施延链补链强链行动和质量提升行动，依托区内风光资源富集优势，吸引并带动风电、光伏行业创新研发平台和高端制造产业的构建与入驻。充分调动各类市场主体带动高质量产业链的积极性，集中力量打造新能源产业链集群，支持区内大型风电、光伏发电企业与高精尖装备制造企业开展深度合作，全面保障风光产业“产、供、销、用”一体化发展，形成以负荷带动电源、创新链带动产业链的循环互促模式。</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（二）优化</w:t>
      </w:r>
      <w:r>
        <w:rPr>
          <w:rFonts w:hint="eastAsia" w:ascii="楷体" w:hAnsi="楷体" w:eastAsia="楷体" w:cs="楷体"/>
          <w:b w:val="0"/>
          <w:bCs w:val="0"/>
          <w:spacing w:val="0"/>
          <w:sz w:val="32"/>
          <w:szCs w:val="32"/>
          <w:lang w:eastAsia="zh-CN"/>
        </w:rPr>
        <w:t>风光</w:t>
      </w:r>
      <w:r>
        <w:rPr>
          <w:rFonts w:hint="eastAsia" w:ascii="楷体" w:hAnsi="楷体" w:eastAsia="楷体" w:cs="楷体"/>
          <w:b w:val="0"/>
          <w:bCs w:val="0"/>
          <w:spacing w:val="0"/>
          <w:sz w:val="32"/>
          <w:szCs w:val="32"/>
        </w:rPr>
        <w:t>产业布局</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结合风光资源富集优势、市场需求和区位辐射等特点，加强顶层设计，优化风光产业布局，科学有序推进风光产业链一体化发展，加快新能源装备制造业高端化、智能化、绿色化改造，依托有产业链核心技术和聚集实力的“链主”企业，带动上下游产业系统集群式发展，打造“自主研发</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装备制造</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部件配套</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基地试验</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批量生产</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高效运维”的产业链集群，带动整个产业链联动发展、全面提升。</w:t>
      </w:r>
    </w:p>
    <w:p>
      <w:pPr>
        <w:pStyle w:val="12"/>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七、强化支撑体系</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（一）加强组织领导</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建立自治区推进新能源</w:t>
      </w:r>
      <w:r>
        <w:rPr>
          <w:rFonts w:hint="eastAsia" w:ascii="仿宋" w:hAnsi="仿宋" w:eastAsia="仿宋" w:cs="仿宋"/>
          <w:b w:val="0"/>
          <w:bCs w:val="0"/>
          <w:spacing w:val="-6"/>
          <w:sz w:val="32"/>
          <w:szCs w:val="32"/>
        </w:rPr>
        <w:t>发展工作机制，</w:t>
      </w:r>
      <w:r>
        <w:rPr>
          <w:rFonts w:hint="eastAsia" w:ascii="仿宋" w:hAnsi="仿宋" w:eastAsia="仿宋" w:cs="仿宋"/>
          <w:b w:val="0"/>
          <w:bCs w:val="0"/>
          <w:spacing w:val="0"/>
          <w:sz w:val="32"/>
          <w:szCs w:val="32"/>
        </w:rPr>
        <w:t>统筹解决重大问题。自治区</w:t>
      </w:r>
      <w:r>
        <w:rPr>
          <w:rFonts w:hint="eastAsia" w:ascii="仿宋" w:hAnsi="仿宋" w:eastAsia="仿宋" w:cs="仿宋"/>
          <w:b w:val="0"/>
          <w:bCs w:val="0"/>
          <w:spacing w:val="0"/>
          <w:sz w:val="32"/>
          <w:szCs w:val="32"/>
          <w:lang w:eastAsia="zh-CN"/>
        </w:rPr>
        <w:t>发展改革</w:t>
      </w:r>
      <w:r>
        <w:rPr>
          <w:rFonts w:hint="eastAsia" w:ascii="仿宋" w:hAnsi="仿宋" w:eastAsia="仿宋" w:cs="仿宋"/>
          <w:b w:val="0"/>
          <w:bCs w:val="0"/>
          <w:spacing w:val="0"/>
          <w:sz w:val="32"/>
          <w:szCs w:val="32"/>
        </w:rPr>
        <w:t>、工</w:t>
      </w:r>
      <w:r>
        <w:rPr>
          <w:rFonts w:hint="eastAsia" w:ascii="仿宋" w:hAnsi="仿宋" w:eastAsia="仿宋" w:cs="仿宋"/>
          <w:b w:val="0"/>
          <w:bCs w:val="0"/>
          <w:spacing w:val="0"/>
          <w:sz w:val="32"/>
          <w:szCs w:val="32"/>
          <w:lang w:eastAsia="zh-CN"/>
        </w:rPr>
        <w:t>业和信息化</w:t>
      </w:r>
      <w:r>
        <w:rPr>
          <w:rFonts w:hint="eastAsia" w:ascii="仿宋" w:hAnsi="仿宋" w:eastAsia="仿宋" w:cs="仿宋"/>
          <w:b w:val="0"/>
          <w:bCs w:val="0"/>
          <w:spacing w:val="0"/>
          <w:sz w:val="32"/>
          <w:szCs w:val="32"/>
        </w:rPr>
        <w:t>、能源、自然资源、林草、生态环境等相关部门要加强协调配合，优化精简审批流程，为新能源项目落地创造有利条件。</w:t>
      </w:r>
      <w:r>
        <w:rPr>
          <w:rFonts w:hint="eastAsia" w:ascii="仿宋" w:hAnsi="仿宋" w:eastAsia="仿宋" w:cs="仿宋"/>
          <w:b w:val="0"/>
          <w:bCs w:val="0"/>
          <w:spacing w:val="0"/>
          <w:sz w:val="32"/>
          <w:szCs w:val="32"/>
          <w:lang w:eastAsia="zh-CN"/>
        </w:rPr>
        <w:t>各</w:t>
      </w:r>
      <w:r>
        <w:rPr>
          <w:rFonts w:hint="eastAsia" w:ascii="仿宋" w:hAnsi="仿宋" w:eastAsia="仿宋" w:cs="仿宋"/>
          <w:b w:val="0"/>
          <w:bCs w:val="0"/>
          <w:spacing w:val="0"/>
          <w:sz w:val="32"/>
          <w:szCs w:val="32"/>
        </w:rPr>
        <w:t>盟市要组织实施好各类新能源项目，</w:t>
      </w:r>
      <w:r>
        <w:rPr>
          <w:rFonts w:hint="eastAsia" w:ascii="仿宋" w:hAnsi="仿宋" w:eastAsia="仿宋" w:cs="仿宋"/>
          <w:b w:val="0"/>
          <w:bCs w:val="0"/>
          <w:spacing w:val="0"/>
          <w:sz w:val="32"/>
          <w:szCs w:val="32"/>
          <w:lang w:eastAsia="zh-CN"/>
        </w:rPr>
        <w:t>切实</w:t>
      </w:r>
      <w:r>
        <w:rPr>
          <w:rFonts w:hint="eastAsia" w:ascii="仿宋" w:hAnsi="仿宋" w:eastAsia="仿宋" w:cs="仿宋"/>
          <w:b w:val="0"/>
          <w:bCs w:val="0"/>
          <w:spacing w:val="0"/>
          <w:sz w:val="32"/>
          <w:szCs w:val="32"/>
        </w:rPr>
        <w:t>承担监督管理主体责任，配合电网企业做好送出工程各项前期工作。</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（二）完善配套政策机制</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针对新能源随机性强、波动较大和高比例融合的特点，开展新型电力系统风险防范的分级分类管理，完善网内互济和旋转备用共享机制，提高新能源消纳多级调度协同快速响应能力。深化电力现货市场建设，采用灵活价格机制促进新能源参与现货交易。健全辅助服务市场交易机制，引导火电机组主动参与系统调节。完善抽水蓄能电价形成和容量电费分摊机制，建立储能电站投资回报机制。通过价格机制，调动用户节能降耗和参与需求侧响应的积极性。</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（三）加强源网协同</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结合自治区新能源开发，提前安排电网规划项目及接网工程建设，保障源网同步投产。对电网企业建设有困难或规划建设时序不匹配的新能源配套送出工程，允许发电企业在自愿的前提下投资建设，经与电网企业协商同意，可在新能源项目并网后适当时机由电网企业依法依规回购配套送出工程。</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r>
        <w:rPr>
          <w:rFonts w:hint="eastAsia" w:ascii="楷体" w:hAnsi="楷体" w:eastAsia="楷体" w:cs="楷体"/>
          <w:b w:val="0"/>
          <w:bCs w:val="0"/>
          <w:spacing w:val="0"/>
          <w:sz w:val="32"/>
          <w:szCs w:val="32"/>
        </w:rPr>
        <w:t>（四）保障新能源消纳</w:t>
      </w:r>
      <w:r>
        <w:rPr>
          <w:rFonts w:hint="eastAsia" w:ascii="楷体" w:hAnsi="楷体" w:eastAsia="楷体" w:cs="楷体"/>
          <w:b w:val="0"/>
          <w:bCs w:val="0"/>
          <w:spacing w:val="0"/>
          <w:sz w:val="32"/>
          <w:szCs w:val="32"/>
          <w:lang w:eastAsia="zh-CN"/>
        </w:rPr>
        <w:t>。</w:t>
      </w:r>
      <w:r>
        <w:rPr>
          <w:rFonts w:hint="eastAsia" w:ascii="仿宋" w:hAnsi="仿宋" w:eastAsia="仿宋" w:cs="仿宋"/>
          <w:b w:val="0"/>
          <w:bCs w:val="0"/>
          <w:spacing w:val="0"/>
          <w:sz w:val="32"/>
          <w:szCs w:val="32"/>
        </w:rPr>
        <w:t>电网企业结合网内公用负荷情况，统筹做好市场化并网的各类资源优化配置，承担保障性并网消纳主体责任，统筹调峰能力建设，制定并网管理办法，做好各类项目接入及消纳研究论证工作。加快区内输电通道和配电网的建设投入，优化新能源配置，同步提高清洁能源网内和网间输送能力。加强风光功率预测与电力调度平台联动，优化调度方式，提升电力系统韧性。加快建设抽水蓄能和新型规模化储能，推进火电灵活性改造，提升系统灵活性水平，促进新能源电力消纳。</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 xml:space="preserve">               </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spacing w:val="0"/>
          <w:sz w:val="32"/>
          <w:szCs w:val="32"/>
          <w:lang w:val="en-US" w:eastAsia="zh-CN"/>
        </w:rPr>
      </w:pPr>
    </w:p>
    <w:p>
      <w:pPr>
        <w:pStyle w:val="2"/>
        <w:keepNext w:val="0"/>
        <w:keepLines w:val="0"/>
        <w:pageBreakBefore w:val="0"/>
        <w:widowControl w:val="0"/>
        <w:tabs>
          <w:tab w:val="left" w:pos="7560"/>
        </w:tabs>
        <w:kinsoku/>
        <w:wordWrap/>
        <w:overflowPunct/>
        <w:topLinePunct/>
        <w:autoSpaceDE/>
        <w:autoSpaceDN/>
        <w:bidi w:val="0"/>
        <w:adjustRightInd/>
        <w:snapToGrid/>
        <w:spacing w:line="580" w:lineRule="exact"/>
        <w:ind w:left="0" w:leftChars="0" w:right="0" w:rightChars="0" w:firstLine="5318" w:firstLineChars="1662"/>
        <w:jc w:val="both"/>
        <w:textAlignment w:val="auto"/>
        <w:outlineLvl w:val="1"/>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2022年3月4日</w:t>
      </w:r>
    </w:p>
    <w:p>
      <w:pPr>
        <w:pStyle w:val="2"/>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1"/>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（此件公开发布）</w:t>
      </w: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bookmarkStart w:id="4" w:name="_GoBack"/>
      <w:bookmarkEnd w:id="4"/>
    </w:p>
    <w:p>
      <w:pPr>
        <w:pStyle w:val="2"/>
        <w:rPr>
          <w:rFonts w:hint="eastAsia"/>
        </w:rPr>
      </w:pPr>
    </w:p>
    <w:p>
      <w:pPr>
        <w:pStyle w:val="2"/>
        <w:rPr>
          <w:rFonts w:hint="eastAsia"/>
        </w:rPr>
      </w:pPr>
    </w:p>
    <w:tbl>
      <w:tblPr>
        <w:tblStyle w:val="8"/>
        <w:tblW w:w="8917"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1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1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3</w:t>
            </w:r>
            <w:r>
              <w:rPr>
                <w:rFonts w:hint="eastAsia" w:ascii="仿宋_GB2312" w:eastAsia="仿宋_GB2312"/>
                <w:sz w:val="28"/>
              </w:rPr>
              <w:t>月</w:t>
            </w:r>
            <w:r>
              <w:rPr>
                <w:rFonts w:hint="eastAsia" w:ascii="仿宋_GB2312" w:eastAsia="仿宋_GB2312"/>
                <w:sz w:val="28"/>
                <w:lang w:val="en-US" w:eastAsia="zh-CN"/>
              </w:rPr>
              <w:t>4</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B6B5C"/>
    <w:rsid w:val="0000053B"/>
    <w:rsid w:val="00000BC8"/>
    <w:rsid w:val="00000D35"/>
    <w:rsid w:val="00000E8A"/>
    <w:rsid w:val="00001A5E"/>
    <w:rsid w:val="0001025F"/>
    <w:rsid w:val="00010E72"/>
    <w:rsid w:val="00010FBD"/>
    <w:rsid w:val="000134B5"/>
    <w:rsid w:val="000148CC"/>
    <w:rsid w:val="0001572E"/>
    <w:rsid w:val="0001671F"/>
    <w:rsid w:val="0001751F"/>
    <w:rsid w:val="00017973"/>
    <w:rsid w:val="00017C56"/>
    <w:rsid w:val="00017C8E"/>
    <w:rsid w:val="00017F0C"/>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4AAB"/>
    <w:rsid w:val="00076F96"/>
    <w:rsid w:val="00082970"/>
    <w:rsid w:val="0008397E"/>
    <w:rsid w:val="00090E87"/>
    <w:rsid w:val="00090EB2"/>
    <w:rsid w:val="00091065"/>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33FD"/>
    <w:rsid w:val="000D46E6"/>
    <w:rsid w:val="000D4B7C"/>
    <w:rsid w:val="000E189F"/>
    <w:rsid w:val="000E242A"/>
    <w:rsid w:val="000E2DE0"/>
    <w:rsid w:val="000E4A4D"/>
    <w:rsid w:val="000E5531"/>
    <w:rsid w:val="000E6931"/>
    <w:rsid w:val="000E7F78"/>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5C3C"/>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4CC2"/>
    <w:rsid w:val="00137385"/>
    <w:rsid w:val="00140625"/>
    <w:rsid w:val="00141687"/>
    <w:rsid w:val="00142107"/>
    <w:rsid w:val="00143758"/>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69"/>
    <w:rsid w:val="001D62F3"/>
    <w:rsid w:val="001E1712"/>
    <w:rsid w:val="001E3AE1"/>
    <w:rsid w:val="001E4564"/>
    <w:rsid w:val="001E463E"/>
    <w:rsid w:val="001E48FC"/>
    <w:rsid w:val="001E51E8"/>
    <w:rsid w:val="001E5754"/>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B9B"/>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2D4"/>
    <w:rsid w:val="002D2CF6"/>
    <w:rsid w:val="002D31DC"/>
    <w:rsid w:val="002D3F3C"/>
    <w:rsid w:val="002D4032"/>
    <w:rsid w:val="002D5A5E"/>
    <w:rsid w:val="002D7462"/>
    <w:rsid w:val="002E0919"/>
    <w:rsid w:val="002E2F22"/>
    <w:rsid w:val="002E3CC3"/>
    <w:rsid w:val="002E55D9"/>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4576B"/>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494"/>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27EB"/>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E7966"/>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4AB3"/>
    <w:rsid w:val="004278D4"/>
    <w:rsid w:val="00430D45"/>
    <w:rsid w:val="00431DA3"/>
    <w:rsid w:val="00432A0C"/>
    <w:rsid w:val="00433DE5"/>
    <w:rsid w:val="00437A54"/>
    <w:rsid w:val="00442031"/>
    <w:rsid w:val="004443C8"/>
    <w:rsid w:val="0044481F"/>
    <w:rsid w:val="004454F7"/>
    <w:rsid w:val="00450079"/>
    <w:rsid w:val="004504E7"/>
    <w:rsid w:val="00452779"/>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0B20"/>
    <w:rsid w:val="005216DB"/>
    <w:rsid w:val="00522BE1"/>
    <w:rsid w:val="00525134"/>
    <w:rsid w:val="00527055"/>
    <w:rsid w:val="00527860"/>
    <w:rsid w:val="005302E8"/>
    <w:rsid w:val="005355C1"/>
    <w:rsid w:val="00537C60"/>
    <w:rsid w:val="005403BB"/>
    <w:rsid w:val="00540508"/>
    <w:rsid w:val="00541462"/>
    <w:rsid w:val="00545692"/>
    <w:rsid w:val="00545900"/>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5376"/>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A7B"/>
    <w:rsid w:val="005E0DCD"/>
    <w:rsid w:val="005E5234"/>
    <w:rsid w:val="005E7F3F"/>
    <w:rsid w:val="005F29F1"/>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3367"/>
    <w:rsid w:val="0063404D"/>
    <w:rsid w:val="00637C57"/>
    <w:rsid w:val="00640710"/>
    <w:rsid w:val="00642967"/>
    <w:rsid w:val="00643C82"/>
    <w:rsid w:val="0064774E"/>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B6188"/>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66D83"/>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1DF8"/>
    <w:rsid w:val="00814958"/>
    <w:rsid w:val="008149CF"/>
    <w:rsid w:val="00816CA5"/>
    <w:rsid w:val="00817FC3"/>
    <w:rsid w:val="00823E54"/>
    <w:rsid w:val="008244BB"/>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7D03"/>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2131"/>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77F"/>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5D06"/>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2FAC"/>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34CE7"/>
    <w:rsid w:val="00B40DCF"/>
    <w:rsid w:val="00B41574"/>
    <w:rsid w:val="00B43C7B"/>
    <w:rsid w:val="00B4489A"/>
    <w:rsid w:val="00B4656E"/>
    <w:rsid w:val="00B47AB4"/>
    <w:rsid w:val="00B509ED"/>
    <w:rsid w:val="00B5388B"/>
    <w:rsid w:val="00B54162"/>
    <w:rsid w:val="00B542D3"/>
    <w:rsid w:val="00B560B0"/>
    <w:rsid w:val="00B56A1E"/>
    <w:rsid w:val="00B57284"/>
    <w:rsid w:val="00B57DEF"/>
    <w:rsid w:val="00B6035B"/>
    <w:rsid w:val="00B64E58"/>
    <w:rsid w:val="00B666ED"/>
    <w:rsid w:val="00B70DED"/>
    <w:rsid w:val="00B713FA"/>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32E3"/>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97C5A"/>
    <w:rsid w:val="00CA30D7"/>
    <w:rsid w:val="00CA4F90"/>
    <w:rsid w:val="00CA7846"/>
    <w:rsid w:val="00CB3AE8"/>
    <w:rsid w:val="00CB3EA3"/>
    <w:rsid w:val="00CB5D2C"/>
    <w:rsid w:val="00CC14E4"/>
    <w:rsid w:val="00CC2443"/>
    <w:rsid w:val="00CD1675"/>
    <w:rsid w:val="00CD399D"/>
    <w:rsid w:val="00CD4642"/>
    <w:rsid w:val="00CD5308"/>
    <w:rsid w:val="00CE2266"/>
    <w:rsid w:val="00CE5E6E"/>
    <w:rsid w:val="00CE618F"/>
    <w:rsid w:val="00CE6508"/>
    <w:rsid w:val="00CF21D5"/>
    <w:rsid w:val="00CF77E7"/>
    <w:rsid w:val="00CF7E4F"/>
    <w:rsid w:val="00D023FE"/>
    <w:rsid w:val="00D0487F"/>
    <w:rsid w:val="00D101F0"/>
    <w:rsid w:val="00D1209D"/>
    <w:rsid w:val="00D122FC"/>
    <w:rsid w:val="00D13AEB"/>
    <w:rsid w:val="00D14674"/>
    <w:rsid w:val="00D14BFB"/>
    <w:rsid w:val="00D17773"/>
    <w:rsid w:val="00D178DE"/>
    <w:rsid w:val="00D202DB"/>
    <w:rsid w:val="00D21A57"/>
    <w:rsid w:val="00D2210B"/>
    <w:rsid w:val="00D222CE"/>
    <w:rsid w:val="00D252DC"/>
    <w:rsid w:val="00D3737D"/>
    <w:rsid w:val="00D37406"/>
    <w:rsid w:val="00D377BF"/>
    <w:rsid w:val="00D4207E"/>
    <w:rsid w:val="00D420D3"/>
    <w:rsid w:val="00D44386"/>
    <w:rsid w:val="00D444F3"/>
    <w:rsid w:val="00D4554B"/>
    <w:rsid w:val="00D530AF"/>
    <w:rsid w:val="00D54B07"/>
    <w:rsid w:val="00D55776"/>
    <w:rsid w:val="00D57267"/>
    <w:rsid w:val="00D60772"/>
    <w:rsid w:val="00D60878"/>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572"/>
    <w:rsid w:val="00E1689F"/>
    <w:rsid w:val="00E17254"/>
    <w:rsid w:val="00E212BE"/>
    <w:rsid w:val="00E21FA4"/>
    <w:rsid w:val="00E22D24"/>
    <w:rsid w:val="00E22F24"/>
    <w:rsid w:val="00E2382F"/>
    <w:rsid w:val="00E24E5D"/>
    <w:rsid w:val="00E3217C"/>
    <w:rsid w:val="00E36741"/>
    <w:rsid w:val="00E36C64"/>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4603"/>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551A"/>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B8E"/>
    <w:rsid w:val="00F72D68"/>
    <w:rsid w:val="00F72EFC"/>
    <w:rsid w:val="00F768AB"/>
    <w:rsid w:val="00F76A08"/>
    <w:rsid w:val="00F81D9A"/>
    <w:rsid w:val="00F85DCD"/>
    <w:rsid w:val="00F875D2"/>
    <w:rsid w:val="00F90490"/>
    <w:rsid w:val="00F9269E"/>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095F"/>
    <w:rsid w:val="00FF1779"/>
    <w:rsid w:val="00FF1981"/>
    <w:rsid w:val="00FF2340"/>
    <w:rsid w:val="00FF60C7"/>
    <w:rsid w:val="00FF7392"/>
    <w:rsid w:val="023B43DC"/>
    <w:rsid w:val="05462E4F"/>
    <w:rsid w:val="072A6EDB"/>
    <w:rsid w:val="074D26E8"/>
    <w:rsid w:val="1094613C"/>
    <w:rsid w:val="117F71CE"/>
    <w:rsid w:val="13404ED0"/>
    <w:rsid w:val="149F7BD4"/>
    <w:rsid w:val="160B3C01"/>
    <w:rsid w:val="17E8525F"/>
    <w:rsid w:val="1A7D41CF"/>
    <w:rsid w:val="1F37885E"/>
    <w:rsid w:val="1FD3237E"/>
    <w:rsid w:val="21CE0EBF"/>
    <w:rsid w:val="24485B15"/>
    <w:rsid w:val="2B9F2FFB"/>
    <w:rsid w:val="2C686B0E"/>
    <w:rsid w:val="322D6746"/>
    <w:rsid w:val="389038FD"/>
    <w:rsid w:val="3A851764"/>
    <w:rsid w:val="3DEFA0F0"/>
    <w:rsid w:val="3EA97209"/>
    <w:rsid w:val="3FFD349D"/>
    <w:rsid w:val="432257D3"/>
    <w:rsid w:val="43B61CB1"/>
    <w:rsid w:val="47903C8B"/>
    <w:rsid w:val="4A79D76E"/>
    <w:rsid w:val="4AFF0E9F"/>
    <w:rsid w:val="4BB12688"/>
    <w:rsid w:val="50022206"/>
    <w:rsid w:val="51650C56"/>
    <w:rsid w:val="51762C52"/>
    <w:rsid w:val="5425443B"/>
    <w:rsid w:val="58AD2525"/>
    <w:rsid w:val="5BAE3879"/>
    <w:rsid w:val="5BB11256"/>
    <w:rsid w:val="64B86B45"/>
    <w:rsid w:val="67FD6217"/>
    <w:rsid w:val="6F2C465B"/>
    <w:rsid w:val="7B9A785D"/>
    <w:rsid w:val="7D164783"/>
    <w:rsid w:val="7E960D71"/>
    <w:rsid w:val="7F931C94"/>
    <w:rsid w:val="7FB6CAFF"/>
    <w:rsid w:val="7FBC6E29"/>
    <w:rsid w:val="9AE564DF"/>
    <w:rsid w:val="9BEFBF92"/>
    <w:rsid w:val="9EBE59CC"/>
    <w:rsid w:val="B6BF338B"/>
    <w:rsid w:val="CFF5AEE6"/>
    <w:rsid w:val="D5FF69A6"/>
    <w:rsid w:val="DF96836F"/>
    <w:rsid w:val="DFED4E92"/>
    <w:rsid w:val="DFFB1D24"/>
    <w:rsid w:val="E777C490"/>
    <w:rsid w:val="E7DB6B5C"/>
    <w:rsid w:val="EBDF4093"/>
    <w:rsid w:val="EFBEF01C"/>
    <w:rsid w:val="EFF3B681"/>
    <w:rsid w:val="F5FBAEA3"/>
    <w:rsid w:val="F73ABC07"/>
    <w:rsid w:val="FBFFFBAE"/>
    <w:rsid w:val="FC99EEBA"/>
    <w:rsid w:val="FEF77C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Body Text"/>
    <w:basedOn w:val="1"/>
    <w:uiPriority w:val="0"/>
    <w:rPr>
      <w:rFonts w:ascii="宋体" w:hAnsi="Calibri" w:eastAsia="宋体" w:cs="宋体"/>
      <w:sz w:val="28"/>
      <w:szCs w:val="28"/>
      <w:lang w:bidi="ar-SA"/>
    </w:rPr>
  </w:style>
  <w:style w:type="paragraph" w:styleId="3">
    <w:name w:val="Document Map"/>
    <w:basedOn w:val="1"/>
    <w:semiHidden/>
    <w:uiPriority w:val="0"/>
    <w:pPr>
      <w:shd w:val="clear" w:color="auto" w:fill="000080"/>
    </w:pPr>
  </w:style>
  <w:style w:type="paragraph" w:styleId="4">
    <w:name w:val="Date"/>
    <w:basedOn w:val="1"/>
    <w:next w:val="1"/>
    <w:link w:val="13"/>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paragraph" w:styleId="12">
    <w:name w:val="List Paragraph"/>
    <w:basedOn w:val="1"/>
    <w:qFormat/>
    <w:uiPriority w:val="34"/>
    <w:pPr>
      <w:ind w:firstLine="420" w:firstLineChars="200"/>
    </w:pPr>
    <w:rPr>
      <w:rFonts w:ascii="Calibri" w:hAnsi="Calibri" w:eastAsia="宋体" w:cs="Mongolian Baiti"/>
      <w:szCs w:val="28"/>
      <w:lang w:bidi="mn-Mong-CN"/>
    </w:rPr>
  </w:style>
  <w:style w:type="character" w:customStyle="1" w:styleId="13">
    <w:name w:val=" Char Char2"/>
    <w:basedOn w:val="10"/>
    <w:link w:val="4"/>
    <w:uiPriority w:val="0"/>
    <w:rPr>
      <w:rFonts w:ascii="仿宋_GB2312" w:hAnsi="Times New Roman" w:eastAsia="仿宋_GB2312" w:cs="Times New Roman"/>
      <w:kern w:val="2"/>
      <w:sz w:val="32"/>
      <w:szCs w:val="24"/>
      <w:lang w:bidi="ar-SA"/>
    </w:rPr>
  </w:style>
  <w:style w:type="character" w:customStyle="1" w:styleId="14">
    <w:name w:val=" Char Char"/>
    <w:basedOn w:val="10"/>
    <w:link w:val="6"/>
    <w:semiHidden/>
    <w:uiPriority w:val="99"/>
    <w:rPr>
      <w:rFonts w:ascii="Calibri" w:hAnsi="Calibri" w:eastAsia="宋体" w:cs="Mongolian Baiti"/>
      <w:kern w:val="2"/>
      <w:sz w:val="18"/>
      <w:szCs w:val="22"/>
    </w:rPr>
  </w:style>
  <w:style w:type="character" w:customStyle="1" w:styleId="15">
    <w:name w:val=" Char Char1"/>
    <w:basedOn w:val="10"/>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2022-03-04T18:16:21Z</cp:lastPrinted>
  <dcterms:modified xsi:type="dcterms:W3CDTF">2022-03-07T07:45:55Z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