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both"/>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jc w:val="center"/>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内蒙古自治区人民政府办公厅关于加快</w:t>
      </w:r>
    </w:p>
    <w:p>
      <w:pPr>
        <w:keepNext w:val="0"/>
        <w:keepLines w:val="0"/>
        <w:pageBreakBefore w:val="0"/>
        <w:widowControl w:val="0"/>
        <w:kinsoku/>
        <w:wordWrap/>
        <w:overflowPunct/>
        <w:topLinePunct/>
        <w:autoSpaceDE/>
        <w:autoSpaceDN/>
        <w:bidi w:val="0"/>
        <w:spacing w:line="580" w:lineRule="exact"/>
        <w:ind w:left="0" w:leftChars="0" w:right="0" w:right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推动新型储能发展的实施意见</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内政办发〔2021〕86号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各盟行政公署、市人民政府，自治区各委、办、厅、局，各大企业、事业单位：</w:t>
      </w:r>
    </w:p>
    <w:p>
      <w:pPr>
        <w:keepNext w:val="0"/>
        <w:keepLines w:val="0"/>
        <w:pageBreakBefore w:val="0"/>
        <w:widowControl w:val="0"/>
        <w:tabs>
          <w:tab w:val="left" w:pos="4536"/>
        </w:tabs>
        <w:kinsoku/>
        <w:wordWrap/>
        <w:overflowPunct/>
        <w:topLinePunct/>
        <w:autoSpaceDE/>
        <w:autoSpaceDN/>
        <w:bidi w:val="0"/>
        <w:adjustRightInd/>
        <w:snapToGrid w:val="0"/>
        <w:spacing w:line="580" w:lineRule="exact"/>
        <w:ind w:left="0" w:leftChars="0" w:right="0" w:righ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新型储能是指除抽水蓄能以外，以输出电力为主要形式并对外提供服务的储能项目。发展新型储能对构建“清洁低碳、安全高效”现代能源体系、实现“碳达峰、碳中和”战略目标具有重要意义。为深入贯彻习近平总书记关于内蒙古工作重要讲话重要指示批示精神，全面落实《国家发改委 国家能源局关于加快推动新型储能发展的指导意见》（发改能源规〔2021〕1051号）、</w:t>
      </w:r>
      <w:r>
        <w:rPr>
          <w:rFonts w:hint="eastAsia" w:ascii="仿宋" w:hAnsi="仿宋" w:eastAsia="仿宋" w:cs="仿宋"/>
          <w:kern w:val="0"/>
          <w:sz w:val="32"/>
          <w:szCs w:val="32"/>
        </w:rPr>
        <w:t>《国家能源局关于印发</w:t>
      </w:r>
      <w:r>
        <w:rPr>
          <w:rFonts w:hint="eastAsia" w:ascii="仿宋" w:hAnsi="仿宋" w:eastAsia="仿宋" w:cs="仿宋"/>
          <w:kern w:val="0"/>
          <w:sz w:val="32"/>
          <w:szCs w:val="32"/>
          <w:lang w:val="en-GB"/>
        </w:rPr>
        <w:t>&lt;新型储能项目管理规范（暂行）&gt;的通知</w:t>
      </w:r>
      <w:r>
        <w:rPr>
          <w:rFonts w:hint="eastAsia" w:ascii="仿宋" w:hAnsi="仿宋" w:eastAsia="仿宋" w:cs="仿宋"/>
          <w:kern w:val="0"/>
          <w:sz w:val="32"/>
          <w:szCs w:val="32"/>
        </w:rPr>
        <w:t>》（国能发科规</w:t>
      </w:r>
      <w:r>
        <w:rPr>
          <w:rFonts w:hint="eastAsia" w:ascii="仿宋" w:hAnsi="仿宋" w:eastAsia="仿宋" w:cs="仿宋"/>
          <w:sz w:val="32"/>
          <w:szCs w:val="32"/>
        </w:rPr>
        <w:t>〔2021〕</w:t>
      </w:r>
      <w:r>
        <w:rPr>
          <w:rFonts w:hint="eastAsia" w:ascii="仿宋" w:hAnsi="仿宋" w:eastAsia="仿宋" w:cs="仿宋"/>
          <w:kern w:val="0"/>
          <w:sz w:val="32"/>
          <w:szCs w:val="32"/>
        </w:rPr>
        <w:t>47号）</w:t>
      </w:r>
      <w:r>
        <w:rPr>
          <w:rFonts w:hint="eastAsia" w:ascii="仿宋" w:hAnsi="仿宋" w:eastAsia="仿宋" w:cs="仿宋"/>
          <w:sz w:val="32"/>
          <w:szCs w:val="32"/>
        </w:rPr>
        <w:t>等规定要求，加快推动自治区新型储能发展，</w:t>
      </w:r>
      <w:r>
        <w:rPr>
          <w:rFonts w:hint="eastAsia" w:ascii="仿宋" w:hAnsi="仿宋" w:eastAsia="仿宋" w:cs="仿宋"/>
          <w:sz w:val="32"/>
          <w:szCs w:val="32"/>
          <w:lang w:eastAsia="zh-CN"/>
        </w:rPr>
        <w:t>经自治区人民政府同意，现</w:t>
      </w:r>
      <w:r>
        <w:rPr>
          <w:rFonts w:hint="eastAsia" w:ascii="仿宋" w:hAnsi="仿宋" w:eastAsia="仿宋" w:cs="仿宋"/>
          <w:sz w:val="32"/>
          <w:szCs w:val="32"/>
        </w:rPr>
        <w:t>提出如下意见。</w:t>
      </w:r>
    </w:p>
    <w:p>
      <w:pPr>
        <w:keepNext w:val="0"/>
        <w:keepLines w:val="0"/>
        <w:pageBreakBefore w:val="0"/>
        <w:widowControl w:val="0"/>
        <w:tabs>
          <w:tab w:val="left" w:pos="4536"/>
        </w:tabs>
        <w:kinsoku/>
        <w:wordWrap/>
        <w:overflowPunct/>
        <w:topLinePunct/>
        <w:autoSpaceDE/>
        <w:autoSpaceDN/>
        <w:bidi w:val="0"/>
        <w:adjustRightInd/>
        <w:snapToGrid w:val="0"/>
        <w:spacing w:line="580" w:lineRule="exact"/>
        <w:ind w:right="0" w:rightChars="0" w:firstLine="620" w:firstLineChars="200"/>
        <w:jc w:val="both"/>
        <w:rPr>
          <w:rFonts w:hint="eastAsia" w:ascii="黑体" w:hAnsi="黑体" w:eastAsia="黑体" w:cs="黑体"/>
          <w:spacing w:val="-5"/>
          <w:sz w:val="32"/>
          <w:szCs w:val="32"/>
        </w:rPr>
      </w:pPr>
      <w:r>
        <w:rPr>
          <w:rFonts w:hint="eastAsia" w:ascii="黑体" w:hAnsi="黑体" w:eastAsia="黑体" w:cs="黑体"/>
          <w:spacing w:val="-5"/>
          <w:sz w:val="32"/>
          <w:szCs w:val="32"/>
        </w:rPr>
        <w:t>一、总体要求</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outlineLvl w:val="1"/>
        <w:rPr>
          <w:rFonts w:hint="eastAsia" w:ascii="仿宋" w:hAnsi="仿宋" w:eastAsia="仿宋" w:cs="仿宋"/>
          <w:sz w:val="32"/>
          <w:szCs w:val="32"/>
        </w:rPr>
      </w:pPr>
      <w:r>
        <w:rPr>
          <w:rFonts w:hint="eastAsia" w:ascii="楷体" w:hAnsi="楷体" w:eastAsia="楷体" w:cs="楷体"/>
          <w:b w:val="0"/>
          <w:bCs/>
          <w:sz w:val="32"/>
          <w:szCs w:val="32"/>
        </w:rPr>
        <w:t>（一）指导思想</w:t>
      </w:r>
      <w:r>
        <w:rPr>
          <w:rFonts w:hint="eastAsia" w:ascii="楷体" w:hAnsi="楷体" w:eastAsia="楷体" w:cs="楷体"/>
          <w:b w:val="0"/>
          <w:bCs/>
          <w:sz w:val="32"/>
          <w:szCs w:val="32"/>
          <w:lang w:eastAsia="zh-CN"/>
        </w:rPr>
        <w:t>。</w:t>
      </w:r>
      <w:r>
        <w:rPr>
          <w:rFonts w:hint="eastAsia" w:ascii="仿宋" w:hAnsi="仿宋" w:eastAsia="仿宋" w:cs="仿宋"/>
          <w:sz w:val="32"/>
          <w:szCs w:val="32"/>
        </w:rPr>
        <w:t>以习近平新时代中国特色社会主义思想为指导，全面贯彻党的十九大和十九届</w:t>
      </w:r>
      <w:r>
        <w:rPr>
          <w:rFonts w:hint="eastAsia" w:ascii="仿宋" w:hAnsi="仿宋" w:eastAsia="仿宋" w:cs="仿宋"/>
          <w:sz w:val="32"/>
          <w:szCs w:val="32"/>
          <w:lang w:eastAsia="zh-CN"/>
        </w:rPr>
        <w:t>历次</w:t>
      </w:r>
      <w:r>
        <w:rPr>
          <w:rFonts w:hint="eastAsia" w:ascii="仿宋" w:hAnsi="仿宋" w:eastAsia="仿宋" w:cs="仿宋"/>
          <w:sz w:val="32"/>
          <w:szCs w:val="32"/>
        </w:rPr>
        <w:t>全会精神，落实“四个革命、一个合作”能源安全新战略，</w:t>
      </w:r>
      <w:r>
        <w:rPr>
          <w:rFonts w:hint="eastAsia" w:ascii="仿宋" w:hAnsi="仿宋" w:eastAsia="仿宋" w:cs="仿宋"/>
          <w:sz w:val="32"/>
          <w:szCs w:val="32"/>
          <w:lang w:val="en-US" w:eastAsia="zh-Hans"/>
        </w:rPr>
        <w:t>围绕</w:t>
      </w:r>
      <w:r>
        <w:rPr>
          <w:rFonts w:hint="eastAsia" w:ascii="仿宋" w:hAnsi="仿宋" w:eastAsia="仿宋" w:cs="仿宋"/>
          <w:sz w:val="32"/>
          <w:szCs w:val="32"/>
        </w:rPr>
        <w:t>国家重要能源和战略资源基地</w:t>
      </w:r>
      <w:r>
        <w:rPr>
          <w:rFonts w:hint="eastAsia" w:ascii="仿宋" w:hAnsi="仿宋" w:eastAsia="仿宋" w:cs="仿宋"/>
          <w:sz w:val="32"/>
          <w:szCs w:val="32"/>
          <w:lang w:val="en-US" w:eastAsia="zh-Hans"/>
        </w:rPr>
        <w:t>建设</w:t>
      </w:r>
      <w:r>
        <w:rPr>
          <w:rFonts w:hint="eastAsia" w:ascii="仿宋" w:hAnsi="仿宋" w:eastAsia="仿宋" w:cs="仿宋"/>
          <w:sz w:val="32"/>
          <w:szCs w:val="32"/>
        </w:rPr>
        <w:t>，以实现“碳达峰、碳中和”为目标，着力推动新型储能</w:t>
      </w:r>
      <w:r>
        <w:rPr>
          <w:rFonts w:hint="eastAsia" w:ascii="仿宋" w:hAnsi="仿宋" w:eastAsia="仿宋" w:cs="仿宋"/>
          <w:sz w:val="32"/>
          <w:szCs w:val="32"/>
          <w:lang w:eastAsia="zh-CN"/>
        </w:rPr>
        <w:t>示范应用与</w:t>
      </w:r>
      <w:r>
        <w:rPr>
          <w:rFonts w:hint="eastAsia" w:ascii="仿宋" w:hAnsi="仿宋" w:eastAsia="仿宋" w:cs="仿宋"/>
          <w:sz w:val="32"/>
          <w:szCs w:val="32"/>
        </w:rPr>
        <w:t>技术创新，建立健全配套体制机制，加快推动自治区新型储能产业规模化高质量发展，为提升电力系统安全保障能力、构建以新能源为主体的新型电力系统、建设国家现代能源经济示范区提供有力支撑。</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lang w:eastAsia="zh-CN"/>
        </w:rPr>
      </w:pPr>
      <w:r>
        <w:rPr>
          <w:rFonts w:hint="eastAsia" w:ascii="楷体" w:hAnsi="楷体" w:eastAsia="楷体" w:cs="楷体"/>
          <w:b w:val="0"/>
          <w:bCs/>
          <w:sz w:val="32"/>
          <w:szCs w:val="32"/>
        </w:rPr>
        <w:t>（二）基本原则</w:t>
      </w:r>
      <w:r>
        <w:rPr>
          <w:rFonts w:hint="eastAsia" w:ascii="楷体" w:hAnsi="楷体" w:eastAsia="楷体" w:cs="楷体"/>
          <w:b w:val="0"/>
          <w:bCs/>
          <w:sz w:val="32"/>
          <w:szCs w:val="32"/>
          <w:lang w:eastAsia="zh-CN"/>
        </w:rPr>
        <w:t>。</w:t>
      </w:r>
    </w:p>
    <w:p>
      <w:pPr>
        <w:keepNext w:val="0"/>
        <w:keepLines w:val="0"/>
        <w:pageBreakBefore w:val="0"/>
        <w:widowControl w:val="0"/>
        <w:tabs>
          <w:tab w:val="left" w:pos="4536"/>
        </w:tabs>
        <w:kinsoku/>
        <w:wordWrap/>
        <w:overflowPunct/>
        <w:topLinePunct/>
        <w:autoSpaceDE/>
        <w:autoSpaceDN/>
        <w:bidi w:val="0"/>
        <w:adjustRightInd/>
        <w:snapToGrid w:val="0"/>
        <w:spacing w:line="580" w:lineRule="exact"/>
        <w:ind w:left="0" w:leftChars="0" w:right="0" w:righ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统筹规划、有序推进。以满足高比例大规模新能源发展、提升电力安全保障水平、构建新型电力系统为导向，加强统筹规划，合理确定发展目标，稳妥有序推动新型储能规模化、高质量发展。</w:t>
      </w:r>
    </w:p>
    <w:p>
      <w:pPr>
        <w:keepNext w:val="0"/>
        <w:keepLines w:val="0"/>
        <w:pageBreakBefore w:val="0"/>
        <w:widowControl w:val="0"/>
        <w:tabs>
          <w:tab w:val="left" w:pos="4536"/>
        </w:tabs>
        <w:kinsoku/>
        <w:wordWrap/>
        <w:overflowPunct/>
        <w:topLinePunct/>
        <w:autoSpaceDE/>
        <w:autoSpaceDN/>
        <w:bidi w:val="0"/>
        <w:adjustRightInd/>
        <w:snapToGrid w:val="0"/>
        <w:spacing w:line="580" w:lineRule="exact"/>
        <w:ind w:left="0" w:leftChars="0" w:right="0" w:righ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市场主导、多元发展。</w:t>
      </w:r>
      <w:r>
        <w:rPr>
          <w:rFonts w:hint="eastAsia" w:ascii="仿宋" w:hAnsi="仿宋" w:eastAsia="仿宋" w:cs="仿宋"/>
          <w:b w:val="0"/>
          <w:bCs w:val="0"/>
          <w:sz w:val="32"/>
          <w:szCs w:val="32"/>
        </w:rPr>
        <w:t>发挥市场在资源配置中的</w:t>
      </w:r>
      <w:r>
        <w:rPr>
          <w:rFonts w:hint="eastAsia" w:ascii="仿宋" w:hAnsi="仿宋" w:eastAsia="仿宋" w:cs="仿宋"/>
          <w:b w:val="0"/>
          <w:bCs w:val="0"/>
          <w:sz w:val="32"/>
          <w:szCs w:val="32"/>
          <w:lang w:eastAsia="zh-CN"/>
        </w:rPr>
        <w:t>决定性</w:t>
      </w:r>
      <w:r>
        <w:rPr>
          <w:rFonts w:hint="eastAsia" w:ascii="仿宋" w:hAnsi="仿宋" w:eastAsia="仿宋" w:cs="仿宋"/>
          <w:b w:val="0"/>
          <w:bCs w:val="0"/>
          <w:sz w:val="32"/>
          <w:szCs w:val="32"/>
        </w:rPr>
        <w:t>作用，</w:t>
      </w:r>
      <w:r>
        <w:rPr>
          <w:rFonts w:hint="eastAsia" w:ascii="仿宋" w:hAnsi="仿宋" w:eastAsia="仿宋" w:cs="仿宋"/>
          <w:sz w:val="32"/>
          <w:szCs w:val="32"/>
        </w:rPr>
        <w:t>完善市场体系，引导社会资本参与储能投资建设。结合源、网、荷不同需求，探索新型储能多元化发展模式。</w:t>
      </w:r>
    </w:p>
    <w:p>
      <w:pPr>
        <w:keepNext w:val="0"/>
        <w:keepLines w:val="0"/>
        <w:pageBreakBefore w:val="0"/>
        <w:widowControl w:val="0"/>
        <w:tabs>
          <w:tab w:val="left" w:pos="4536"/>
        </w:tabs>
        <w:kinsoku/>
        <w:wordWrap/>
        <w:overflowPunct/>
        <w:topLinePunct/>
        <w:autoSpaceDE/>
        <w:autoSpaceDN/>
        <w:bidi w:val="0"/>
        <w:adjustRightInd/>
        <w:snapToGrid w:val="0"/>
        <w:spacing w:line="580" w:lineRule="exact"/>
        <w:ind w:left="0" w:leftChars="0" w:right="0" w:righ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创新引领、规模带动。推动低成本、大容量、高可靠性的新型储能技术创新示范。加快新型储能技术成果转化，提升新型储能在电力系统各环节的数字化、智能化应用水平，推动新型储能规模化发展。</w:t>
      </w:r>
    </w:p>
    <w:p>
      <w:pPr>
        <w:keepNext w:val="0"/>
        <w:keepLines w:val="0"/>
        <w:pageBreakBefore w:val="0"/>
        <w:widowControl w:val="0"/>
        <w:tabs>
          <w:tab w:val="left" w:pos="4536"/>
        </w:tabs>
        <w:kinsoku/>
        <w:wordWrap/>
        <w:overflowPunct/>
        <w:topLinePunct/>
        <w:autoSpaceDE/>
        <w:autoSpaceDN/>
        <w:bidi w:val="0"/>
        <w:adjustRightInd/>
        <w:snapToGrid w:val="0"/>
        <w:spacing w:line="580" w:lineRule="exact"/>
        <w:ind w:left="0" w:leftChars="0" w:right="0" w:righ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规范管理、安全可靠。完善优化新型储能项目管理机制，提升行业建设运行管理水平。强化安全管理，推动建立严格的安全技术标准及管理体系，严守安全底线。</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仿宋" w:hAnsi="仿宋" w:eastAsia="仿宋" w:cs="仿宋"/>
          <w:sz w:val="32"/>
          <w:szCs w:val="32"/>
        </w:rPr>
      </w:pPr>
      <w:r>
        <w:rPr>
          <w:rFonts w:hint="eastAsia" w:ascii="楷体" w:hAnsi="楷体" w:eastAsia="楷体" w:cs="楷体"/>
          <w:b w:val="0"/>
          <w:bCs/>
          <w:sz w:val="32"/>
          <w:szCs w:val="32"/>
        </w:rPr>
        <w:t>（三）总体目标</w:t>
      </w:r>
      <w:r>
        <w:rPr>
          <w:rFonts w:hint="eastAsia" w:ascii="楷体" w:hAnsi="楷体" w:eastAsia="楷体" w:cs="楷体"/>
          <w:b w:val="0"/>
          <w:bCs/>
          <w:sz w:val="32"/>
          <w:szCs w:val="32"/>
          <w:lang w:eastAsia="zh-CN"/>
        </w:rPr>
        <w:t>。</w:t>
      </w:r>
      <w:r>
        <w:rPr>
          <w:rFonts w:hint="eastAsia" w:ascii="仿宋" w:hAnsi="仿宋" w:eastAsia="仿宋" w:cs="仿宋"/>
          <w:sz w:val="32"/>
          <w:szCs w:val="32"/>
        </w:rPr>
        <w:t>到2025年，</w:t>
      </w:r>
      <w:r>
        <w:rPr>
          <w:rFonts w:hint="eastAsia" w:ascii="仿宋" w:hAnsi="仿宋" w:eastAsia="仿宋" w:cs="仿宋"/>
          <w:spacing w:val="-6"/>
          <w:sz w:val="32"/>
          <w:szCs w:val="32"/>
        </w:rPr>
        <w:t>实现新型储能从商业化初期向</w:t>
      </w:r>
      <w:r>
        <w:rPr>
          <w:rFonts w:hint="eastAsia" w:ascii="仿宋" w:hAnsi="仿宋" w:eastAsia="仿宋" w:cs="仿宋"/>
          <w:sz w:val="32"/>
          <w:szCs w:val="32"/>
        </w:rPr>
        <w:t>规模化发展转变。在源、网、荷侧应用场景建设一批多元化新型储能项目，</w:t>
      </w:r>
      <w:r>
        <w:rPr>
          <w:rFonts w:hint="eastAsia" w:ascii="仿宋" w:hAnsi="仿宋" w:eastAsia="仿宋" w:cs="仿宋"/>
          <w:sz w:val="32"/>
          <w:szCs w:val="32"/>
          <w:lang w:val="en-US" w:eastAsia="zh-Hans"/>
        </w:rPr>
        <w:t>规模布局与</w:t>
      </w:r>
      <w:r>
        <w:rPr>
          <w:rFonts w:hint="eastAsia" w:ascii="仿宋" w:hAnsi="仿宋" w:eastAsia="仿宋" w:cs="仿宋"/>
          <w:sz w:val="32"/>
          <w:szCs w:val="32"/>
        </w:rPr>
        <w:t>新型电力系统发展</w:t>
      </w:r>
      <w:r>
        <w:rPr>
          <w:rFonts w:hint="eastAsia" w:ascii="仿宋" w:hAnsi="仿宋" w:eastAsia="仿宋" w:cs="仿宋"/>
          <w:sz w:val="32"/>
          <w:szCs w:val="32"/>
          <w:lang w:val="en-US" w:eastAsia="zh-Hans"/>
        </w:rPr>
        <w:t>相</w:t>
      </w:r>
      <w:r>
        <w:rPr>
          <w:rFonts w:hint="eastAsia" w:ascii="仿宋" w:hAnsi="仿宋" w:eastAsia="仿宋" w:cs="仿宋"/>
          <w:sz w:val="32"/>
          <w:szCs w:val="32"/>
        </w:rPr>
        <w:t>适应。全面提升技术创新能力与应用水平，建立健全标准体系与管理机制，培育完善市场环境和商业模式。建成并网新型储能</w:t>
      </w:r>
      <w:r>
        <w:rPr>
          <w:rFonts w:hint="eastAsia" w:ascii="仿宋" w:hAnsi="仿宋" w:eastAsia="仿宋" w:cs="仿宋"/>
          <w:sz w:val="32"/>
          <w:szCs w:val="32"/>
          <w:lang w:eastAsia="zh-CN"/>
        </w:rPr>
        <w:t>装机</w:t>
      </w:r>
      <w:r>
        <w:rPr>
          <w:rFonts w:hint="eastAsia" w:ascii="仿宋" w:hAnsi="仿宋" w:eastAsia="仿宋" w:cs="仿宋"/>
          <w:sz w:val="32"/>
          <w:szCs w:val="32"/>
        </w:rPr>
        <w:t>规模达到</w:t>
      </w:r>
      <w:r>
        <w:rPr>
          <w:rFonts w:hint="eastAsia" w:ascii="仿宋" w:hAnsi="仿宋" w:eastAsia="仿宋" w:cs="仿宋"/>
          <w:sz w:val="32"/>
          <w:szCs w:val="32"/>
          <w:lang w:val="en-US" w:eastAsia="zh-CN"/>
        </w:rPr>
        <w:t>500</w:t>
      </w:r>
      <w:r>
        <w:rPr>
          <w:rFonts w:hint="eastAsia" w:ascii="仿宋" w:hAnsi="仿宋" w:eastAsia="仿宋" w:cs="仿宋"/>
          <w:sz w:val="32"/>
          <w:szCs w:val="32"/>
        </w:rPr>
        <w:t>万千瓦以上。</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黑体" w:hAnsi="黑体" w:eastAsia="黑体" w:cs="黑体"/>
          <w:b w:val="0"/>
          <w:bCs/>
          <w:sz w:val="32"/>
          <w:szCs w:val="32"/>
        </w:rPr>
      </w:pPr>
      <w:r>
        <w:rPr>
          <w:rFonts w:hint="eastAsia" w:ascii="黑体" w:hAnsi="黑体" w:eastAsia="黑体" w:cs="黑体"/>
          <w:b w:val="0"/>
          <w:bCs/>
          <w:sz w:val="32"/>
          <w:szCs w:val="32"/>
        </w:rPr>
        <w:t>二、大力发展电源侧新型储能</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（四）全面</w:t>
      </w:r>
      <w:r>
        <w:rPr>
          <w:rFonts w:hint="eastAsia" w:ascii="楷体" w:hAnsi="楷体" w:eastAsia="楷体" w:cs="楷体"/>
          <w:b w:val="0"/>
          <w:bCs/>
          <w:sz w:val="32"/>
          <w:szCs w:val="32"/>
          <w:lang w:val="en-US" w:eastAsia="zh-CN"/>
        </w:rPr>
        <w:t>推动</w:t>
      </w:r>
      <w:r>
        <w:rPr>
          <w:rFonts w:hint="eastAsia" w:ascii="楷体" w:hAnsi="楷体" w:eastAsia="楷体" w:cs="楷体"/>
          <w:b w:val="0"/>
          <w:bCs/>
          <w:sz w:val="32"/>
          <w:szCs w:val="32"/>
          <w:lang w:eastAsia="zh-CN"/>
        </w:rPr>
        <w:t>系统友好型新能源电站建设。</w:t>
      </w:r>
      <w:r>
        <w:rPr>
          <w:rFonts w:hint="eastAsia" w:ascii="仿宋" w:hAnsi="仿宋" w:eastAsia="仿宋" w:cs="仿宋"/>
          <w:sz w:val="32"/>
          <w:szCs w:val="32"/>
        </w:rPr>
        <w:t>根据电力系统运行需求，结合新能源资源开发，全面推进系统</w:t>
      </w:r>
      <w:r>
        <w:rPr>
          <w:rFonts w:hint="eastAsia" w:ascii="仿宋" w:hAnsi="仿宋" w:eastAsia="仿宋" w:cs="仿宋"/>
          <w:sz w:val="32"/>
          <w:szCs w:val="32"/>
          <w:lang w:eastAsia="zh-CN"/>
        </w:rPr>
        <w:t>友好</w:t>
      </w:r>
      <w:r>
        <w:rPr>
          <w:rFonts w:hint="eastAsia" w:ascii="仿宋" w:hAnsi="仿宋" w:eastAsia="仿宋" w:cs="仿宋"/>
          <w:sz w:val="32"/>
          <w:szCs w:val="32"/>
        </w:rPr>
        <w:t>型新能源电站发展模式，实现储能与新能源电源的深度融合。新建保障性并网新能源项目，配建储能规模原则上不低于新能源项目装机</w:t>
      </w:r>
      <w:r>
        <w:rPr>
          <w:rFonts w:hint="eastAsia" w:ascii="仿宋" w:hAnsi="仿宋" w:eastAsia="仿宋" w:cs="仿宋"/>
          <w:sz w:val="32"/>
          <w:szCs w:val="32"/>
          <w:lang w:val="en-US" w:eastAsia="zh-Hans"/>
        </w:rPr>
        <w:t>容</w:t>
      </w:r>
      <w:r>
        <w:rPr>
          <w:rFonts w:hint="eastAsia" w:ascii="仿宋" w:hAnsi="仿宋" w:eastAsia="仿宋" w:cs="仿宋"/>
          <w:sz w:val="32"/>
          <w:szCs w:val="32"/>
        </w:rPr>
        <w:t>量的15%，储能时长2小时以上；新建市场化并网新能源项目，配</w:t>
      </w:r>
      <w:r>
        <w:rPr>
          <w:rFonts w:hint="eastAsia" w:ascii="仿宋" w:hAnsi="仿宋" w:eastAsia="仿宋" w:cs="仿宋"/>
          <w:spacing w:val="6"/>
          <w:sz w:val="32"/>
          <w:szCs w:val="32"/>
        </w:rPr>
        <w:t>建储能规模原则上不低于新能源项目装机</w:t>
      </w:r>
      <w:r>
        <w:rPr>
          <w:rFonts w:hint="eastAsia" w:ascii="仿宋" w:hAnsi="仿宋" w:eastAsia="仿宋" w:cs="仿宋"/>
          <w:spacing w:val="6"/>
          <w:sz w:val="32"/>
          <w:szCs w:val="32"/>
          <w:lang w:val="en-US" w:eastAsia="zh-Hans"/>
        </w:rPr>
        <w:t>容</w:t>
      </w:r>
      <w:r>
        <w:rPr>
          <w:rFonts w:hint="eastAsia" w:ascii="仿宋" w:hAnsi="仿宋" w:eastAsia="仿宋" w:cs="仿宋"/>
          <w:spacing w:val="6"/>
          <w:sz w:val="32"/>
          <w:szCs w:val="32"/>
        </w:rPr>
        <w:t>量的15%，储能时长</w:t>
      </w:r>
      <w:r>
        <w:rPr>
          <w:rFonts w:hint="eastAsia" w:ascii="仿宋" w:hAnsi="仿宋" w:eastAsia="仿宋" w:cs="仿宋"/>
          <w:sz w:val="32"/>
          <w:szCs w:val="32"/>
        </w:rPr>
        <w:t>4小时以上；配建比例2022年后根据情况适时调整。支持鼓励已并网的新能源项目配套建设新型储能。</w:t>
      </w:r>
      <w:r>
        <w:rPr>
          <w:rFonts w:hint="eastAsia" w:ascii="楷体" w:hAnsi="楷体" w:eastAsia="楷体" w:cs="楷体"/>
          <w:b w:val="0"/>
          <w:bCs/>
          <w:sz w:val="32"/>
          <w:szCs w:val="32"/>
        </w:rPr>
        <w:t>（责任单位：自治区能源局，各盟行政公署、市人民政府）</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五</w:t>
      </w:r>
      <w:r>
        <w:rPr>
          <w:rFonts w:hint="eastAsia" w:ascii="楷体" w:hAnsi="楷体" w:eastAsia="楷体" w:cs="楷体"/>
          <w:b w:val="0"/>
          <w:bCs/>
          <w:sz w:val="32"/>
          <w:szCs w:val="32"/>
        </w:rPr>
        <w:t>）大力发展</w:t>
      </w:r>
      <w:r>
        <w:rPr>
          <w:rFonts w:hint="eastAsia" w:ascii="楷体" w:hAnsi="楷体" w:eastAsia="楷体" w:cs="楷体"/>
          <w:b w:val="0"/>
          <w:bCs/>
          <w:sz w:val="32"/>
          <w:szCs w:val="32"/>
          <w:lang w:eastAsia="zh-CN"/>
        </w:rPr>
        <w:t>多能互补式电站建设</w:t>
      </w:r>
      <w:r>
        <w:rPr>
          <w:rFonts w:hint="eastAsia" w:ascii="楷体" w:hAnsi="楷体" w:eastAsia="楷体" w:cs="楷体"/>
          <w:b w:val="0"/>
          <w:bCs/>
          <w:spacing w:val="-6"/>
          <w:sz w:val="32"/>
          <w:szCs w:val="32"/>
          <w:lang w:eastAsia="zh-CN"/>
        </w:rPr>
        <w:t>。</w:t>
      </w:r>
      <w:r>
        <w:rPr>
          <w:rFonts w:hint="eastAsia" w:ascii="仿宋" w:hAnsi="仿宋" w:eastAsia="仿宋" w:cs="仿宋"/>
          <w:spacing w:val="-6"/>
          <w:sz w:val="32"/>
          <w:szCs w:val="32"/>
          <w:lang w:eastAsia="zh-CN"/>
        </w:rPr>
        <w:t>依托现有和“十四五”</w:t>
      </w:r>
      <w:r>
        <w:rPr>
          <w:rFonts w:hint="eastAsia" w:ascii="仿宋" w:hAnsi="仿宋" w:eastAsia="仿宋" w:cs="仿宋"/>
          <w:sz w:val="32"/>
          <w:szCs w:val="32"/>
          <w:lang w:eastAsia="zh-CN"/>
        </w:rPr>
        <w:t>规划建设的电力外送通道，结合通道送电能力和受端地区调峰空间，通过“风光火储一体化”多能互补模式，</w:t>
      </w:r>
      <w:r>
        <w:rPr>
          <w:rFonts w:hint="eastAsia" w:ascii="仿宋" w:hAnsi="仿宋" w:eastAsia="仿宋" w:cs="仿宋"/>
          <w:sz w:val="32"/>
          <w:szCs w:val="32"/>
        </w:rPr>
        <w:t>支撑大规模新能源电源接入</w:t>
      </w:r>
      <w:r>
        <w:rPr>
          <w:rFonts w:hint="eastAsia" w:ascii="仿宋" w:hAnsi="仿宋" w:eastAsia="仿宋" w:cs="仿宋"/>
          <w:sz w:val="32"/>
          <w:szCs w:val="32"/>
          <w:lang w:eastAsia="zh-CN"/>
        </w:rPr>
        <w:t>，提升通道利用率和可再生能源电量占比</w:t>
      </w:r>
      <w:r>
        <w:rPr>
          <w:rFonts w:hint="eastAsia" w:ascii="仿宋" w:hAnsi="仿宋" w:eastAsia="仿宋" w:cs="仿宋"/>
          <w:sz w:val="32"/>
          <w:szCs w:val="32"/>
        </w:rPr>
        <w:t>。鼓励</w:t>
      </w:r>
      <w:r>
        <w:rPr>
          <w:rFonts w:hint="eastAsia" w:ascii="仿宋" w:hAnsi="仿宋" w:eastAsia="仿宋" w:cs="仿宋"/>
          <w:sz w:val="32"/>
          <w:szCs w:val="32"/>
          <w:lang w:eastAsia="zh-CN"/>
        </w:rPr>
        <w:t>公用、自备</w:t>
      </w:r>
      <w:r>
        <w:rPr>
          <w:rFonts w:hint="eastAsia" w:ascii="仿宋" w:hAnsi="仿宋" w:eastAsia="仿宋" w:cs="仿宋"/>
          <w:sz w:val="32"/>
          <w:szCs w:val="32"/>
        </w:rPr>
        <w:t>燃煤电厂</w:t>
      </w:r>
      <w:r>
        <w:rPr>
          <w:rFonts w:hint="eastAsia" w:ascii="仿宋" w:hAnsi="仿宋" w:eastAsia="仿宋" w:cs="仿宋"/>
          <w:sz w:val="32"/>
          <w:szCs w:val="32"/>
          <w:lang w:eastAsia="zh-CN"/>
        </w:rPr>
        <w:t>结合火电灵活性改造，</w:t>
      </w:r>
      <w:r>
        <w:rPr>
          <w:rFonts w:hint="eastAsia" w:ascii="仿宋" w:hAnsi="仿宋" w:eastAsia="仿宋" w:cs="仿宋"/>
          <w:sz w:val="32"/>
          <w:szCs w:val="32"/>
        </w:rPr>
        <w:t>配套建设新型储能设施，</w:t>
      </w:r>
      <w:r>
        <w:rPr>
          <w:rFonts w:hint="eastAsia" w:ascii="仿宋" w:hAnsi="仿宋" w:eastAsia="仿宋" w:cs="仿宋"/>
          <w:b w:val="0"/>
          <w:bCs w:val="0"/>
          <w:sz w:val="32"/>
          <w:szCs w:val="32"/>
          <w:lang w:eastAsia="zh-CN"/>
        </w:rPr>
        <w:t>增加煤电机组深度调峰和</w:t>
      </w:r>
      <w:r>
        <w:rPr>
          <w:rFonts w:hint="eastAsia" w:ascii="仿宋" w:hAnsi="仿宋" w:eastAsia="仿宋" w:cs="仿宋"/>
          <w:b w:val="0"/>
          <w:bCs w:val="0"/>
          <w:sz w:val="32"/>
          <w:szCs w:val="32"/>
        </w:rPr>
        <w:t>电力系统调频</w:t>
      </w:r>
      <w:r>
        <w:rPr>
          <w:rFonts w:hint="eastAsia" w:ascii="仿宋" w:hAnsi="仿宋" w:eastAsia="仿宋" w:cs="仿宋"/>
          <w:b w:val="0"/>
          <w:bCs w:val="0"/>
          <w:sz w:val="32"/>
          <w:szCs w:val="32"/>
          <w:lang w:eastAsia="zh-CN"/>
        </w:rPr>
        <w:t>能力，</w:t>
      </w:r>
      <w:r>
        <w:rPr>
          <w:rFonts w:hint="eastAsia" w:ascii="仿宋" w:hAnsi="仿宋" w:eastAsia="仿宋" w:cs="仿宋"/>
          <w:sz w:val="32"/>
          <w:szCs w:val="32"/>
          <w:lang w:eastAsia="zh-CN"/>
        </w:rPr>
        <w:t>促进</w:t>
      </w:r>
      <w:r>
        <w:rPr>
          <w:rFonts w:hint="eastAsia" w:ascii="仿宋" w:hAnsi="仿宋" w:eastAsia="仿宋" w:cs="仿宋"/>
          <w:sz w:val="32"/>
          <w:szCs w:val="32"/>
        </w:rPr>
        <w:t>燃煤电厂</w:t>
      </w:r>
      <w:r>
        <w:rPr>
          <w:rFonts w:hint="eastAsia" w:ascii="仿宋" w:hAnsi="仿宋" w:eastAsia="仿宋" w:cs="仿宋"/>
          <w:sz w:val="32"/>
          <w:szCs w:val="32"/>
          <w:lang w:eastAsia="zh-CN"/>
        </w:rPr>
        <w:t>按照多能互补模式与新能源电源耦合式发展</w:t>
      </w:r>
      <w:r>
        <w:rPr>
          <w:rFonts w:hint="eastAsia" w:ascii="仿宋" w:hAnsi="仿宋" w:eastAsia="仿宋" w:cs="仿宋"/>
          <w:sz w:val="32"/>
          <w:szCs w:val="32"/>
        </w:rPr>
        <w:t>。（</w:t>
      </w:r>
      <w:r>
        <w:rPr>
          <w:rFonts w:hint="eastAsia" w:ascii="楷体" w:hAnsi="楷体" w:eastAsia="楷体" w:cs="楷体"/>
          <w:b w:val="0"/>
          <w:bCs/>
          <w:sz w:val="32"/>
          <w:szCs w:val="32"/>
        </w:rPr>
        <w:t>责任单位：自治区能源局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各盟行政公署、市人民政府）</w:t>
      </w:r>
    </w:p>
    <w:p>
      <w:pPr>
        <w:keepNext w:val="0"/>
        <w:keepLines w:val="0"/>
        <w:pageBreakBefore w:val="0"/>
        <w:widowControl w:val="0"/>
        <w:tabs>
          <w:tab w:val="left" w:pos="4536"/>
        </w:tabs>
        <w:kinsoku/>
        <w:wordWrap/>
        <w:overflowPunct/>
        <w:topLinePunct/>
        <w:autoSpaceDE/>
        <w:autoSpaceDN/>
        <w:bidi w:val="0"/>
        <w:adjustRightInd/>
        <w:snapToGrid w:val="0"/>
        <w:spacing w:line="580" w:lineRule="exact"/>
        <w:ind w:left="0" w:leftChars="0" w:right="0" w:rightChars="0" w:firstLine="620" w:firstLineChars="200"/>
        <w:jc w:val="both"/>
        <w:textAlignment w:val="baseline"/>
        <w:rPr>
          <w:rFonts w:hint="eastAsia" w:ascii="黑体" w:hAnsi="黑体" w:eastAsia="黑体" w:cs="黑体"/>
          <w:spacing w:val="-5"/>
          <w:sz w:val="32"/>
          <w:szCs w:val="32"/>
        </w:rPr>
      </w:pPr>
      <w:r>
        <w:rPr>
          <w:rFonts w:hint="eastAsia" w:ascii="黑体" w:hAnsi="黑体" w:eastAsia="黑体" w:cs="黑体"/>
          <w:spacing w:val="-5"/>
          <w:sz w:val="32"/>
          <w:szCs w:val="32"/>
        </w:rPr>
        <w:t>三、有序发展电网侧新型储能</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六</w:t>
      </w: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有序</w:t>
      </w:r>
      <w:r>
        <w:rPr>
          <w:rFonts w:hint="eastAsia" w:ascii="楷体" w:hAnsi="楷体" w:eastAsia="楷体" w:cs="楷体"/>
          <w:b w:val="0"/>
          <w:bCs/>
          <w:sz w:val="32"/>
          <w:szCs w:val="32"/>
        </w:rPr>
        <w:t>发展</w:t>
      </w:r>
      <w:r>
        <w:rPr>
          <w:rFonts w:hint="eastAsia" w:ascii="楷体" w:hAnsi="楷体" w:eastAsia="楷体" w:cs="楷体"/>
          <w:b w:val="0"/>
          <w:bCs/>
          <w:sz w:val="32"/>
          <w:szCs w:val="32"/>
          <w:lang w:eastAsia="zh-CN"/>
        </w:rPr>
        <w:t>大</w:t>
      </w:r>
      <w:r>
        <w:rPr>
          <w:rFonts w:hint="eastAsia" w:ascii="楷体" w:hAnsi="楷体" w:eastAsia="楷体" w:cs="楷体"/>
          <w:b w:val="0"/>
          <w:bCs/>
          <w:sz w:val="32"/>
          <w:szCs w:val="32"/>
        </w:rPr>
        <w:t>电网储能</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在调峰调频困难或电压支撑能力不足的关键电网节点合理布局新型储能，提高电网安全稳定运行水平。</w:t>
      </w:r>
      <w:r>
        <w:rPr>
          <w:rFonts w:hint="eastAsia" w:ascii="仿宋" w:hAnsi="仿宋" w:eastAsia="仿宋" w:cs="仿宋"/>
          <w:sz w:val="32"/>
          <w:szCs w:val="32"/>
        </w:rPr>
        <w:t>在用电负荷增速较快、</w:t>
      </w:r>
      <w:r>
        <w:rPr>
          <w:rFonts w:hint="eastAsia" w:ascii="仿宋" w:hAnsi="仿宋" w:eastAsia="仿宋" w:cs="仿宋"/>
          <w:sz w:val="32"/>
          <w:szCs w:val="32"/>
          <w:lang w:eastAsia="zh-CN"/>
        </w:rPr>
        <w:t>输电走廊或变电站站址资源紧张地区</w:t>
      </w:r>
      <w:r>
        <w:rPr>
          <w:rFonts w:hint="eastAsia" w:ascii="仿宋" w:hAnsi="仿宋" w:eastAsia="仿宋" w:cs="仿宋"/>
          <w:sz w:val="32"/>
          <w:szCs w:val="32"/>
        </w:rPr>
        <w:t>，</w:t>
      </w:r>
      <w:r>
        <w:rPr>
          <w:rFonts w:hint="eastAsia" w:ascii="仿宋" w:hAnsi="仿宋" w:eastAsia="仿宋" w:cs="仿宋"/>
          <w:sz w:val="32"/>
          <w:szCs w:val="32"/>
          <w:lang w:eastAsia="zh-CN"/>
        </w:rPr>
        <w:t>合理布局</w:t>
      </w:r>
      <w:r>
        <w:rPr>
          <w:rFonts w:hint="eastAsia" w:ascii="仿宋" w:hAnsi="仿宋" w:eastAsia="仿宋" w:cs="仿宋"/>
          <w:sz w:val="32"/>
          <w:szCs w:val="32"/>
        </w:rPr>
        <w:t>新型储能，减缓输变电工程投资。</w:t>
      </w:r>
      <w:r>
        <w:rPr>
          <w:rFonts w:hint="eastAsia" w:ascii="仿宋" w:hAnsi="仿宋" w:eastAsia="仿宋" w:cs="仿宋"/>
          <w:sz w:val="32"/>
          <w:szCs w:val="32"/>
          <w:lang w:eastAsia="zh-CN"/>
        </w:rPr>
        <w:t>鼓励</w:t>
      </w:r>
      <w:r>
        <w:rPr>
          <w:rFonts w:hint="eastAsia" w:ascii="仿宋" w:hAnsi="仿宋" w:eastAsia="仿宋" w:cs="仿宋"/>
          <w:sz w:val="32"/>
          <w:szCs w:val="32"/>
        </w:rPr>
        <w:t>结合老旧、退役变电站建设新型储能试点，发挥存量输变电设施价值。</w:t>
      </w:r>
      <w:r>
        <w:rPr>
          <w:rFonts w:hint="eastAsia" w:ascii="楷体" w:hAnsi="楷体" w:eastAsia="楷体" w:cs="楷体"/>
          <w:b w:val="0"/>
          <w:bCs/>
          <w:sz w:val="32"/>
          <w:szCs w:val="32"/>
        </w:rPr>
        <w:t>（责任单位：内蒙古电力〔集团〕有限责任公司、国网内蒙古东部电力有限公司</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自治区能源局）</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lang w:eastAsia="zh-CN"/>
        </w:rPr>
      </w:pP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七</w:t>
      </w: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因地制宜</w:t>
      </w:r>
      <w:r>
        <w:rPr>
          <w:rFonts w:hint="eastAsia" w:ascii="楷体" w:hAnsi="楷体" w:eastAsia="楷体" w:cs="楷体"/>
          <w:b w:val="0"/>
          <w:bCs/>
          <w:sz w:val="32"/>
          <w:szCs w:val="32"/>
        </w:rPr>
        <w:t>发展末端电网储能</w:t>
      </w:r>
      <w:r>
        <w:rPr>
          <w:rFonts w:hint="eastAsia" w:ascii="楷体" w:hAnsi="楷体" w:eastAsia="楷体" w:cs="楷体"/>
          <w:b w:val="0"/>
          <w:bCs/>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供电能力不足的</w:t>
      </w:r>
      <w:r>
        <w:rPr>
          <w:rFonts w:hint="eastAsia" w:ascii="仿宋" w:hAnsi="仿宋" w:eastAsia="仿宋" w:cs="仿宋"/>
          <w:sz w:val="32"/>
          <w:szCs w:val="32"/>
        </w:rPr>
        <w:t>电网末端和偏远地区，</w:t>
      </w:r>
      <w:r>
        <w:rPr>
          <w:rFonts w:hint="eastAsia" w:ascii="仿宋" w:hAnsi="仿宋" w:eastAsia="仿宋" w:cs="仿宋"/>
          <w:sz w:val="32"/>
          <w:szCs w:val="32"/>
          <w:lang w:eastAsia="zh-CN"/>
        </w:rPr>
        <w:t>合理</w:t>
      </w:r>
      <w:r>
        <w:rPr>
          <w:rFonts w:hint="eastAsia" w:ascii="仿宋" w:hAnsi="仿宋" w:eastAsia="仿宋" w:cs="仿宋"/>
          <w:sz w:val="32"/>
          <w:szCs w:val="32"/>
        </w:rPr>
        <w:t>布局建设新型储能，</w:t>
      </w:r>
      <w:r>
        <w:rPr>
          <w:rFonts w:hint="eastAsia" w:ascii="仿宋" w:hAnsi="仿宋" w:eastAsia="仿宋" w:cs="仿宋"/>
          <w:sz w:val="32"/>
          <w:szCs w:val="32"/>
          <w:lang w:eastAsia="zh-CN"/>
        </w:rPr>
        <w:t>支撑</w:t>
      </w:r>
      <w:r>
        <w:rPr>
          <w:rFonts w:hint="eastAsia" w:ascii="仿宋" w:hAnsi="仿宋" w:eastAsia="仿宋" w:cs="仿宋"/>
          <w:sz w:val="32"/>
          <w:szCs w:val="32"/>
        </w:rPr>
        <w:t>分布式新能源</w:t>
      </w:r>
      <w:r>
        <w:rPr>
          <w:rFonts w:hint="eastAsia" w:ascii="仿宋" w:hAnsi="仿宋" w:eastAsia="仿宋" w:cs="仿宋"/>
          <w:sz w:val="32"/>
          <w:szCs w:val="32"/>
          <w:lang w:eastAsia="zh-CN"/>
        </w:rPr>
        <w:t>开发利用</w:t>
      </w:r>
      <w:r>
        <w:rPr>
          <w:rFonts w:hint="eastAsia" w:ascii="仿宋" w:hAnsi="仿宋" w:eastAsia="仿宋" w:cs="仿宋"/>
          <w:sz w:val="32"/>
          <w:szCs w:val="32"/>
        </w:rPr>
        <w:t>，共同保障末端电网和偏远地区用电需求，解决输电阻塞、长距离输变电工程供电不经济等问题，提升电网供电能力</w:t>
      </w:r>
      <w:r>
        <w:rPr>
          <w:rFonts w:hint="eastAsia" w:ascii="仿宋" w:hAnsi="仿宋" w:eastAsia="仿宋" w:cs="仿宋"/>
          <w:sz w:val="32"/>
          <w:szCs w:val="32"/>
          <w:lang w:eastAsia="zh-CN"/>
        </w:rPr>
        <w:t>，提高</w:t>
      </w:r>
      <w:r>
        <w:rPr>
          <w:rFonts w:hint="eastAsia" w:ascii="仿宋" w:hAnsi="仿宋" w:eastAsia="仿宋" w:cs="仿宋"/>
          <w:spacing w:val="-6"/>
          <w:sz w:val="32"/>
          <w:szCs w:val="32"/>
          <w:lang w:eastAsia="zh-CN"/>
        </w:rPr>
        <w:t>供电可靠性</w:t>
      </w:r>
      <w:r>
        <w:rPr>
          <w:rFonts w:hint="eastAsia" w:ascii="仿宋" w:hAnsi="仿宋" w:eastAsia="仿宋" w:cs="仿宋"/>
          <w:spacing w:val="-6"/>
          <w:sz w:val="32"/>
          <w:szCs w:val="32"/>
        </w:rPr>
        <w:t>。</w:t>
      </w:r>
      <w:r>
        <w:rPr>
          <w:rFonts w:hint="eastAsia" w:ascii="楷体" w:hAnsi="楷体" w:eastAsia="楷体" w:cs="楷体"/>
          <w:b w:val="0"/>
          <w:bCs/>
          <w:spacing w:val="-6"/>
          <w:sz w:val="32"/>
          <w:szCs w:val="32"/>
          <w:lang w:eastAsia="zh-CN"/>
        </w:rPr>
        <w:t>（责任单位：内蒙古电力〔集团〕有限责任公司、</w:t>
      </w:r>
      <w:r>
        <w:rPr>
          <w:rFonts w:hint="eastAsia" w:ascii="楷体" w:hAnsi="楷体" w:eastAsia="楷体" w:cs="楷体"/>
          <w:b w:val="0"/>
          <w:bCs/>
          <w:sz w:val="32"/>
          <w:szCs w:val="32"/>
          <w:lang w:eastAsia="zh-CN"/>
        </w:rPr>
        <w:t>国网内蒙古东部电力有限公司，各盟行政公署、市人民政府）</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四、鼓励发展用户侧新型储能</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（八）推动建设重要负荷用户储能。</w:t>
      </w:r>
      <w:r>
        <w:rPr>
          <w:rFonts w:hint="eastAsia" w:ascii="仿宋" w:hAnsi="仿宋" w:eastAsia="仿宋" w:cs="仿宋"/>
          <w:spacing w:val="-6"/>
          <w:sz w:val="32"/>
          <w:szCs w:val="32"/>
        </w:rPr>
        <w:t>鼓励工业、通信、金融、</w:t>
      </w:r>
      <w:r>
        <w:rPr>
          <w:rFonts w:hint="eastAsia" w:ascii="仿宋" w:hAnsi="仿宋" w:eastAsia="仿宋" w:cs="仿宋"/>
          <w:sz w:val="32"/>
          <w:szCs w:val="32"/>
        </w:rPr>
        <w:t>互联网等供电可靠性要求高的用户侧领域，率先通过分布式能源配置新型储能，提升用户电力自平衡能力，提高对大电网的稳定性支撑。</w:t>
      </w:r>
      <w:r>
        <w:rPr>
          <w:rFonts w:hint="eastAsia" w:ascii="仿宋" w:hAnsi="仿宋" w:eastAsia="仿宋" w:cs="仿宋"/>
          <w:sz w:val="32"/>
          <w:szCs w:val="32"/>
          <w:lang w:val="en-US" w:eastAsia="zh-Hans"/>
        </w:rPr>
        <w:t>支持</w:t>
      </w:r>
      <w:r>
        <w:rPr>
          <w:rFonts w:hint="eastAsia" w:ascii="仿宋" w:hAnsi="仿宋" w:eastAsia="仿宋" w:cs="仿宋"/>
          <w:sz w:val="32"/>
          <w:szCs w:val="32"/>
        </w:rPr>
        <w:t>重要负荷用户根据用电需求自行建设一批移动式或固定式新型储能，提升应急供电保障能力。</w:t>
      </w:r>
      <w:r>
        <w:rPr>
          <w:rFonts w:hint="eastAsia" w:ascii="楷体" w:hAnsi="楷体" w:eastAsia="楷体" w:cs="楷体"/>
          <w:b w:val="0"/>
          <w:bCs/>
          <w:sz w:val="32"/>
          <w:szCs w:val="32"/>
          <w:lang w:eastAsia="zh-CN"/>
        </w:rPr>
        <w:t>（责任单位：各盟行政公署、市人民政府</w:t>
      </w:r>
      <w:r>
        <w:rPr>
          <w:rFonts w:hint="eastAsia" w:ascii="楷体" w:hAnsi="楷体" w:eastAsia="楷体" w:cs="楷体"/>
          <w:b w:val="0"/>
          <w:bCs/>
          <w:sz w:val="32"/>
          <w:szCs w:val="32"/>
          <w:lang w:eastAsia="zh-Hans"/>
        </w:rPr>
        <w:t>，</w:t>
      </w:r>
      <w:r>
        <w:rPr>
          <w:rFonts w:hint="eastAsia" w:ascii="楷体" w:hAnsi="楷体" w:eastAsia="楷体" w:cs="楷体"/>
          <w:b w:val="0"/>
          <w:bCs/>
          <w:sz w:val="32"/>
          <w:szCs w:val="32"/>
          <w:lang w:val="en-US" w:eastAsia="zh-Hans"/>
        </w:rPr>
        <w:t>自治区各有关单位</w:t>
      </w:r>
      <w:r>
        <w:rPr>
          <w:rFonts w:hint="eastAsia" w:ascii="楷体" w:hAnsi="楷体" w:eastAsia="楷体" w:cs="楷体"/>
          <w:b w:val="0"/>
          <w:bCs/>
          <w:sz w:val="32"/>
          <w:szCs w:val="32"/>
          <w:lang w:eastAsia="zh-CN"/>
        </w:rPr>
        <w:t>）</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（九）探索新型储能聚合应用场景。</w:t>
      </w:r>
      <w:r>
        <w:rPr>
          <w:rFonts w:hint="eastAsia" w:ascii="仿宋" w:hAnsi="仿宋" w:eastAsia="仿宋" w:cs="仿宋"/>
          <w:sz w:val="32"/>
          <w:szCs w:val="32"/>
        </w:rPr>
        <w:t>依托智能</w:t>
      </w:r>
      <w:r>
        <w:rPr>
          <w:rFonts w:hint="eastAsia" w:ascii="仿宋" w:hAnsi="仿宋" w:eastAsia="仿宋" w:cs="仿宋"/>
          <w:spacing w:val="-6"/>
          <w:sz w:val="32"/>
          <w:szCs w:val="32"/>
        </w:rPr>
        <w:t>充电基础设施，</w:t>
      </w:r>
      <w:r>
        <w:rPr>
          <w:rFonts w:hint="eastAsia" w:ascii="仿宋" w:hAnsi="仿宋" w:eastAsia="仿宋" w:cs="仿宋"/>
          <w:sz w:val="32"/>
          <w:szCs w:val="32"/>
        </w:rPr>
        <w:t>探索开展有序充电、调峰调频等电动汽车与电网互动新技术</w:t>
      </w:r>
      <w:r>
        <w:rPr>
          <w:rFonts w:hint="eastAsia" w:ascii="仿宋" w:hAnsi="仿宋" w:eastAsia="仿宋" w:cs="仿宋"/>
          <w:spacing w:val="-6"/>
          <w:sz w:val="32"/>
          <w:szCs w:val="32"/>
        </w:rPr>
        <w:t>（V2G）应用，试点示范“风光储充”应用项目。</w:t>
      </w:r>
      <w:r>
        <w:rPr>
          <w:rFonts w:hint="eastAsia" w:ascii="仿宋" w:hAnsi="仿宋" w:eastAsia="仿宋" w:cs="仿宋"/>
          <w:b w:val="0"/>
          <w:bCs w:val="0"/>
          <w:spacing w:val="-6"/>
          <w:sz w:val="32"/>
          <w:szCs w:val="32"/>
        </w:rPr>
        <w:t>聚合利用不间断</w:t>
      </w:r>
      <w:r>
        <w:rPr>
          <w:rFonts w:hint="eastAsia" w:ascii="仿宋" w:hAnsi="仿宋" w:eastAsia="仿宋" w:cs="仿宋"/>
          <w:b w:val="0"/>
          <w:bCs w:val="0"/>
          <w:sz w:val="32"/>
          <w:szCs w:val="32"/>
        </w:rPr>
        <w:t>电源、电动汽车、用户侧储能等分散式储能设施，</w:t>
      </w:r>
      <w:r>
        <w:rPr>
          <w:rFonts w:hint="eastAsia" w:ascii="仿宋" w:hAnsi="仿宋" w:eastAsia="仿宋" w:cs="仿宋"/>
          <w:sz w:val="32"/>
          <w:szCs w:val="32"/>
        </w:rPr>
        <w:t>围绕微电网、大数据中心、5G基站等新型终端用户，探索智慧能源、虚拟电厂等多种新型储能应用场景与商业模式。</w:t>
      </w:r>
      <w:r>
        <w:rPr>
          <w:rFonts w:hint="eastAsia" w:ascii="楷体" w:hAnsi="楷体" w:eastAsia="楷体" w:cs="楷体"/>
          <w:b w:val="0"/>
          <w:bCs/>
          <w:sz w:val="32"/>
          <w:szCs w:val="32"/>
          <w:lang w:eastAsia="zh-CN"/>
        </w:rPr>
        <w:t>（责任单位：各盟行政公署、市人民政府，自治区能源局）</w:t>
      </w:r>
    </w:p>
    <w:p>
      <w:pPr>
        <w:keepNext w:val="0"/>
        <w:keepLines w:val="0"/>
        <w:pageBreakBefore w:val="0"/>
        <w:widowControl w:val="0"/>
        <w:tabs>
          <w:tab w:val="left" w:pos="4536"/>
        </w:tabs>
        <w:kinsoku/>
        <w:wordWrap/>
        <w:overflowPunct/>
        <w:topLinePunct/>
        <w:autoSpaceDE/>
        <w:autoSpaceDN/>
        <w:bidi w:val="0"/>
        <w:adjustRightInd/>
        <w:spacing w:line="580" w:lineRule="exact"/>
        <w:ind w:left="0" w:leftChars="0" w:right="0" w:rightChars="0" w:firstLine="620" w:firstLineChars="200"/>
        <w:jc w:val="both"/>
        <w:rPr>
          <w:rFonts w:hint="eastAsia" w:ascii="黑体" w:hAnsi="黑体" w:eastAsia="黑体" w:cs="黑体"/>
          <w:b w:val="0"/>
          <w:bCs w:val="0"/>
          <w:spacing w:val="-5"/>
          <w:sz w:val="32"/>
          <w:szCs w:val="32"/>
          <w:lang w:eastAsia="zh-CN"/>
        </w:rPr>
      </w:pPr>
      <w:r>
        <w:rPr>
          <w:rFonts w:hint="eastAsia" w:ascii="黑体" w:hAnsi="黑体" w:eastAsia="黑体" w:cs="黑体"/>
          <w:b w:val="0"/>
          <w:bCs w:val="0"/>
          <w:spacing w:val="-5"/>
          <w:sz w:val="32"/>
          <w:szCs w:val="32"/>
        </w:rPr>
        <w:t>五、</w:t>
      </w:r>
      <w:r>
        <w:rPr>
          <w:rFonts w:hint="eastAsia" w:ascii="黑体" w:hAnsi="黑体" w:eastAsia="黑体" w:cs="黑体"/>
          <w:b w:val="0"/>
          <w:bCs w:val="0"/>
          <w:spacing w:val="-5"/>
          <w:sz w:val="32"/>
          <w:szCs w:val="32"/>
          <w:lang w:eastAsia="zh-CN"/>
        </w:rPr>
        <w:t>积极</w:t>
      </w:r>
      <w:r>
        <w:rPr>
          <w:rFonts w:hint="eastAsia" w:ascii="黑体" w:hAnsi="黑体" w:eastAsia="黑体" w:cs="黑体"/>
          <w:b w:val="0"/>
          <w:bCs w:val="0"/>
          <w:spacing w:val="-5"/>
          <w:sz w:val="32"/>
          <w:szCs w:val="32"/>
        </w:rPr>
        <w:t>发展</w:t>
      </w:r>
      <w:r>
        <w:rPr>
          <w:rFonts w:hint="eastAsia" w:ascii="黑体" w:hAnsi="黑体" w:eastAsia="黑体" w:cs="黑体"/>
          <w:b w:val="0"/>
          <w:bCs w:val="0"/>
          <w:spacing w:val="-5"/>
          <w:sz w:val="32"/>
          <w:szCs w:val="32"/>
          <w:lang w:eastAsia="zh-CN"/>
        </w:rPr>
        <w:t>多元化</w:t>
      </w:r>
      <w:r>
        <w:rPr>
          <w:rFonts w:hint="eastAsia" w:ascii="黑体" w:hAnsi="黑体" w:eastAsia="黑体" w:cs="黑体"/>
          <w:b w:val="0"/>
          <w:bCs w:val="0"/>
          <w:spacing w:val="-5"/>
          <w:sz w:val="32"/>
          <w:szCs w:val="32"/>
        </w:rPr>
        <w:t>新型储能</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bCs/>
          <w:sz w:val="32"/>
          <w:szCs w:val="32"/>
        </w:rPr>
      </w:pPr>
      <w:r>
        <w:rPr>
          <w:rFonts w:hint="eastAsia" w:ascii="楷体" w:hAnsi="楷体" w:eastAsia="楷体" w:cs="楷体"/>
          <w:b w:val="0"/>
          <w:bCs/>
          <w:sz w:val="32"/>
          <w:szCs w:val="32"/>
          <w:lang w:eastAsia="zh-CN"/>
        </w:rPr>
        <w:t>（十）</w:t>
      </w:r>
      <w:r>
        <w:rPr>
          <w:rFonts w:hint="eastAsia" w:ascii="楷体" w:hAnsi="楷体" w:eastAsia="楷体" w:cs="楷体"/>
          <w:b w:val="0"/>
          <w:bCs/>
          <w:spacing w:val="-6"/>
          <w:sz w:val="32"/>
          <w:szCs w:val="32"/>
          <w:lang w:val="en-US" w:eastAsia="zh-CN"/>
        </w:rPr>
        <w:t>推进</w:t>
      </w:r>
      <w:r>
        <w:rPr>
          <w:rFonts w:hint="eastAsia" w:ascii="楷体" w:hAnsi="楷体" w:eastAsia="楷体" w:cs="楷体"/>
          <w:b w:val="0"/>
          <w:bCs/>
          <w:spacing w:val="-6"/>
          <w:sz w:val="32"/>
          <w:szCs w:val="32"/>
          <w:lang w:eastAsia="zh-CN"/>
        </w:rPr>
        <w:t>源网荷储一体化发展</w:t>
      </w:r>
      <w:r>
        <w:rPr>
          <w:rFonts w:hint="eastAsia" w:ascii="楷体" w:hAnsi="楷体" w:eastAsia="楷体" w:cs="楷体"/>
          <w:b w:val="0"/>
          <w:bCs/>
          <w:spacing w:val="-6"/>
          <w:sz w:val="32"/>
          <w:szCs w:val="32"/>
          <w:lang w:val="en-US" w:eastAsia="zh-Hans"/>
        </w:rPr>
        <w:t>模式</w:t>
      </w:r>
      <w:r>
        <w:rPr>
          <w:rFonts w:hint="eastAsia" w:ascii="楷体" w:hAnsi="楷体" w:eastAsia="楷体" w:cs="楷体"/>
          <w:b w:val="0"/>
          <w:bCs/>
          <w:spacing w:val="-6"/>
          <w:sz w:val="32"/>
          <w:szCs w:val="32"/>
          <w:lang w:val="en-US" w:eastAsia="zh-CN"/>
        </w:rPr>
        <w:t>。</w:t>
      </w:r>
      <w:r>
        <w:rPr>
          <w:rFonts w:hint="eastAsia" w:ascii="仿宋" w:hAnsi="仿宋" w:eastAsia="仿宋" w:cs="仿宋"/>
          <w:spacing w:val="-6"/>
          <w:sz w:val="32"/>
          <w:szCs w:val="32"/>
        </w:rPr>
        <w:t>加快推进乌兰察布“源</w:t>
      </w:r>
      <w:r>
        <w:rPr>
          <w:rFonts w:hint="eastAsia" w:ascii="仿宋" w:hAnsi="仿宋" w:eastAsia="仿宋" w:cs="仿宋"/>
          <w:sz w:val="32"/>
          <w:szCs w:val="32"/>
        </w:rPr>
        <w:t>网荷储一体化”、通辽“风光火储制研一体化”项目建设，总结</w:t>
      </w:r>
      <w:r>
        <w:rPr>
          <w:rFonts w:hint="eastAsia" w:ascii="仿宋" w:hAnsi="仿宋" w:eastAsia="仿宋" w:cs="仿宋"/>
          <w:spacing w:val="-6"/>
          <w:sz w:val="32"/>
          <w:szCs w:val="32"/>
          <w:lang w:val="en-US" w:eastAsia="zh-Hans"/>
        </w:rPr>
        <w:t>推广成功</w:t>
      </w:r>
      <w:r>
        <w:rPr>
          <w:rFonts w:hint="eastAsia" w:ascii="仿宋" w:hAnsi="仿宋" w:eastAsia="仿宋" w:cs="仿宋"/>
          <w:spacing w:val="-6"/>
          <w:sz w:val="32"/>
          <w:szCs w:val="32"/>
        </w:rPr>
        <w:t>经验，完善新型储能设计、建设、验收、检测、运行、</w:t>
      </w:r>
      <w:r>
        <w:rPr>
          <w:rFonts w:hint="eastAsia" w:ascii="仿宋" w:hAnsi="仿宋" w:eastAsia="仿宋" w:cs="仿宋"/>
          <w:sz w:val="32"/>
          <w:szCs w:val="32"/>
        </w:rPr>
        <w:t>维护等相关标准。在用电负荷集中、新能源资源条件较好的地区，依托电力“源网荷储一体化”发展模式，推动新型储能规模化发展和商业化应用。结合负荷灵活调节能力，合理优化新型储能建</w:t>
      </w:r>
      <w:r>
        <w:rPr>
          <w:rFonts w:hint="eastAsia" w:ascii="仿宋" w:hAnsi="仿宋" w:eastAsia="仿宋" w:cs="仿宋"/>
          <w:spacing w:val="-6"/>
          <w:sz w:val="32"/>
          <w:szCs w:val="32"/>
        </w:rPr>
        <w:t>设规模。</w:t>
      </w:r>
      <w:r>
        <w:rPr>
          <w:rFonts w:hint="eastAsia" w:ascii="楷体" w:hAnsi="楷体" w:eastAsia="楷体" w:cs="楷体"/>
          <w:b w:val="0"/>
          <w:bCs/>
          <w:spacing w:val="-6"/>
          <w:sz w:val="32"/>
          <w:szCs w:val="32"/>
        </w:rPr>
        <w:t>（责任单位：各盟行政公署、市人民政府，自治区能源局）</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仿宋" w:hAnsi="仿宋" w:eastAsia="仿宋" w:cs="仿宋"/>
          <w:b w:val="0"/>
          <w:bCs/>
          <w:sz w:val="32"/>
          <w:szCs w:val="32"/>
          <w:lang w:eastAsia="zh-CN"/>
        </w:rPr>
      </w:pPr>
      <w:r>
        <w:rPr>
          <w:rFonts w:hint="eastAsia" w:ascii="楷体" w:hAnsi="楷体" w:eastAsia="楷体" w:cs="楷体"/>
          <w:b w:val="0"/>
          <w:bCs/>
          <w:sz w:val="32"/>
          <w:szCs w:val="32"/>
        </w:rPr>
        <w:t>（十</w:t>
      </w:r>
      <w:r>
        <w:rPr>
          <w:rFonts w:hint="eastAsia" w:ascii="楷体" w:hAnsi="楷体" w:eastAsia="楷体" w:cs="楷体"/>
          <w:b w:val="0"/>
          <w:bCs/>
          <w:sz w:val="32"/>
          <w:szCs w:val="32"/>
          <w:lang w:eastAsia="zh-CN"/>
        </w:rPr>
        <w:t>一</w:t>
      </w: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探索推广独立共享储能模式</w:t>
      </w:r>
      <w:r>
        <w:rPr>
          <w:rFonts w:hint="eastAsia" w:ascii="楷体" w:hAnsi="楷体" w:eastAsia="楷体" w:cs="楷体"/>
          <w:b w:val="0"/>
          <w:bCs/>
          <w:spacing w:val="-6"/>
          <w:sz w:val="32"/>
          <w:szCs w:val="32"/>
          <w:lang w:eastAsia="zh-CN"/>
        </w:rPr>
        <w:t>。</w:t>
      </w:r>
      <w:r>
        <w:rPr>
          <w:rFonts w:hint="eastAsia" w:ascii="仿宋" w:hAnsi="仿宋" w:eastAsia="仿宋" w:cs="仿宋"/>
          <w:b w:val="0"/>
          <w:bCs w:val="0"/>
          <w:spacing w:val="-6"/>
          <w:sz w:val="32"/>
          <w:szCs w:val="32"/>
        </w:rPr>
        <w:t>在新能源资源较</w:t>
      </w:r>
      <w:r>
        <w:rPr>
          <w:rFonts w:hint="eastAsia" w:ascii="仿宋" w:hAnsi="仿宋" w:eastAsia="仿宋" w:cs="仿宋"/>
          <w:b w:val="0"/>
          <w:bCs w:val="0"/>
          <w:spacing w:val="-6"/>
          <w:sz w:val="32"/>
          <w:szCs w:val="32"/>
          <w:lang w:eastAsia="zh-CN"/>
        </w:rPr>
        <w:t>丰富</w:t>
      </w:r>
      <w:r>
        <w:rPr>
          <w:rFonts w:hint="eastAsia" w:ascii="仿宋" w:hAnsi="仿宋" w:eastAsia="仿宋" w:cs="仿宋"/>
          <w:b w:val="0"/>
          <w:bCs w:val="0"/>
          <w:spacing w:val="-6"/>
          <w:sz w:val="32"/>
          <w:szCs w:val="32"/>
        </w:rPr>
        <w:t>、</w:t>
      </w:r>
      <w:r>
        <w:rPr>
          <w:rFonts w:hint="eastAsia" w:ascii="仿宋" w:hAnsi="仿宋" w:eastAsia="仿宋" w:cs="仿宋"/>
          <w:sz w:val="32"/>
          <w:szCs w:val="32"/>
        </w:rPr>
        <w:t>系统消纳能力较差或电网调峰需求较为集中的地区，因地制宜</w:t>
      </w:r>
      <w:r>
        <w:rPr>
          <w:rFonts w:hint="eastAsia" w:ascii="仿宋" w:hAnsi="仿宋" w:eastAsia="仿宋" w:cs="仿宋"/>
          <w:sz w:val="32"/>
          <w:szCs w:val="32"/>
          <w:lang w:eastAsia="zh-CN"/>
        </w:rPr>
        <w:t>布局建设</w:t>
      </w:r>
      <w:r>
        <w:rPr>
          <w:rFonts w:hint="eastAsia" w:ascii="仿宋" w:hAnsi="仿宋" w:eastAsia="仿宋" w:cs="仿宋"/>
          <w:sz w:val="32"/>
          <w:szCs w:val="32"/>
        </w:rPr>
        <w:t>独立共享式新型储能电站。</w:t>
      </w:r>
      <w:r>
        <w:rPr>
          <w:rFonts w:hint="eastAsia" w:ascii="仿宋" w:hAnsi="仿宋" w:eastAsia="仿宋" w:cs="仿宋"/>
          <w:sz w:val="32"/>
          <w:szCs w:val="32"/>
          <w:lang w:eastAsia="zh-CN"/>
        </w:rPr>
        <w:t>鼓励</w:t>
      </w:r>
      <w:r>
        <w:rPr>
          <w:rFonts w:hint="eastAsia" w:ascii="仿宋" w:hAnsi="仿宋" w:eastAsia="仿宋" w:cs="仿宋"/>
          <w:sz w:val="32"/>
          <w:szCs w:val="32"/>
        </w:rPr>
        <w:t>发电企业、电网企业和电力用户租赁、购买储能电站服务</w:t>
      </w:r>
      <w:r>
        <w:rPr>
          <w:rFonts w:hint="eastAsia" w:ascii="仿宋" w:hAnsi="仿宋" w:eastAsia="仿宋" w:cs="仿宋"/>
          <w:sz w:val="32"/>
          <w:szCs w:val="32"/>
          <w:lang w:eastAsia="zh-CN"/>
        </w:rPr>
        <w:t>，发挥储能“一站多用”的共享作用</w:t>
      </w:r>
      <w:r>
        <w:rPr>
          <w:rFonts w:hint="eastAsia" w:ascii="仿宋" w:hAnsi="仿宋" w:eastAsia="仿宋" w:cs="仿宋"/>
          <w:sz w:val="32"/>
          <w:szCs w:val="32"/>
        </w:rPr>
        <w:t>。</w:t>
      </w:r>
      <w:r>
        <w:rPr>
          <w:rFonts w:hint="eastAsia" w:ascii="仿宋" w:hAnsi="仿宋" w:eastAsia="仿宋" w:cs="仿宋"/>
          <w:sz w:val="32"/>
          <w:szCs w:val="32"/>
          <w:lang w:eastAsia="zh-CN"/>
        </w:rPr>
        <w:t>积极支持各类主体开展独立共享储能应用示范。</w:t>
      </w:r>
      <w:r>
        <w:rPr>
          <w:rFonts w:hint="eastAsia" w:ascii="仿宋" w:hAnsi="仿宋" w:eastAsia="仿宋" w:cs="仿宋"/>
          <w:sz w:val="32"/>
          <w:szCs w:val="32"/>
        </w:rPr>
        <w:t>独立共享式新型储能电站应集中建设，电站功率原则上不低于5万千瓦，时长不低于4小时。</w:t>
      </w:r>
      <w:r>
        <w:rPr>
          <w:rFonts w:hint="eastAsia" w:ascii="楷体" w:hAnsi="楷体" w:eastAsia="楷体" w:cs="楷体"/>
          <w:b w:val="0"/>
          <w:bCs/>
          <w:sz w:val="32"/>
          <w:szCs w:val="32"/>
          <w:lang w:eastAsia="zh-CN"/>
        </w:rPr>
        <w:t>（责任单位：各盟行政公署、市人民政府，自治区能源局</w:t>
      </w:r>
      <w:r>
        <w:rPr>
          <w:rFonts w:hint="eastAsia" w:ascii="楷体" w:hAnsi="楷体" w:eastAsia="楷体" w:cs="楷体"/>
          <w:b w:val="0"/>
          <w:bCs/>
          <w:sz w:val="32"/>
          <w:szCs w:val="32"/>
          <w:lang w:eastAsia="zh-Hans"/>
        </w:rPr>
        <w:t>、</w:t>
      </w:r>
      <w:r>
        <w:rPr>
          <w:rFonts w:hint="eastAsia" w:ascii="楷体" w:hAnsi="楷体" w:eastAsia="楷体" w:cs="楷体"/>
          <w:b w:val="0"/>
          <w:bCs/>
          <w:sz w:val="32"/>
          <w:szCs w:val="32"/>
          <w:lang w:val="en-US" w:eastAsia="zh-Hans"/>
        </w:rPr>
        <w:t>各有关单位</w:t>
      </w:r>
      <w:r>
        <w:rPr>
          <w:rFonts w:hint="eastAsia" w:ascii="楷体" w:hAnsi="楷体" w:eastAsia="楷体" w:cs="楷体"/>
          <w:b w:val="0"/>
          <w:bCs/>
          <w:sz w:val="32"/>
          <w:szCs w:val="32"/>
          <w:lang w:eastAsia="zh-CN"/>
        </w:rPr>
        <w:t>）</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黑体" w:hAnsi="黑体" w:eastAsia="黑体" w:cs="黑体"/>
          <w:b w:val="0"/>
          <w:bCs/>
          <w:sz w:val="32"/>
          <w:szCs w:val="32"/>
        </w:rPr>
      </w:pPr>
      <w:r>
        <w:rPr>
          <w:rFonts w:hint="eastAsia" w:ascii="黑体" w:hAnsi="黑体" w:eastAsia="黑体" w:cs="黑体"/>
          <w:b w:val="0"/>
          <w:bCs/>
          <w:sz w:val="32"/>
          <w:szCs w:val="32"/>
        </w:rPr>
        <w:t>六、建立健全新型储能配套</w:t>
      </w:r>
      <w:r>
        <w:rPr>
          <w:rFonts w:hint="eastAsia" w:ascii="黑体" w:hAnsi="黑体" w:eastAsia="黑体" w:cs="黑体"/>
          <w:b w:val="0"/>
          <w:bCs/>
          <w:sz w:val="32"/>
          <w:szCs w:val="32"/>
          <w:lang w:val="en-US" w:eastAsia="zh-Hans"/>
        </w:rPr>
        <w:t>政策</w:t>
      </w:r>
      <w:r>
        <w:rPr>
          <w:rFonts w:hint="eastAsia" w:ascii="黑体" w:hAnsi="黑体" w:eastAsia="黑体" w:cs="黑体"/>
          <w:b w:val="0"/>
          <w:bCs/>
          <w:sz w:val="32"/>
          <w:szCs w:val="32"/>
        </w:rPr>
        <w:t>机制</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color w:val="000000"/>
          <w:kern w:val="0"/>
          <w:sz w:val="32"/>
          <w:szCs w:val="32"/>
        </w:rPr>
      </w:pPr>
      <w:r>
        <w:rPr>
          <w:rFonts w:hint="eastAsia" w:ascii="楷体" w:hAnsi="楷体" w:eastAsia="楷体" w:cs="楷体"/>
          <w:b w:val="0"/>
          <w:bCs/>
          <w:sz w:val="32"/>
          <w:szCs w:val="32"/>
        </w:rPr>
        <w:t>（十</w:t>
      </w:r>
      <w:r>
        <w:rPr>
          <w:rFonts w:hint="eastAsia" w:ascii="楷体" w:hAnsi="楷体" w:eastAsia="楷体" w:cs="楷体"/>
          <w:b w:val="0"/>
          <w:bCs/>
          <w:sz w:val="32"/>
          <w:szCs w:val="32"/>
          <w:lang w:eastAsia="zh-CN"/>
        </w:rPr>
        <w:t>二</w:t>
      </w: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明确独立市场主体地位。</w:t>
      </w:r>
      <w:r>
        <w:rPr>
          <w:rFonts w:hint="eastAsia" w:ascii="仿宋" w:hAnsi="仿宋" w:eastAsia="仿宋" w:cs="仿宋"/>
          <w:sz w:val="32"/>
          <w:szCs w:val="32"/>
          <w:lang w:eastAsia="zh-CN"/>
        </w:rPr>
        <w:t>支持新型储能进入并允许同时参与各类电力市场交易，加快制定新型储能参与电力市场的准入条件、交易机制和技术标准，建立完善“按效果付费”的电力辅助服务补偿机制。电源侧储能与电源作为一个主体参与电力市场交易，电网侧储能、负荷侧储能、独立共享储能作为单一主体参与电力市场交易。</w:t>
      </w:r>
      <w:r>
        <w:rPr>
          <w:rFonts w:hint="eastAsia" w:ascii="楷体" w:hAnsi="楷体" w:eastAsia="楷体" w:cs="楷体"/>
          <w:b w:val="0"/>
          <w:bCs/>
          <w:sz w:val="32"/>
          <w:szCs w:val="32"/>
        </w:rPr>
        <w:t>（责任单位：内蒙古电力</w:t>
      </w:r>
      <w:r>
        <w:rPr>
          <w:rFonts w:hint="eastAsia" w:ascii="楷体" w:hAnsi="楷体" w:eastAsia="楷体" w:cs="楷体"/>
          <w:sz w:val="32"/>
          <w:szCs w:val="32"/>
        </w:rPr>
        <w:t>〔</w:t>
      </w:r>
      <w:r>
        <w:rPr>
          <w:rFonts w:hint="eastAsia" w:ascii="楷体" w:hAnsi="楷体" w:eastAsia="楷体" w:cs="楷体"/>
          <w:b w:val="0"/>
          <w:bCs/>
          <w:sz w:val="32"/>
          <w:szCs w:val="32"/>
        </w:rPr>
        <w:t>集团</w:t>
      </w:r>
      <w:r>
        <w:rPr>
          <w:rFonts w:hint="eastAsia" w:ascii="楷体" w:hAnsi="楷体" w:eastAsia="楷体" w:cs="楷体"/>
          <w:sz w:val="32"/>
          <w:szCs w:val="32"/>
        </w:rPr>
        <w:t>〕</w:t>
      </w:r>
      <w:r>
        <w:rPr>
          <w:rFonts w:hint="eastAsia" w:ascii="楷体" w:hAnsi="楷体" w:eastAsia="楷体" w:cs="楷体"/>
          <w:b w:val="0"/>
          <w:bCs/>
          <w:sz w:val="32"/>
          <w:szCs w:val="32"/>
        </w:rPr>
        <w:t>有限责任公司、国网内蒙古东部电力有限公司</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自治区</w:t>
      </w:r>
      <w:r>
        <w:rPr>
          <w:rFonts w:hint="eastAsia" w:ascii="楷体" w:hAnsi="楷体" w:eastAsia="楷体" w:cs="楷体"/>
          <w:b w:val="0"/>
          <w:bCs/>
          <w:sz w:val="32"/>
          <w:szCs w:val="32"/>
          <w:lang w:eastAsia="zh-CN"/>
        </w:rPr>
        <w:t>工业和信息化</w:t>
      </w:r>
      <w:r>
        <w:rPr>
          <w:rFonts w:hint="eastAsia" w:ascii="楷体" w:hAnsi="楷体" w:eastAsia="楷体" w:cs="楷体"/>
          <w:b w:val="0"/>
          <w:bCs/>
          <w:sz w:val="32"/>
          <w:szCs w:val="32"/>
        </w:rPr>
        <w:t>厅）</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（十</w:t>
      </w:r>
      <w:r>
        <w:rPr>
          <w:rFonts w:hint="eastAsia" w:ascii="楷体" w:hAnsi="楷体" w:eastAsia="楷体" w:cs="楷体"/>
          <w:b w:val="0"/>
          <w:bCs/>
          <w:sz w:val="32"/>
          <w:szCs w:val="32"/>
          <w:lang w:eastAsia="zh-CN"/>
        </w:rPr>
        <w:t>三</w:t>
      </w:r>
      <w:r>
        <w:rPr>
          <w:rFonts w:hint="eastAsia" w:ascii="楷体" w:hAnsi="楷体" w:eastAsia="楷体" w:cs="楷体"/>
          <w:b w:val="0"/>
          <w:bCs/>
          <w:sz w:val="32"/>
          <w:szCs w:val="32"/>
        </w:rPr>
        <w:t>）建立健全价格机制</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新型储能执行峰谷、尖峰等分时电价政策，支持新型储能市场主体通过峰谷价差获取合理收益。研究制定电网侧新型储能电站容量电价机制，研究探索将电网替代性储能设施成本收益纳入输配电价回收机制。</w:t>
      </w:r>
      <w:r>
        <w:rPr>
          <w:rFonts w:hint="eastAsia" w:ascii="楷体" w:hAnsi="楷体" w:eastAsia="楷体" w:cs="楷体"/>
          <w:b w:val="0"/>
          <w:bCs/>
          <w:sz w:val="32"/>
          <w:szCs w:val="32"/>
        </w:rPr>
        <w:t>（责任单位：自治区发展改革委）</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（十</w:t>
      </w:r>
      <w:r>
        <w:rPr>
          <w:rFonts w:hint="eastAsia" w:ascii="楷体" w:hAnsi="楷体" w:eastAsia="楷体" w:cs="楷体"/>
          <w:b w:val="0"/>
          <w:bCs/>
          <w:sz w:val="32"/>
          <w:szCs w:val="32"/>
          <w:lang w:eastAsia="zh-CN"/>
        </w:rPr>
        <w:t>四</w:t>
      </w:r>
      <w:r>
        <w:rPr>
          <w:rFonts w:hint="eastAsia" w:ascii="楷体" w:hAnsi="楷体" w:eastAsia="楷体" w:cs="楷体"/>
          <w:b w:val="0"/>
          <w:bCs/>
          <w:sz w:val="32"/>
          <w:szCs w:val="32"/>
        </w:rPr>
        <w:t>）建立激励机制</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完善调峰辅助服务市场机制，在电力系统有调峰需求时，同等条件下优先调度使用新型储能。对于建设大规模、高比例、高参数的新型储能项目和示范应用新技术、新模式的新型储能项目，在项目备案、并网时序、系统调度运行安排、电力辅助服务补偿等方面优先考虑。</w:t>
      </w:r>
      <w:r>
        <w:rPr>
          <w:rFonts w:hint="eastAsia" w:ascii="楷体" w:hAnsi="楷体" w:eastAsia="楷体" w:cs="楷体"/>
          <w:b w:val="0"/>
          <w:bCs/>
          <w:sz w:val="32"/>
          <w:szCs w:val="32"/>
        </w:rPr>
        <w:t>（责任单位：自治区能源局、</w:t>
      </w:r>
      <w:r>
        <w:rPr>
          <w:rFonts w:hint="eastAsia" w:ascii="楷体" w:hAnsi="楷体" w:eastAsia="楷体" w:cs="楷体"/>
          <w:b w:val="0"/>
          <w:bCs/>
          <w:sz w:val="32"/>
          <w:szCs w:val="32"/>
          <w:lang w:eastAsia="zh-CN"/>
        </w:rPr>
        <w:t>工业和信息化厅</w:t>
      </w:r>
      <w:r>
        <w:rPr>
          <w:rFonts w:hint="eastAsia" w:ascii="楷体" w:hAnsi="楷体" w:eastAsia="楷体" w:cs="楷体"/>
          <w:b w:val="0"/>
          <w:bCs/>
          <w:sz w:val="32"/>
          <w:szCs w:val="32"/>
        </w:rPr>
        <w:t>，内蒙古电力〔集团〕有限责任公司、国网内蒙古东部电力有限公司）</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（十</w:t>
      </w:r>
      <w:r>
        <w:rPr>
          <w:rFonts w:hint="eastAsia" w:ascii="楷体" w:hAnsi="楷体" w:eastAsia="楷体" w:cs="楷体"/>
          <w:b w:val="0"/>
          <w:bCs/>
          <w:sz w:val="32"/>
          <w:szCs w:val="32"/>
          <w:lang w:eastAsia="zh-CN"/>
        </w:rPr>
        <w:t>五</w:t>
      </w:r>
      <w:r>
        <w:rPr>
          <w:rFonts w:hint="eastAsia" w:ascii="楷体" w:hAnsi="楷体" w:eastAsia="楷体" w:cs="楷体"/>
          <w:b w:val="0"/>
          <w:bCs/>
          <w:sz w:val="32"/>
          <w:szCs w:val="32"/>
        </w:rPr>
        <w:t>）提升创新能力</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加大新型储能产业技术研发，依托企业、高校、科研院所等开展关键核心技术攻关，加快推动新型储能技术突破，围绕不同应用场景开展新型储能集成技术创新应用，试点示范新型储能相关科技计划项目。</w:t>
      </w:r>
      <w:r>
        <w:rPr>
          <w:rFonts w:hint="eastAsia" w:ascii="楷体" w:hAnsi="楷体" w:eastAsia="楷体" w:cs="楷体"/>
          <w:b w:val="0"/>
          <w:bCs/>
          <w:sz w:val="32"/>
          <w:szCs w:val="32"/>
        </w:rPr>
        <w:t>(责任单位:自治区科技厅、</w:t>
      </w:r>
      <w:r>
        <w:rPr>
          <w:rFonts w:hint="eastAsia" w:ascii="楷体" w:hAnsi="楷体" w:eastAsia="楷体" w:cs="楷体"/>
          <w:b w:val="0"/>
          <w:bCs/>
          <w:sz w:val="32"/>
          <w:szCs w:val="32"/>
          <w:lang w:eastAsia="zh-CN"/>
        </w:rPr>
        <w:t>工业和信息化</w:t>
      </w:r>
      <w:r>
        <w:rPr>
          <w:rFonts w:hint="eastAsia" w:ascii="楷体" w:hAnsi="楷体" w:eastAsia="楷体" w:cs="楷体"/>
          <w:b w:val="0"/>
          <w:bCs/>
          <w:sz w:val="32"/>
          <w:szCs w:val="32"/>
        </w:rPr>
        <w:t>厅、财政厅)</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（十</w:t>
      </w:r>
      <w:r>
        <w:rPr>
          <w:rFonts w:hint="eastAsia" w:ascii="楷体" w:hAnsi="楷体" w:eastAsia="楷体" w:cs="楷体"/>
          <w:b w:val="0"/>
          <w:bCs/>
          <w:sz w:val="32"/>
          <w:szCs w:val="32"/>
          <w:lang w:eastAsia="zh-CN"/>
        </w:rPr>
        <w:t>六</w:t>
      </w:r>
      <w:r>
        <w:rPr>
          <w:rFonts w:hint="eastAsia" w:ascii="楷体" w:hAnsi="楷体" w:eastAsia="楷体" w:cs="楷体"/>
          <w:b w:val="0"/>
          <w:bCs/>
          <w:sz w:val="32"/>
          <w:szCs w:val="32"/>
        </w:rPr>
        <w:t>）增强产业竞争力</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通过重大项目建设引导，提升新型储能核心技术装备自主可控水平，重视上下游协同，依托具有自主知识产权和核心竞争力的骨干企业，积极推动从生产、建设、运营到回收的全产业链发展。结合资源禀赋、技术优势、产业基础、人力资源等条件，积极争取建设一批国家新型储能高新技术产业化基地。</w:t>
      </w:r>
      <w:r>
        <w:rPr>
          <w:rFonts w:hint="eastAsia" w:ascii="楷体" w:hAnsi="楷体" w:eastAsia="楷体" w:cs="楷体"/>
          <w:b w:val="0"/>
          <w:bCs/>
          <w:sz w:val="32"/>
          <w:szCs w:val="32"/>
        </w:rPr>
        <w:t>（责任单位：</w:t>
      </w:r>
      <w:r>
        <w:rPr>
          <w:rFonts w:hint="eastAsia" w:ascii="楷体" w:hAnsi="楷体" w:eastAsia="楷体" w:cs="楷体"/>
          <w:b w:val="0"/>
          <w:bCs/>
          <w:sz w:val="32"/>
          <w:szCs w:val="32"/>
          <w:lang w:eastAsia="zh-CN"/>
        </w:rPr>
        <w:t>工业和信息化</w:t>
      </w:r>
      <w:r>
        <w:rPr>
          <w:rFonts w:hint="eastAsia" w:ascii="楷体" w:hAnsi="楷体" w:eastAsia="楷体" w:cs="楷体"/>
          <w:b w:val="0"/>
          <w:bCs/>
          <w:sz w:val="32"/>
          <w:szCs w:val="32"/>
        </w:rPr>
        <w:t>厅、</w:t>
      </w:r>
      <w:r>
        <w:rPr>
          <w:rFonts w:hint="eastAsia" w:ascii="楷体" w:hAnsi="楷体" w:eastAsia="楷体" w:cs="楷体"/>
          <w:b w:val="0"/>
          <w:bCs/>
          <w:sz w:val="32"/>
          <w:szCs w:val="32"/>
          <w:lang w:eastAsia="zh-CN"/>
        </w:rPr>
        <w:t>发展改革委</w:t>
      </w:r>
      <w:r>
        <w:rPr>
          <w:rFonts w:hint="eastAsia" w:ascii="楷体" w:hAnsi="楷体" w:eastAsia="楷体" w:cs="楷体"/>
          <w:b w:val="0"/>
          <w:bCs/>
          <w:sz w:val="32"/>
          <w:szCs w:val="32"/>
        </w:rPr>
        <w:t>、能源局、科技厅，各盟行政公署、市人民政府）</w:t>
      </w:r>
    </w:p>
    <w:p>
      <w:pPr>
        <w:keepNext w:val="0"/>
        <w:keepLines w:val="0"/>
        <w:pageBreakBefore w:val="0"/>
        <w:widowControl w:val="0"/>
        <w:tabs>
          <w:tab w:val="left" w:pos="4536"/>
        </w:tabs>
        <w:kinsoku/>
        <w:wordWrap/>
        <w:overflowPunct/>
        <w:topLinePunct/>
        <w:autoSpaceDE/>
        <w:autoSpaceDN/>
        <w:bidi w:val="0"/>
        <w:adjustRightInd/>
        <w:spacing w:line="580" w:lineRule="exact"/>
        <w:ind w:left="0" w:leftChars="0" w:right="0" w:rightChars="0"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rPr>
        <w:t>七、规范新型储能行业管理体系</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（十</w:t>
      </w:r>
      <w:r>
        <w:rPr>
          <w:rFonts w:hint="eastAsia" w:ascii="楷体" w:hAnsi="楷体" w:eastAsia="楷体" w:cs="楷体"/>
          <w:b w:val="0"/>
          <w:bCs/>
          <w:sz w:val="32"/>
          <w:szCs w:val="32"/>
          <w:lang w:eastAsia="zh-CN"/>
        </w:rPr>
        <w:t>七</w:t>
      </w: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Hans"/>
        </w:rPr>
        <w:t>规范</w:t>
      </w:r>
      <w:r>
        <w:rPr>
          <w:rFonts w:hint="eastAsia" w:ascii="楷体" w:hAnsi="楷体" w:eastAsia="楷体" w:cs="楷体"/>
          <w:b w:val="0"/>
          <w:bCs/>
          <w:sz w:val="32"/>
          <w:szCs w:val="32"/>
        </w:rPr>
        <w:t>审批流程</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根据国家和自治区企业投资项目核准和备案管理有关规定，新型储能项目按照属地原则实行备案管理，由项目所在地盟市能源主管部门备案，并将项目备案情况抄送国家能源局派出机构及自治区能源局。项目备案内容、项目变更、建设要求等按国能发科规〔2021〕47号文件执行。</w:t>
      </w:r>
      <w:r>
        <w:rPr>
          <w:rFonts w:hint="eastAsia" w:ascii="楷体" w:hAnsi="楷体" w:eastAsia="楷体" w:cs="楷体"/>
          <w:b w:val="0"/>
          <w:bCs/>
          <w:sz w:val="32"/>
          <w:szCs w:val="32"/>
        </w:rPr>
        <w:t>（责任单位：各盟行政公署、市人民政府，自治区能源局）</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十八</w:t>
      </w:r>
      <w:r>
        <w:rPr>
          <w:rFonts w:hint="eastAsia" w:ascii="楷体" w:hAnsi="楷体" w:eastAsia="楷体" w:cs="楷体"/>
          <w:b w:val="0"/>
          <w:bCs/>
          <w:sz w:val="32"/>
          <w:szCs w:val="32"/>
        </w:rPr>
        <w:t>）加强并网管理</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电网企业应制定新型储能项目并网接入细则，明确并网接入、调试验收流程，公平无歧视为新型储能项目提供电网接入服务。应统筹开展新型储能配套电网规划和建设，配套电网工程应与新型储能项目建设</w:t>
      </w:r>
      <w:r>
        <w:rPr>
          <w:rFonts w:hint="eastAsia" w:ascii="仿宋" w:hAnsi="仿宋" w:eastAsia="仿宋" w:cs="仿宋"/>
          <w:sz w:val="32"/>
          <w:szCs w:val="32"/>
          <w:lang w:val="en-US" w:eastAsia="zh-Hans"/>
        </w:rPr>
        <w:t>协调进行</w:t>
      </w:r>
      <w:r>
        <w:rPr>
          <w:rFonts w:hint="eastAsia" w:ascii="仿宋" w:hAnsi="仿宋" w:eastAsia="仿宋" w:cs="仿宋"/>
          <w:sz w:val="32"/>
          <w:szCs w:val="32"/>
          <w:lang w:eastAsia="zh-CN"/>
        </w:rPr>
        <w:t>。</w:t>
      </w:r>
      <w:r>
        <w:rPr>
          <w:rFonts w:hint="eastAsia" w:ascii="楷体" w:hAnsi="楷体" w:eastAsia="楷体" w:cs="楷体"/>
          <w:b w:val="0"/>
          <w:bCs/>
          <w:sz w:val="32"/>
          <w:szCs w:val="32"/>
        </w:rPr>
        <w:t>（责任单位：内蒙古电力〔集团〕有限责任公司、国网内蒙古东部电力有限公司）</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十九</w:t>
      </w:r>
      <w:r>
        <w:rPr>
          <w:rFonts w:hint="eastAsia" w:ascii="楷体" w:hAnsi="楷体" w:eastAsia="楷体" w:cs="楷体"/>
          <w:b w:val="0"/>
          <w:bCs/>
          <w:sz w:val="32"/>
          <w:szCs w:val="32"/>
        </w:rPr>
        <w:t>）健全调度运行机制</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新型储能项目单位应按照相关标准和规范要求，配备必要的通信信息系统，按程序向电网调度部门上传运行信息、接受调度指令。电网企业应制定新型储能电站调度运行管理规定，明确相关规程规范；优化调度运行机制，科学优先调用，充分发挥储能电站调峰、调频、备用等方面的作</w:t>
      </w:r>
      <w:r>
        <w:rPr>
          <w:rFonts w:hint="eastAsia" w:ascii="仿宋" w:hAnsi="仿宋" w:eastAsia="仿宋" w:cs="仿宋"/>
          <w:spacing w:val="-6"/>
          <w:sz w:val="32"/>
          <w:szCs w:val="32"/>
          <w:lang w:eastAsia="zh-CN"/>
        </w:rPr>
        <w:t>用。</w:t>
      </w:r>
      <w:r>
        <w:rPr>
          <w:rFonts w:hint="eastAsia" w:ascii="楷体" w:hAnsi="楷体" w:eastAsia="楷体" w:cs="楷体"/>
          <w:b w:val="0"/>
          <w:bCs/>
          <w:spacing w:val="-6"/>
          <w:sz w:val="32"/>
          <w:szCs w:val="32"/>
        </w:rPr>
        <w:t>（责任单位：内蒙古电力〔集团〕有限责任公司、国网内蒙古东部电力有限公司，自治区能源局，各盟行政公署、市人民政府）</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（二十）严格产品应用标准</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新型储能项目主要设备应满足相关标准规范要求，涉网设备应符合电网安全运行相关技术要求。动力电池梯次利用储能项目要建立电池一致性管理和溯源系统，建立在线监控平台，</w:t>
      </w:r>
      <w:r>
        <w:rPr>
          <w:rFonts w:hint="eastAsia" w:ascii="仿宋" w:hAnsi="仿宋" w:eastAsia="仿宋" w:cs="仿宋"/>
          <w:sz w:val="32"/>
          <w:szCs w:val="32"/>
          <w:lang w:val="en-US" w:eastAsia="zh-Hans"/>
        </w:rPr>
        <w:t>实时</w:t>
      </w:r>
      <w:r>
        <w:rPr>
          <w:rFonts w:hint="eastAsia" w:ascii="仿宋" w:hAnsi="仿宋" w:eastAsia="仿宋" w:cs="仿宋"/>
          <w:sz w:val="32"/>
          <w:szCs w:val="32"/>
          <w:lang w:eastAsia="zh-CN"/>
        </w:rPr>
        <w:t>监测电池性能参数，定期进行维护和安全评估，做好应急方案。</w:t>
      </w:r>
      <w:r>
        <w:rPr>
          <w:rFonts w:hint="eastAsia" w:ascii="楷体" w:hAnsi="楷体" w:eastAsia="楷体" w:cs="楷体"/>
          <w:b w:val="0"/>
          <w:bCs/>
          <w:sz w:val="32"/>
          <w:szCs w:val="32"/>
        </w:rPr>
        <w:t>（责任单位：</w:t>
      </w:r>
      <w:r>
        <w:rPr>
          <w:rFonts w:hint="eastAsia" w:ascii="楷体" w:hAnsi="楷体" w:eastAsia="楷体" w:cs="楷体"/>
          <w:b w:val="0"/>
          <w:bCs/>
          <w:sz w:val="32"/>
          <w:szCs w:val="32"/>
          <w:lang w:eastAsia="zh-CN"/>
        </w:rPr>
        <w:t>自治区</w:t>
      </w:r>
      <w:r>
        <w:rPr>
          <w:rFonts w:hint="eastAsia" w:ascii="楷体" w:hAnsi="楷体" w:eastAsia="楷体" w:cs="楷体"/>
          <w:b w:val="0"/>
          <w:bCs/>
          <w:sz w:val="32"/>
          <w:szCs w:val="32"/>
        </w:rPr>
        <w:t>市场监管局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能源局，各盟行政公署、市人民政府）</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pacing w:val="0"/>
          <w:sz w:val="32"/>
          <w:szCs w:val="32"/>
        </w:rPr>
      </w:pPr>
      <w:r>
        <w:rPr>
          <w:rFonts w:hint="eastAsia" w:ascii="楷体" w:hAnsi="楷体" w:eastAsia="楷体" w:cs="楷体"/>
          <w:b w:val="0"/>
          <w:bCs/>
          <w:sz w:val="32"/>
          <w:szCs w:val="32"/>
        </w:rPr>
        <w:t>（二十</w:t>
      </w:r>
      <w:r>
        <w:rPr>
          <w:rFonts w:hint="eastAsia" w:ascii="楷体" w:hAnsi="楷体" w:eastAsia="楷体" w:cs="楷体"/>
          <w:b w:val="0"/>
          <w:bCs/>
          <w:sz w:val="32"/>
          <w:szCs w:val="32"/>
          <w:lang w:eastAsia="zh-CN"/>
        </w:rPr>
        <w:t>一</w:t>
      </w:r>
      <w:r>
        <w:rPr>
          <w:rFonts w:hint="eastAsia" w:ascii="楷体" w:hAnsi="楷体" w:eastAsia="楷体" w:cs="楷体"/>
          <w:b w:val="0"/>
          <w:bCs/>
          <w:sz w:val="32"/>
          <w:szCs w:val="32"/>
        </w:rPr>
        <w:t>）规范退出管理</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新型储能项目</w:t>
      </w:r>
      <w:r>
        <w:rPr>
          <w:rFonts w:hint="eastAsia" w:ascii="仿宋" w:hAnsi="仿宋" w:eastAsia="仿宋" w:cs="仿宋"/>
          <w:sz w:val="32"/>
          <w:szCs w:val="32"/>
          <w:lang w:val="en-US" w:eastAsia="zh-Hans"/>
        </w:rPr>
        <w:t>业主</w:t>
      </w:r>
      <w:r>
        <w:rPr>
          <w:rFonts w:hint="eastAsia" w:ascii="仿宋" w:hAnsi="仿宋" w:eastAsia="仿宋" w:cs="仿宋"/>
          <w:sz w:val="32"/>
          <w:szCs w:val="32"/>
          <w:lang w:eastAsia="zh-CN"/>
        </w:rPr>
        <w:t>应做好项目运行状态监测工作，实时监控储能系统运行工况，在项目达到设计寿命或安全运行状况不满足相关技术要求时，应及时组织论证评估和整改工作。经整改后仍不满足相关要求的，项目</w:t>
      </w:r>
      <w:r>
        <w:rPr>
          <w:rFonts w:hint="eastAsia" w:ascii="仿宋" w:hAnsi="仿宋" w:eastAsia="仿宋" w:cs="仿宋"/>
          <w:sz w:val="32"/>
          <w:szCs w:val="32"/>
          <w:lang w:val="en-US" w:eastAsia="zh-Hans"/>
        </w:rPr>
        <w:t>业主</w:t>
      </w:r>
      <w:r>
        <w:rPr>
          <w:rFonts w:hint="eastAsia" w:ascii="仿宋" w:hAnsi="仿宋" w:eastAsia="仿宋" w:cs="仿宋"/>
          <w:sz w:val="32"/>
          <w:szCs w:val="32"/>
          <w:lang w:eastAsia="zh-CN"/>
        </w:rPr>
        <w:t>应及时采取项目退役措</w:t>
      </w:r>
      <w:r>
        <w:rPr>
          <w:rFonts w:hint="eastAsia" w:ascii="仿宋" w:hAnsi="仿宋" w:eastAsia="仿宋" w:cs="仿宋"/>
          <w:spacing w:val="0"/>
          <w:sz w:val="32"/>
          <w:szCs w:val="32"/>
          <w:lang w:eastAsia="zh-CN"/>
        </w:rPr>
        <w:t>施，并及时报告原备案机关及其他相关单位。</w:t>
      </w:r>
      <w:r>
        <w:rPr>
          <w:rFonts w:hint="eastAsia" w:ascii="楷体" w:hAnsi="楷体" w:eastAsia="楷体" w:cs="楷体"/>
          <w:b w:val="0"/>
          <w:bCs/>
          <w:spacing w:val="0"/>
          <w:sz w:val="32"/>
          <w:szCs w:val="32"/>
        </w:rPr>
        <w:t>（责任单位：各盟行政公署、市人民政府，内蒙古电力〔集团〕有限责任公司、国网内蒙古东部电力有限公司）</w:t>
      </w:r>
    </w:p>
    <w:p>
      <w:pPr>
        <w:keepNext w:val="0"/>
        <w:keepLines w:val="0"/>
        <w:pageBreakBefore w:val="0"/>
        <w:widowControl w:val="0"/>
        <w:tabs>
          <w:tab w:val="left" w:pos="4536"/>
        </w:tabs>
        <w:kinsoku/>
        <w:wordWrap/>
        <w:overflowPunct/>
        <w:topLinePunct/>
        <w:autoSpaceDE/>
        <w:autoSpaceDN/>
        <w:bidi w:val="0"/>
        <w:adjustRightInd/>
        <w:snapToGrid w:val="0"/>
        <w:spacing w:line="580" w:lineRule="exact"/>
        <w:ind w:left="0" w:leftChars="0" w:right="0" w:rightChars="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八、保障措施</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pacing w:val="0"/>
          <w:sz w:val="32"/>
          <w:szCs w:val="32"/>
        </w:rPr>
        <w:t>（二十</w:t>
      </w:r>
      <w:r>
        <w:rPr>
          <w:rFonts w:hint="eastAsia" w:ascii="楷体" w:hAnsi="楷体" w:eastAsia="楷体" w:cs="楷体"/>
          <w:b w:val="0"/>
          <w:bCs/>
          <w:spacing w:val="0"/>
          <w:sz w:val="32"/>
          <w:szCs w:val="32"/>
          <w:lang w:eastAsia="zh-CN"/>
        </w:rPr>
        <w:t>二</w:t>
      </w:r>
      <w:r>
        <w:rPr>
          <w:rFonts w:hint="eastAsia" w:ascii="楷体" w:hAnsi="楷体" w:eastAsia="楷体" w:cs="楷体"/>
          <w:b w:val="0"/>
          <w:bCs/>
          <w:spacing w:val="0"/>
          <w:sz w:val="32"/>
          <w:szCs w:val="32"/>
        </w:rPr>
        <w:t>）加强组织领导工作</w:t>
      </w:r>
      <w:r>
        <w:rPr>
          <w:rFonts w:hint="eastAsia" w:ascii="楷体" w:hAnsi="楷体" w:eastAsia="楷体" w:cs="楷体"/>
          <w:b w:val="0"/>
          <w:bCs/>
          <w:spacing w:val="0"/>
          <w:sz w:val="32"/>
          <w:szCs w:val="32"/>
          <w:lang w:eastAsia="zh-CN"/>
        </w:rPr>
        <w:t>。</w:t>
      </w:r>
      <w:r>
        <w:rPr>
          <w:rFonts w:hint="eastAsia" w:ascii="仿宋" w:hAnsi="仿宋" w:eastAsia="仿宋" w:cs="仿宋"/>
          <w:spacing w:val="0"/>
          <w:sz w:val="32"/>
          <w:szCs w:val="32"/>
          <w:lang w:eastAsia="zh-CN"/>
        </w:rPr>
        <w:t>自治区能源局会同有关部门</w:t>
      </w:r>
      <w:r>
        <w:rPr>
          <w:rFonts w:hint="eastAsia" w:ascii="仿宋" w:hAnsi="仿宋" w:eastAsia="仿宋" w:cs="仿宋"/>
          <w:spacing w:val="0"/>
          <w:sz w:val="32"/>
          <w:szCs w:val="32"/>
          <w:lang w:val="en-US" w:eastAsia="zh-Hans"/>
        </w:rPr>
        <w:t>落实国家新型储能发展政策，</w:t>
      </w:r>
      <w:r>
        <w:rPr>
          <w:rFonts w:hint="eastAsia" w:ascii="仿宋" w:hAnsi="仿宋" w:eastAsia="仿宋" w:cs="仿宋"/>
          <w:spacing w:val="0"/>
          <w:sz w:val="32"/>
          <w:szCs w:val="32"/>
          <w:lang w:eastAsia="zh-CN"/>
        </w:rPr>
        <w:t>加强顶层设计、做好统筹指导，推进自治区新型储能高质量发展。各盟市能源主管部门要切实承担新型储能发展主体责任，按年度编制新型储能发展计划，科学有序推进各项任务。电网企业要统筹规划电网侧储能，在电网规划中明确发展规模和建设布局。</w:t>
      </w:r>
      <w:r>
        <w:rPr>
          <w:rFonts w:hint="eastAsia" w:ascii="楷体" w:hAnsi="楷体" w:eastAsia="楷体" w:cs="楷体"/>
          <w:b w:val="0"/>
          <w:bCs/>
          <w:spacing w:val="0"/>
          <w:sz w:val="32"/>
          <w:szCs w:val="32"/>
        </w:rPr>
        <w:t>（责任</w:t>
      </w:r>
      <w:r>
        <w:rPr>
          <w:rFonts w:hint="eastAsia" w:ascii="楷体" w:hAnsi="楷体" w:eastAsia="楷体" w:cs="楷体"/>
          <w:b w:val="0"/>
          <w:bCs/>
          <w:sz w:val="32"/>
          <w:szCs w:val="32"/>
        </w:rPr>
        <w:t>单位：</w:t>
      </w:r>
      <w:r>
        <w:rPr>
          <w:rFonts w:hint="eastAsia" w:ascii="楷体" w:hAnsi="楷体" w:eastAsia="楷体" w:cs="楷体"/>
          <w:b w:val="0"/>
          <w:bCs/>
          <w:sz w:val="32"/>
          <w:szCs w:val="32"/>
          <w:lang w:eastAsia="zh-CN"/>
        </w:rPr>
        <w:t>自治区能源局、</w:t>
      </w:r>
      <w:r>
        <w:rPr>
          <w:rFonts w:hint="eastAsia" w:ascii="楷体" w:hAnsi="楷体" w:eastAsia="楷体" w:cs="楷体"/>
          <w:b w:val="0"/>
          <w:bCs/>
          <w:sz w:val="32"/>
          <w:szCs w:val="32"/>
        </w:rPr>
        <w:t>各有关单位</w:t>
      </w:r>
      <w:r>
        <w:rPr>
          <w:rFonts w:hint="eastAsia" w:ascii="楷体" w:hAnsi="楷体" w:eastAsia="楷体" w:cs="楷体"/>
          <w:b w:val="0"/>
          <w:bCs/>
          <w:sz w:val="32"/>
          <w:szCs w:val="32"/>
          <w:lang w:eastAsia="zh-Hans"/>
        </w:rPr>
        <w:t>，</w:t>
      </w:r>
      <w:r>
        <w:rPr>
          <w:rFonts w:hint="eastAsia" w:ascii="楷体" w:hAnsi="楷体" w:eastAsia="楷体" w:cs="楷体"/>
          <w:b w:val="0"/>
          <w:bCs/>
          <w:sz w:val="32"/>
          <w:szCs w:val="32"/>
        </w:rPr>
        <w:t>各盟行政公署、市人民政府</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内蒙古电力〔集团〕有限责任公司、国网内蒙古东部电力有限公司）</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（二十</w:t>
      </w:r>
      <w:r>
        <w:rPr>
          <w:rFonts w:hint="eastAsia" w:ascii="楷体" w:hAnsi="楷体" w:eastAsia="楷体" w:cs="楷体"/>
          <w:b w:val="0"/>
          <w:bCs/>
          <w:sz w:val="32"/>
          <w:szCs w:val="32"/>
          <w:lang w:eastAsia="zh-CN"/>
        </w:rPr>
        <w:t>三</w:t>
      </w:r>
      <w:r>
        <w:rPr>
          <w:rFonts w:hint="eastAsia" w:ascii="楷体" w:hAnsi="楷体" w:eastAsia="楷体" w:cs="楷体"/>
          <w:b w:val="0"/>
          <w:bCs/>
          <w:sz w:val="32"/>
          <w:szCs w:val="32"/>
        </w:rPr>
        <w:t>）加大要素保障力度</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自治区各有关部门要落实现有税收优惠政策及国家相关支持新型储能发展的政策，涉及土地、林草、能评、环评等前期手续办理，要优化办理流程，提供</w:t>
      </w:r>
      <w:r>
        <w:rPr>
          <w:rFonts w:hint="eastAsia" w:ascii="仿宋" w:hAnsi="仿宋" w:eastAsia="仿宋" w:cs="仿宋"/>
          <w:spacing w:val="-6"/>
          <w:sz w:val="32"/>
          <w:szCs w:val="32"/>
          <w:lang w:eastAsia="zh-CN"/>
        </w:rPr>
        <w:t>便利服务，积极推动新型储能项目落地。</w:t>
      </w:r>
      <w:r>
        <w:rPr>
          <w:rFonts w:hint="eastAsia" w:ascii="楷体" w:hAnsi="楷体" w:eastAsia="楷体" w:cs="楷体"/>
          <w:b w:val="0"/>
          <w:bCs/>
          <w:spacing w:val="-6"/>
          <w:sz w:val="32"/>
          <w:szCs w:val="32"/>
        </w:rPr>
        <w:t>（责任单位：各有关单位）</w:t>
      </w:r>
    </w:p>
    <w:p>
      <w:pPr>
        <w:keepNext w:val="0"/>
        <w:keepLines w:val="0"/>
        <w:pageBreakBefore w:val="0"/>
        <w:widowControl w:val="0"/>
        <w:kinsoku/>
        <w:wordWrap/>
        <w:overflowPunct/>
        <w:topLinePunct/>
        <w:autoSpaceDE/>
        <w:autoSpaceDN/>
        <w:bidi w:val="0"/>
        <w:adjustRightInd/>
        <w:snapToGrid w:val="0"/>
        <w:spacing w:line="580" w:lineRule="exact"/>
        <w:ind w:left="0" w:leftChars="0" w:right="0" w:rightChars="0" w:firstLine="640" w:firstLineChars="200"/>
        <w:jc w:val="both"/>
        <w:outlineLvl w:val="1"/>
        <w:rPr>
          <w:rFonts w:hint="eastAsia" w:ascii="楷体" w:hAnsi="楷体" w:eastAsia="楷体" w:cs="楷体"/>
          <w:b w:val="0"/>
          <w:bCs/>
          <w:sz w:val="32"/>
          <w:szCs w:val="32"/>
        </w:rPr>
      </w:pPr>
      <w:r>
        <w:rPr>
          <w:rFonts w:hint="eastAsia" w:ascii="楷体" w:hAnsi="楷体" w:eastAsia="楷体" w:cs="楷体"/>
          <w:b w:val="0"/>
          <w:bCs/>
          <w:sz w:val="32"/>
          <w:szCs w:val="32"/>
        </w:rPr>
        <w:t>（二十</w:t>
      </w:r>
      <w:r>
        <w:rPr>
          <w:rFonts w:hint="eastAsia" w:ascii="楷体" w:hAnsi="楷体" w:eastAsia="楷体" w:cs="楷体"/>
          <w:b w:val="0"/>
          <w:bCs/>
          <w:sz w:val="32"/>
          <w:szCs w:val="32"/>
          <w:lang w:eastAsia="zh-CN"/>
        </w:rPr>
        <w:t>四</w:t>
      </w:r>
      <w:r>
        <w:rPr>
          <w:rFonts w:hint="eastAsia" w:ascii="楷体" w:hAnsi="楷体" w:eastAsia="楷体" w:cs="楷体"/>
          <w:b w:val="0"/>
          <w:bCs/>
          <w:sz w:val="32"/>
          <w:szCs w:val="32"/>
        </w:rPr>
        <w:t>）加强安全风险管理</w:t>
      </w:r>
      <w:r>
        <w:rPr>
          <w:rFonts w:hint="eastAsia" w:ascii="楷体" w:hAnsi="楷体" w:eastAsia="楷体" w:cs="楷体"/>
          <w:b w:val="0"/>
          <w:bCs/>
          <w:sz w:val="32"/>
          <w:szCs w:val="32"/>
          <w:lang w:eastAsia="zh-CN"/>
        </w:rPr>
        <w:t>。</w:t>
      </w:r>
      <w:r>
        <w:rPr>
          <w:rFonts w:hint="eastAsia" w:ascii="仿宋" w:hAnsi="仿宋" w:eastAsia="仿宋" w:cs="仿宋"/>
          <w:sz w:val="32"/>
          <w:szCs w:val="32"/>
          <w:lang w:eastAsia="zh-CN"/>
        </w:rPr>
        <w:t>各有关单位要按照有关法律法规和技术规范要求，严格履行项目审批、安全、消防、环保、工程质量监督等管理程序。新型储能项目产权（运营）单位要强化安全生产主体责任，加强对新型储能设施电气、消防等方面的日常检查与安全管理，及时消除安全隐患，确保新型储能设施安全可靠运行。</w:t>
      </w:r>
      <w:r>
        <w:rPr>
          <w:rFonts w:hint="eastAsia" w:ascii="楷体" w:hAnsi="楷体" w:eastAsia="楷体" w:cs="楷体"/>
          <w:b w:val="0"/>
          <w:bCs/>
          <w:sz w:val="32"/>
          <w:szCs w:val="32"/>
        </w:rPr>
        <w:t>（责任单位：各盟行政公署、市人民政府，</w:t>
      </w:r>
      <w:r>
        <w:rPr>
          <w:rFonts w:hint="eastAsia" w:ascii="楷体" w:hAnsi="楷体" w:eastAsia="楷体" w:cs="楷体"/>
          <w:b w:val="0"/>
          <w:bCs/>
          <w:sz w:val="32"/>
          <w:szCs w:val="32"/>
          <w:lang w:eastAsia="zh-CN"/>
        </w:rPr>
        <w:t>各有关单位</w:t>
      </w:r>
      <w:r>
        <w:rPr>
          <w:rFonts w:hint="eastAsia" w:ascii="楷体" w:hAnsi="楷体" w:eastAsia="楷体" w:cs="楷体"/>
          <w:b w:val="0"/>
          <w:bCs/>
          <w:sz w:val="32"/>
          <w:szCs w:val="32"/>
        </w:rPr>
        <w:t>）</w:t>
      </w:r>
    </w:p>
    <w:p>
      <w:pPr>
        <w:pStyle w:val="2"/>
        <w:keepNext w:val="0"/>
        <w:keepLines w:val="0"/>
        <w:pageBreakBefore w:val="0"/>
        <w:widowControl w:val="0"/>
        <w:kinsoku/>
        <w:wordWrap/>
        <w:overflowPunct/>
        <w:topLinePunct/>
        <w:autoSpaceDE/>
        <w:autoSpaceDN/>
        <w:bidi w:val="0"/>
        <w:spacing w:before="0" w:after="0" w:line="580" w:lineRule="exact"/>
        <w:ind w:left="0" w:leftChars="0" w:right="0" w:rightChars="0"/>
        <w:jc w:val="both"/>
        <w:rPr>
          <w:rFonts w:hint="eastAsia" w:ascii="仿宋" w:hAnsi="仿宋" w:eastAsia="仿宋" w:cs="仿宋"/>
          <w:b w:val="0"/>
          <w:bCs/>
          <w:sz w:val="32"/>
          <w:szCs w:val="32"/>
        </w:rPr>
      </w:pPr>
    </w:p>
    <w:p>
      <w:pPr>
        <w:pStyle w:val="2"/>
        <w:keepNext w:val="0"/>
        <w:keepLines w:val="0"/>
        <w:pageBreakBefore w:val="0"/>
        <w:widowControl w:val="0"/>
        <w:kinsoku/>
        <w:wordWrap/>
        <w:overflowPunct/>
        <w:topLinePunct/>
        <w:autoSpaceDE/>
        <w:autoSpaceDN/>
        <w:bidi w:val="0"/>
        <w:spacing w:before="0" w:after="0" w:line="580" w:lineRule="exact"/>
        <w:ind w:left="0" w:leftChars="0" w:right="0" w:rightChars="0"/>
        <w:jc w:val="both"/>
        <w:rPr>
          <w:rFonts w:hint="eastAsia" w:ascii="仿宋" w:hAnsi="仿宋" w:eastAsia="仿宋" w:cs="仿宋"/>
          <w:b w:val="0"/>
          <w:bCs/>
          <w:sz w:val="32"/>
          <w:szCs w:val="32"/>
        </w:rPr>
      </w:pPr>
    </w:p>
    <w:p>
      <w:pPr>
        <w:keepNext w:val="0"/>
        <w:keepLines w:val="0"/>
        <w:pageBreakBefore w:val="0"/>
        <w:widowControl w:val="0"/>
        <w:kinsoku/>
        <w:wordWrap/>
        <w:overflowPunct/>
        <w:topLinePunct/>
        <w:autoSpaceDE/>
        <w:autoSpaceDN/>
        <w:bidi w:val="0"/>
        <w:adjustRightInd/>
        <w:snapToGrid w:val="0"/>
        <w:spacing w:line="580" w:lineRule="exact"/>
        <w:ind w:right="0" w:rightChars="0"/>
        <w:jc w:val="both"/>
        <w:outlineLvl w:val="1"/>
        <w:rPr>
          <w:rFonts w:hint="eastAsia" w:ascii="仿宋" w:hAnsi="仿宋" w:eastAsia="仿宋" w:cs="仿宋"/>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val="0"/>
        <w:spacing w:line="580" w:lineRule="exact"/>
        <w:ind w:right="0" w:rightChars="0" w:firstLine="4800" w:firstLineChars="1500"/>
        <w:jc w:val="both"/>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2021年12月24日</w:t>
      </w:r>
    </w:p>
    <w:p>
      <w:pPr>
        <w:keepNext w:val="0"/>
        <w:keepLines w:val="0"/>
        <w:pageBreakBefore w:val="0"/>
        <w:widowControl w:val="0"/>
        <w:kinsoku/>
        <w:wordWrap/>
        <w:overflowPunct/>
        <w:topLinePunct/>
        <w:autoSpaceDE/>
        <w:autoSpaceDN/>
        <w:bidi w:val="0"/>
        <w:adjustRightInd/>
        <w:snapToGrid w:val="0"/>
        <w:spacing w:line="580" w:lineRule="exact"/>
        <w:ind w:right="0" w:rightChars="0" w:firstLine="640" w:firstLineChars="200"/>
        <w:jc w:val="both"/>
        <w:outlineLvl w:val="1"/>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（此件公开发布）</w:t>
      </w: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p>
    <w:p>
      <w:pPr>
        <w:pStyle w:val="2"/>
        <w:rPr>
          <w:rFonts w:hint="eastAsia" w:ascii="Times New Roman" w:hAnsi="Times New Roman" w:eastAsia="楷体_GB2312" w:cs="Mongolian Baiti"/>
          <w:b w:val="0"/>
          <w:bCs/>
          <w:sz w:val="32"/>
          <w:szCs w:val="32"/>
          <w:lang w:val="en-US" w:eastAsia="zh-CN"/>
        </w:rPr>
      </w:pPr>
      <w:bookmarkStart w:id="2" w:name="_GoBack"/>
      <w:bookmarkEnd w:id="2"/>
    </w:p>
    <w:p>
      <w:pPr>
        <w:adjustRightInd w:val="0"/>
        <w:snapToGrid w:val="0"/>
        <w:spacing w:line="580" w:lineRule="exact"/>
        <w:rPr>
          <w:rFonts w:hint="eastAsia" w:ascii="黑体" w:eastAsia="黑体"/>
          <w:sz w:val="32"/>
        </w:rPr>
      </w:pPr>
    </w:p>
    <w:p>
      <w:pPr>
        <w:adjustRightInd w:val="0"/>
        <w:snapToGrid w:val="0"/>
        <w:spacing w:line="580" w:lineRule="exact"/>
        <w:rPr>
          <w:rFonts w:hint="eastAsia" w:ascii="黑体" w:eastAsia="黑体"/>
          <w:sz w:val="32"/>
        </w:rPr>
      </w:pPr>
    </w:p>
    <w:p>
      <w:pPr>
        <w:adjustRightInd w:val="0"/>
        <w:snapToGrid w:val="0"/>
        <w:spacing w:line="580" w:lineRule="exact"/>
        <w:rPr>
          <w:rFonts w:hint="eastAsia" w:ascii="黑体" w:eastAsia="黑体"/>
          <w:sz w:val="32"/>
        </w:rPr>
      </w:pPr>
    </w:p>
    <w:p>
      <w:pPr>
        <w:adjustRightInd w:val="0"/>
        <w:snapToGrid w:val="0"/>
        <w:spacing w:line="580" w:lineRule="exact"/>
        <w:rPr>
          <w:rFonts w:hint="eastAsia" w:ascii="黑体" w:eastAsia="黑体"/>
          <w:sz w:val="32"/>
        </w:rPr>
      </w:pPr>
    </w:p>
    <w:p>
      <w:pPr>
        <w:adjustRightInd w:val="0"/>
        <w:snapToGrid w:val="0"/>
        <w:spacing w:line="580" w:lineRule="exact"/>
        <w:ind w:firstLine="640" w:firstLineChars="200"/>
        <w:rPr>
          <w:rFonts w:hint="eastAsia" w:ascii="黑体" w:eastAsia="黑体"/>
          <w:sz w:val="32"/>
        </w:rPr>
      </w:pPr>
    </w:p>
    <w:tbl>
      <w:tblPr>
        <w:tblStyle w:val="10"/>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66"/>
        <w:gridCol w:w="381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wAfter w:w="0" w:type="dxa"/>
          <w:trHeight w:val="546" w:hRule="atLeast"/>
          <w:jc w:val="center"/>
        </w:trPr>
        <w:tc>
          <w:tcPr>
            <w:tcW w:w="8978" w:type="dxa"/>
            <w:gridSpan w:val="2"/>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315" w:leftChars="150" w:right="315" w:rightChars="15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val="0"/>
              <w:snapToGrid w:val="0"/>
              <w:spacing w:line="400" w:lineRule="exact"/>
              <w:ind w:left="1153" w:leftChars="549" w:right="315" w:rightChars="15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自治区人大常委会办公厅、政协办公厅，自治区监委，自治区高级人民法院，检察院。</w:t>
            </w:r>
          </w:p>
          <w:p>
            <w:pPr>
              <w:keepNext w:val="0"/>
              <w:keepLines w:val="0"/>
              <w:pageBreakBefore w:val="0"/>
              <w:widowControl w:val="0"/>
              <w:kinsoku/>
              <w:wordWrap/>
              <w:overflowPunct/>
              <w:topLinePunct w:val="0"/>
              <w:autoSpaceDE/>
              <w:autoSpaceDN/>
              <w:bidi w:val="0"/>
              <w:adjustRightInd w:val="0"/>
              <w:snapToGrid w:val="0"/>
              <w:spacing w:line="400" w:lineRule="exact"/>
              <w:ind w:left="315" w:leftChars="150" w:right="315" w:rightChars="150" w:firstLine="840" w:firstLineChars="3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wAfter w:w="0" w:type="dxa"/>
          <w:trHeight w:val="561" w:hRule="atLeast"/>
          <w:jc w:val="center"/>
        </w:trPr>
        <w:tc>
          <w:tcPr>
            <w:tcW w:w="5166"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00" w:lineRule="exact"/>
              <w:ind w:left="315" w:leftChars="150" w:right="315" w:rightChars="150" w:firstLine="0" w:firstLineChars="0"/>
              <w:textAlignment w:val="auto"/>
              <w:outlineLvl w:val="9"/>
              <w:rPr>
                <w:rFonts w:hint="eastAsia" w:ascii="仿宋" w:hAnsi="仿宋" w:eastAsia="仿宋" w:cs="仿宋"/>
                <w:sz w:val="28"/>
                <w:szCs w:val="28"/>
              </w:rPr>
            </w:pPr>
            <w:r>
              <w:rPr>
                <w:rFonts w:hint="eastAsia" w:ascii="仿宋" w:hAnsi="仿宋" w:eastAsia="仿宋" w:cs="仿宋"/>
                <w:kern w:val="0"/>
                <w:sz w:val="28"/>
                <w:szCs w:val="28"/>
              </w:rPr>
              <w:t>内蒙古自治区人民政府办公厅文电处</w:t>
            </w:r>
          </w:p>
        </w:tc>
        <w:tc>
          <w:tcPr>
            <w:tcW w:w="3812"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00" w:lineRule="exact"/>
              <w:ind w:left="315" w:leftChars="150" w:right="315" w:rightChars="150" w:firstLine="0" w:firstLineChars="0"/>
              <w:jc w:val="right"/>
              <w:textAlignment w:val="auto"/>
              <w:outlineLvl w:val="9"/>
              <w:rPr>
                <w:rFonts w:hint="eastAsia" w:ascii="仿宋" w:hAnsi="仿宋" w:eastAsia="仿宋" w:cs="仿宋"/>
                <w:sz w:val="28"/>
                <w:szCs w:val="28"/>
              </w:rPr>
            </w:pPr>
            <w:bookmarkStart w:id="1" w:name="印发日期"/>
            <w:bookmarkEnd w:id="1"/>
            <w:r>
              <w:rPr>
                <w:rFonts w:hint="eastAsia" w:ascii="仿宋" w:hAnsi="仿宋" w:eastAsia="仿宋" w:cs="仿宋"/>
                <w:sz w:val="28"/>
                <w:szCs w:val="28"/>
                <w:lang w:val="en-US" w:eastAsia="zh-CN"/>
              </w:rPr>
              <w:t>2021年12月28日</w:t>
            </w:r>
            <w:r>
              <w:rPr>
                <w:rFonts w:hint="eastAsia" w:ascii="仿宋" w:hAnsi="仿宋" w:eastAsia="仿宋" w:cs="仿宋"/>
                <w:sz w:val="28"/>
                <w:szCs w:val="28"/>
              </w:rPr>
              <w:t>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48CC"/>
    <w:rsid w:val="0001572E"/>
    <w:rsid w:val="0001671F"/>
    <w:rsid w:val="0001751F"/>
    <w:rsid w:val="00017973"/>
    <w:rsid w:val="00017C56"/>
    <w:rsid w:val="00017C8E"/>
    <w:rsid w:val="00017F0C"/>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4AAB"/>
    <w:rsid w:val="00076F96"/>
    <w:rsid w:val="00082970"/>
    <w:rsid w:val="0008397E"/>
    <w:rsid w:val="00090E87"/>
    <w:rsid w:val="00090EB2"/>
    <w:rsid w:val="00091065"/>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33FD"/>
    <w:rsid w:val="000D46E6"/>
    <w:rsid w:val="000D4B7C"/>
    <w:rsid w:val="000E189F"/>
    <w:rsid w:val="000E242A"/>
    <w:rsid w:val="000E2DE0"/>
    <w:rsid w:val="000E4A4D"/>
    <w:rsid w:val="000E5531"/>
    <w:rsid w:val="000E6931"/>
    <w:rsid w:val="000E7F78"/>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5C3C"/>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4CC2"/>
    <w:rsid w:val="00137385"/>
    <w:rsid w:val="00140625"/>
    <w:rsid w:val="00141687"/>
    <w:rsid w:val="00142107"/>
    <w:rsid w:val="00143758"/>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69"/>
    <w:rsid w:val="001D62F3"/>
    <w:rsid w:val="001E1712"/>
    <w:rsid w:val="001E3AE1"/>
    <w:rsid w:val="001E4564"/>
    <w:rsid w:val="001E463E"/>
    <w:rsid w:val="001E48FC"/>
    <w:rsid w:val="001E51E8"/>
    <w:rsid w:val="001E5754"/>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B9B"/>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2D4"/>
    <w:rsid w:val="002D2CF6"/>
    <w:rsid w:val="002D31DC"/>
    <w:rsid w:val="002D3F3C"/>
    <w:rsid w:val="002D4032"/>
    <w:rsid w:val="002D5A5E"/>
    <w:rsid w:val="002D7462"/>
    <w:rsid w:val="002E0919"/>
    <w:rsid w:val="002E2F22"/>
    <w:rsid w:val="002E3CC3"/>
    <w:rsid w:val="002E55D9"/>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4576B"/>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49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27EB"/>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6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AB3"/>
    <w:rsid w:val="004278D4"/>
    <w:rsid w:val="00430D45"/>
    <w:rsid w:val="00431DA3"/>
    <w:rsid w:val="00432A0C"/>
    <w:rsid w:val="00433DE5"/>
    <w:rsid w:val="00437A54"/>
    <w:rsid w:val="00442031"/>
    <w:rsid w:val="004443C8"/>
    <w:rsid w:val="0044481F"/>
    <w:rsid w:val="004454F7"/>
    <w:rsid w:val="00450079"/>
    <w:rsid w:val="004504E7"/>
    <w:rsid w:val="00452779"/>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0B20"/>
    <w:rsid w:val="005216DB"/>
    <w:rsid w:val="00522BE1"/>
    <w:rsid w:val="00525134"/>
    <w:rsid w:val="00527055"/>
    <w:rsid w:val="00527860"/>
    <w:rsid w:val="005302E8"/>
    <w:rsid w:val="005355C1"/>
    <w:rsid w:val="00537C60"/>
    <w:rsid w:val="005403BB"/>
    <w:rsid w:val="00540508"/>
    <w:rsid w:val="00541462"/>
    <w:rsid w:val="00545692"/>
    <w:rsid w:val="00545900"/>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5376"/>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A7B"/>
    <w:rsid w:val="005E0DCD"/>
    <w:rsid w:val="005E5234"/>
    <w:rsid w:val="005E7F3F"/>
    <w:rsid w:val="005F29F1"/>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3367"/>
    <w:rsid w:val="0063404D"/>
    <w:rsid w:val="00637C57"/>
    <w:rsid w:val="00640710"/>
    <w:rsid w:val="00642967"/>
    <w:rsid w:val="00643C82"/>
    <w:rsid w:val="0064774E"/>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618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66D83"/>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DF8"/>
    <w:rsid w:val="00814958"/>
    <w:rsid w:val="008149CF"/>
    <w:rsid w:val="00816CA5"/>
    <w:rsid w:val="00817FC3"/>
    <w:rsid w:val="00823E54"/>
    <w:rsid w:val="008244BB"/>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7D03"/>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2131"/>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77F"/>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5D06"/>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2FAC"/>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34CE7"/>
    <w:rsid w:val="00B40DCF"/>
    <w:rsid w:val="00B41574"/>
    <w:rsid w:val="00B43C7B"/>
    <w:rsid w:val="00B4489A"/>
    <w:rsid w:val="00B4656E"/>
    <w:rsid w:val="00B47AB4"/>
    <w:rsid w:val="00B509ED"/>
    <w:rsid w:val="00B5388B"/>
    <w:rsid w:val="00B54162"/>
    <w:rsid w:val="00B542D3"/>
    <w:rsid w:val="00B560B0"/>
    <w:rsid w:val="00B56A1E"/>
    <w:rsid w:val="00B57284"/>
    <w:rsid w:val="00B57DEF"/>
    <w:rsid w:val="00B6035B"/>
    <w:rsid w:val="00B64E58"/>
    <w:rsid w:val="00B666ED"/>
    <w:rsid w:val="00B70DED"/>
    <w:rsid w:val="00B713FA"/>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32E3"/>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97C5A"/>
    <w:rsid w:val="00CA30D7"/>
    <w:rsid w:val="00CA4F90"/>
    <w:rsid w:val="00CA7846"/>
    <w:rsid w:val="00CB3AE8"/>
    <w:rsid w:val="00CB3EA3"/>
    <w:rsid w:val="00CB5D2C"/>
    <w:rsid w:val="00CC14E4"/>
    <w:rsid w:val="00CC2443"/>
    <w:rsid w:val="00CD1675"/>
    <w:rsid w:val="00CD399D"/>
    <w:rsid w:val="00CD4642"/>
    <w:rsid w:val="00CD5308"/>
    <w:rsid w:val="00CE2266"/>
    <w:rsid w:val="00CE5E6E"/>
    <w:rsid w:val="00CE618F"/>
    <w:rsid w:val="00CE6508"/>
    <w:rsid w:val="00CF21D5"/>
    <w:rsid w:val="00CF77E7"/>
    <w:rsid w:val="00CF7E4F"/>
    <w:rsid w:val="00D023FE"/>
    <w:rsid w:val="00D0487F"/>
    <w:rsid w:val="00D101F0"/>
    <w:rsid w:val="00D1209D"/>
    <w:rsid w:val="00D122FC"/>
    <w:rsid w:val="00D13AEB"/>
    <w:rsid w:val="00D14674"/>
    <w:rsid w:val="00D14BFB"/>
    <w:rsid w:val="00D17773"/>
    <w:rsid w:val="00D178DE"/>
    <w:rsid w:val="00D202DB"/>
    <w:rsid w:val="00D21A57"/>
    <w:rsid w:val="00D2210B"/>
    <w:rsid w:val="00D222CE"/>
    <w:rsid w:val="00D252DC"/>
    <w:rsid w:val="00D3737D"/>
    <w:rsid w:val="00D37406"/>
    <w:rsid w:val="00D377BF"/>
    <w:rsid w:val="00D4207E"/>
    <w:rsid w:val="00D420D3"/>
    <w:rsid w:val="00D44386"/>
    <w:rsid w:val="00D444F3"/>
    <w:rsid w:val="00D4554B"/>
    <w:rsid w:val="00D530AF"/>
    <w:rsid w:val="00D54B07"/>
    <w:rsid w:val="00D55776"/>
    <w:rsid w:val="00D57267"/>
    <w:rsid w:val="00D60772"/>
    <w:rsid w:val="00D60878"/>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572"/>
    <w:rsid w:val="00E1689F"/>
    <w:rsid w:val="00E17254"/>
    <w:rsid w:val="00E212BE"/>
    <w:rsid w:val="00E21FA4"/>
    <w:rsid w:val="00E22D24"/>
    <w:rsid w:val="00E22F24"/>
    <w:rsid w:val="00E2382F"/>
    <w:rsid w:val="00E24E5D"/>
    <w:rsid w:val="00E3217C"/>
    <w:rsid w:val="00E36741"/>
    <w:rsid w:val="00E36C64"/>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4603"/>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551A"/>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B8E"/>
    <w:rsid w:val="00F72D68"/>
    <w:rsid w:val="00F72EFC"/>
    <w:rsid w:val="00F768AB"/>
    <w:rsid w:val="00F76A08"/>
    <w:rsid w:val="00F81D9A"/>
    <w:rsid w:val="00F85DCD"/>
    <w:rsid w:val="00F875D2"/>
    <w:rsid w:val="00F90490"/>
    <w:rsid w:val="00F9269E"/>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095F"/>
    <w:rsid w:val="00FF1779"/>
    <w:rsid w:val="00FF1981"/>
    <w:rsid w:val="00FF2340"/>
    <w:rsid w:val="00FF60C7"/>
    <w:rsid w:val="00FF7392"/>
    <w:rsid w:val="023B43DC"/>
    <w:rsid w:val="04A008E3"/>
    <w:rsid w:val="05462E4F"/>
    <w:rsid w:val="074D26E8"/>
    <w:rsid w:val="0DFF9AF5"/>
    <w:rsid w:val="117F71CE"/>
    <w:rsid w:val="119365DE"/>
    <w:rsid w:val="1A7D41CF"/>
    <w:rsid w:val="1BE10D4E"/>
    <w:rsid w:val="1FD3237E"/>
    <w:rsid w:val="21CE0EBF"/>
    <w:rsid w:val="255F531F"/>
    <w:rsid w:val="259B5C27"/>
    <w:rsid w:val="2D770277"/>
    <w:rsid w:val="2EB7246C"/>
    <w:rsid w:val="2F57940C"/>
    <w:rsid w:val="2F600245"/>
    <w:rsid w:val="30B32D57"/>
    <w:rsid w:val="31FF4D21"/>
    <w:rsid w:val="322D6746"/>
    <w:rsid w:val="3A851764"/>
    <w:rsid w:val="3D3B7C1A"/>
    <w:rsid w:val="3EA97209"/>
    <w:rsid w:val="42A9B0A4"/>
    <w:rsid w:val="43B61CB1"/>
    <w:rsid w:val="47903C8B"/>
    <w:rsid w:val="4B2B6E45"/>
    <w:rsid w:val="4BB12688"/>
    <w:rsid w:val="4FFBF2D0"/>
    <w:rsid w:val="50022206"/>
    <w:rsid w:val="51762C52"/>
    <w:rsid w:val="5425443B"/>
    <w:rsid w:val="58C73DBD"/>
    <w:rsid w:val="5AB65AF7"/>
    <w:rsid w:val="5BAE3879"/>
    <w:rsid w:val="5BB11256"/>
    <w:rsid w:val="5DF6E910"/>
    <w:rsid w:val="64B86B45"/>
    <w:rsid w:val="66AA20B9"/>
    <w:rsid w:val="6A531AB0"/>
    <w:rsid w:val="6BFE56A3"/>
    <w:rsid w:val="6C2CCBA9"/>
    <w:rsid w:val="6C731FB3"/>
    <w:rsid w:val="6E762357"/>
    <w:rsid w:val="6F2C465B"/>
    <w:rsid w:val="71F92AFE"/>
    <w:rsid w:val="73FAB9C3"/>
    <w:rsid w:val="759F5919"/>
    <w:rsid w:val="7837441A"/>
    <w:rsid w:val="7BC30DF9"/>
    <w:rsid w:val="7D164783"/>
    <w:rsid w:val="7DDF9420"/>
    <w:rsid w:val="7E960D71"/>
    <w:rsid w:val="7EBB8D0E"/>
    <w:rsid w:val="7F5B5FD3"/>
    <w:rsid w:val="7FB712CE"/>
    <w:rsid w:val="7FEFCB4E"/>
    <w:rsid w:val="982D2EFB"/>
    <w:rsid w:val="9FEE3464"/>
    <w:rsid w:val="A8EB9539"/>
    <w:rsid w:val="B0BDC913"/>
    <w:rsid w:val="BA7EC18F"/>
    <w:rsid w:val="BDF96553"/>
    <w:rsid w:val="CF3D8CCB"/>
    <w:rsid w:val="DE7712ED"/>
    <w:rsid w:val="DEFB01C5"/>
    <w:rsid w:val="E4FFDE4A"/>
    <w:rsid w:val="ECF7FA7D"/>
    <w:rsid w:val="EDFFBDB7"/>
    <w:rsid w:val="F76F4BD7"/>
    <w:rsid w:val="FB1D34D8"/>
    <w:rsid w:val="FC55CB50"/>
    <w:rsid w:val="FD3F45BC"/>
    <w:rsid w:val="FDEB07CC"/>
    <w:rsid w:val="FE32E851"/>
    <w:rsid w:val="FE5FE038"/>
    <w:rsid w:val="FEFC504C"/>
    <w:rsid w:val="FF7FB7EE"/>
    <w:rsid w:val="FF8B5916"/>
    <w:rsid w:val="FFB3E871"/>
    <w:rsid w:val="FFDDE7C1"/>
    <w:rsid w:val="FFE913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3">
    <w:name w:val="caption"/>
    <w:basedOn w:val="1"/>
    <w:unhideWhenUsed/>
    <w:qFormat/>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4"/>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List"/>
    <w:basedOn w:val="2"/>
    <w:uiPriority w:val="0"/>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customStyle="1" w:styleId="14">
    <w:name w:val=" Char Char2"/>
    <w:basedOn w:val="12"/>
    <w:link w:val="5"/>
    <w:uiPriority w:val="0"/>
    <w:rPr>
      <w:rFonts w:ascii="仿宋_GB2312" w:hAnsi="Times New Roman" w:eastAsia="仿宋_GB2312" w:cs="Times New Roman"/>
      <w:kern w:val="2"/>
      <w:sz w:val="32"/>
      <w:szCs w:val="24"/>
      <w:lang w:bidi="ar-SA"/>
    </w:rPr>
  </w:style>
  <w:style w:type="character" w:customStyle="1" w:styleId="15">
    <w:name w:val=" Char Char"/>
    <w:basedOn w:val="12"/>
    <w:link w:val="7"/>
    <w:semiHidden/>
    <w:uiPriority w:val="99"/>
    <w:rPr>
      <w:rFonts w:ascii="Calibri" w:hAnsi="Calibri" w:eastAsia="宋体" w:cs="Mongolian Baiti"/>
      <w:kern w:val="2"/>
      <w:sz w:val="18"/>
      <w:szCs w:val="22"/>
    </w:rPr>
  </w:style>
  <w:style w:type="character" w:customStyle="1" w:styleId="16">
    <w:name w:val=" Char Char1"/>
    <w:basedOn w:val="12"/>
    <w:link w:val="8"/>
    <w:semiHidden/>
    <w:uiPriority w:val="99"/>
    <w:rPr>
      <w:rFonts w:ascii="Calibri" w:hAnsi="Calibri" w:eastAsia="宋体" w:cs="Mongolian Baiti"/>
      <w:kern w:val="2"/>
      <w:sz w:val="18"/>
      <w:szCs w:val="22"/>
    </w:rPr>
  </w:style>
  <w:style w:type="character" w:customStyle="1" w:styleId="17">
    <w:name w:val="默认段落字体1"/>
    <w:uiPriority w:val="0"/>
    <w:rPr>
      <w:rFonts w:ascii="Times New Roman" w:hAnsi="Times New Roman" w:eastAsia="宋体" w:cs="Times New Roman"/>
    </w:rPr>
  </w:style>
  <w:style w:type="paragraph" w:customStyle="1" w:styleId="18">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9">
    <w:name w:val="Heading"/>
    <w:basedOn w:val="1"/>
    <w:next w:val="2"/>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0</TotalTime>
  <ScaleCrop>false</ScaleCrop>
  <LinksUpToDate>false</LinksUpToDate>
  <CharactersWithSpaces>101</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thtf</cp:lastModifiedBy>
  <dcterms:modified xsi:type="dcterms:W3CDTF">2021-12-31T11:53:39Z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