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印发自治区支持新型储能发展若干政策</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（2022—2025年）的通知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内政办发〔2022〕88号</w:t>
      </w:r>
    </w:p>
    <w:p>
      <w:pPr>
        <w:pStyle w:val="2"/>
        <w:keepNext w:val="0"/>
        <w:keepLines w:val="0"/>
        <w:pageBreakBefore w:val="0"/>
        <w:widowControl w:val="0"/>
        <w:kinsoku/>
        <w:wordWrap/>
        <w:overflowPunct/>
        <w:topLinePunct w:val="0"/>
        <w:autoSpaceDE/>
        <w:autoSpaceDN/>
        <w:bidi w:val="0"/>
        <w:adjustRightInd/>
        <w:snapToGrid/>
        <w:spacing w:after="0" w:line="680" w:lineRule="exact"/>
        <w:textAlignment w:val="auto"/>
        <w:rPr>
          <w:rFonts w:hint="eastAsia" w:ascii="方正楷体_GBK" w:hAnsi="方正楷体_GBK" w:eastAsia="方正楷体_GBK" w:cs="方正楷体_GBK"/>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680" w:lineRule="exact"/>
        <w:textAlignment w:val="auto"/>
        <w:rPr>
          <w:rFonts w:hint="eastAsia" w:ascii="方正楷体_GBK" w:hAnsi="方正楷体_GBK" w:eastAsia="方正楷体_GBK" w:cs="方正楷体_GBK"/>
          <w:sz w:val="32"/>
          <w:szCs w:val="32"/>
          <w:lang w:eastAsia="zh-CN"/>
        </w:rPr>
      </w:pPr>
      <w:bookmarkStart w:id="0" w:name="_GoBack"/>
      <w:r>
        <w:rPr>
          <w:rFonts w:hint="eastAsia" w:ascii="方正楷体_GBK" w:hAnsi="方正楷体_GBK" w:eastAsia="方正楷体_GBK" w:cs="方正楷体_GBK"/>
          <w:sz w:val="32"/>
          <w:szCs w:val="32"/>
          <w:lang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 现将《内蒙古自治区支持新型储能发展的若干政策（2022—2025年）》印发给你们，请结合实际，认真贯彻落实。</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pacing w:after="0" w:line="580" w:lineRule="exac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2022年12月13日</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keepNext w:val="0"/>
        <w:keepLines w:val="0"/>
        <w:pageBreakBefore w:val="0"/>
        <w:widowControl w:val="0"/>
        <w:tabs>
          <w:tab w:val="left" w:pos="4536"/>
        </w:tabs>
        <w:kinsoku/>
        <w:wordWrap/>
        <w:overflowPunct/>
        <w:topLinePunct w:val="0"/>
        <w:autoSpaceDE/>
        <w:autoSpaceDN/>
        <w:bidi w:val="0"/>
        <w:adjustRightInd/>
        <w:snapToGrid w:val="0"/>
        <w:spacing w:line="580" w:lineRule="exact"/>
        <w:ind w:firstLine="0" w:firstLineChars="0"/>
        <w:jc w:val="center"/>
        <w:textAlignment w:val="baseline"/>
        <w:outlineLvl w:val="0"/>
        <w:rPr>
          <w:rFonts w:hint="eastAsia" w:ascii="Times New Roman" w:hAnsi="Times New Roman" w:eastAsia="方正小标宋简体" w:cs="方正小标宋简体"/>
          <w:bCs/>
          <w:sz w:val="44"/>
          <w:szCs w:val="44"/>
          <w:lang w:eastAsia="zh-CN"/>
        </w:rPr>
      </w:pPr>
    </w:p>
    <w:p>
      <w:pPr>
        <w:keepNext w:val="0"/>
        <w:keepLines w:val="0"/>
        <w:pageBreakBefore w:val="0"/>
        <w:widowControl w:val="0"/>
        <w:tabs>
          <w:tab w:val="left" w:pos="4536"/>
        </w:tabs>
        <w:kinsoku/>
        <w:wordWrap/>
        <w:overflowPunct/>
        <w:topLinePunct w:val="0"/>
        <w:autoSpaceDE/>
        <w:autoSpaceDN/>
        <w:bidi w:val="0"/>
        <w:adjustRightInd/>
        <w:snapToGrid w:val="0"/>
        <w:spacing w:line="580" w:lineRule="exact"/>
        <w:ind w:firstLine="0" w:firstLineChars="0"/>
        <w:jc w:val="center"/>
        <w:textAlignment w:val="baseline"/>
        <w:outlineLvl w:val="0"/>
        <w:rPr>
          <w:rFonts w:hint="eastAsia" w:ascii="Times New Roman" w:hAnsi="Times New Roman" w:eastAsia="方正小标宋简体" w:cs="方正小标宋简体"/>
          <w:bCs/>
          <w:sz w:val="44"/>
          <w:szCs w:val="44"/>
          <w:lang w:eastAsia="zh-CN"/>
        </w:rPr>
      </w:pPr>
    </w:p>
    <w:p>
      <w:pPr>
        <w:keepNext w:val="0"/>
        <w:keepLines w:val="0"/>
        <w:pageBreakBefore w:val="0"/>
        <w:widowControl w:val="0"/>
        <w:tabs>
          <w:tab w:val="left" w:pos="4536"/>
        </w:tabs>
        <w:kinsoku/>
        <w:wordWrap/>
        <w:overflowPunct/>
        <w:topLinePunct w:val="0"/>
        <w:autoSpaceDE/>
        <w:autoSpaceDN/>
        <w:bidi w:val="0"/>
        <w:adjustRightInd/>
        <w:snapToGrid w:val="0"/>
        <w:spacing w:line="580" w:lineRule="exact"/>
        <w:ind w:firstLine="0" w:firstLineChars="0"/>
        <w:jc w:val="center"/>
        <w:textAlignment w:val="baseline"/>
        <w:outlineLvl w:val="0"/>
        <w:rPr>
          <w:rFonts w:hint="eastAsia" w:ascii="Times New Roman" w:hAnsi="Times New Roman" w:eastAsia="方正小标宋简体" w:cs="方正小标宋简体"/>
          <w:bCs/>
          <w:sz w:val="44"/>
          <w:szCs w:val="44"/>
          <w:lang w:eastAsia="zh-CN"/>
        </w:rPr>
      </w:pPr>
    </w:p>
    <w:p>
      <w:pPr>
        <w:keepNext w:val="0"/>
        <w:keepLines w:val="0"/>
        <w:pageBreakBefore w:val="0"/>
        <w:widowControl w:val="0"/>
        <w:tabs>
          <w:tab w:val="left" w:pos="4536"/>
        </w:tabs>
        <w:kinsoku/>
        <w:wordWrap/>
        <w:overflowPunct/>
        <w:topLinePunct w:val="0"/>
        <w:autoSpaceDE/>
        <w:autoSpaceDN/>
        <w:bidi w:val="0"/>
        <w:adjustRightInd/>
        <w:snapToGrid w:val="0"/>
        <w:spacing w:line="580" w:lineRule="exact"/>
        <w:ind w:firstLine="0" w:firstLineChars="0"/>
        <w:jc w:val="center"/>
        <w:textAlignment w:val="baseline"/>
        <w:outlineLvl w:val="0"/>
        <w:rPr>
          <w:rFonts w:hint="eastAsia" w:ascii="Times New Roman" w:hAnsi="Times New Roman" w:eastAsia="方正小标宋简体" w:cs="方正小标宋简体"/>
          <w:bCs/>
          <w:sz w:val="44"/>
          <w:szCs w:val="44"/>
          <w:lang w:eastAsia="zh-CN"/>
        </w:rPr>
      </w:pPr>
    </w:p>
    <w:p>
      <w:pPr>
        <w:keepNext w:val="0"/>
        <w:keepLines w:val="0"/>
        <w:pageBreakBefore w:val="0"/>
        <w:widowControl w:val="0"/>
        <w:tabs>
          <w:tab w:val="left" w:pos="4536"/>
        </w:tabs>
        <w:kinsoku/>
        <w:wordWrap/>
        <w:overflowPunct/>
        <w:topLinePunct w:val="0"/>
        <w:autoSpaceDE/>
        <w:autoSpaceDN/>
        <w:bidi w:val="0"/>
        <w:adjustRightInd/>
        <w:snapToGrid w:val="0"/>
        <w:spacing w:line="580" w:lineRule="exact"/>
        <w:ind w:firstLine="0" w:firstLineChars="0"/>
        <w:jc w:val="center"/>
        <w:textAlignment w:val="baseline"/>
        <w:outlineLvl w:val="0"/>
        <w:rPr>
          <w:rFonts w:hint="eastAsia" w:ascii="方正小标宋简体" w:hAnsi="方正小标宋简体" w:eastAsia="方正小标宋简体" w:cs="方正小标宋简体"/>
          <w:bCs/>
          <w:sz w:val="44"/>
          <w:szCs w:val="44"/>
          <w:lang w:eastAsia="zh-CN"/>
        </w:rPr>
      </w:pPr>
      <w:r>
        <w:rPr>
          <w:rFonts w:hint="eastAsia" w:ascii="Times New Roman" w:hAnsi="Times New Roman" w:eastAsia="方正小标宋简体" w:cs="方正小标宋简体"/>
          <w:bCs/>
          <w:sz w:val="44"/>
          <w:szCs w:val="44"/>
          <w:lang w:eastAsia="zh-CN"/>
        </w:rPr>
        <w:t>内蒙古自治区</w:t>
      </w:r>
      <w:r>
        <w:rPr>
          <w:rFonts w:hint="eastAsia" w:ascii="Times New Roman" w:hAnsi="Times New Roman" w:eastAsia="方正小标宋简体" w:cs="方正小标宋简体"/>
          <w:bCs/>
          <w:sz w:val="44"/>
          <w:szCs w:val="44"/>
        </w:rPr>
        <w:t>支</w:t>
      </w:r>
      <w:r>
        <w:rPr>
          <w:rFonts w:hint="eastAsia" w:ascii="方正小标宋简体" w:hAnsi="方正小标宋简体" w:eastAsia="方正小标宋简体" w:cs="方正小标宋简体"/>
          <w:bCs/>
          <w:sz w:val="44"/>
          <w:szCs w:val="44"/>
        </w:rPr>
        <w:t>持新型储能发展</w:t>
      </w:r>
      <w:r>
        <w:rPr>
          <w:rFonts w:hint="eastAsia" w:ascii="方正小标宋简体" w:hAnsi="方正小标宋简体" w:eastAsia="方正小标宋简体" w:cs="方正小标宋简体"/>
          <w:bCs/>
          <w:sz w:val="44"/>
          <w:szCs w:val="44"/>
          <w:lang w:eastAsia="zh-CN"/>
        </w:rPr>
        <w:t>的</w:t>
      </w:r>
    </w:p>
    <w:p>
      <w:pPr>
        <w:keepNext w:val="0"/>
        <w:keepLines w:val="0"/>
        <w:pageBreakBefore w:val="0"/>
        <w:widowControl w:val="0"/>
        <w:tabs>
          <w:tab w:val="left" w:pos="4536"/>
        </w:tabs>
        <w:kinsoku/>
        <w:wordWrap/>
        <w:overflowPunct/>
        <w:topLinePunct w:val="0"/>
        <w:autoSpaceDE/>
        <w:autoSpaceDN/>
        <w:bidi w:val="0"/>
        <w:adjustRightInd/>
        <w:snapToGrid w:val="0"/>
        <w:spacing w:line="580" w:lineRule="exact"/>
        <w:ind w:firstLine="0" w:firstLineChars="0"/>
        <w:jc w:val="center"/>
        <w:textAlignment w:val="baseline"/>
        <w:outlineLvl w:val="0"/>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sz w:val="44"/>
          <w:szCs w:val="44"/>
        </w:rPr>
        <w:t>若干政策</w:t>
      </w:r>
      <w:r>
        <w:rPr>
          <w:rFonts w:hint="eastAsia" w:ascii="方正小标宋简体" w:hAnsi="方正小标宋简体" w:eastAsia="方正小标宋简体" w:cs="方正小标宋简体"/>
          <w:bCs/>
          <w:kern w:val="0"/>
          <w:sz w:val="44"/>
          <w:szCs w:val="44"/>
        </w:rPr>
        <w:t>（2022</w:t>
      </w:r>
      <w:r>
        <w:rPr>
          <w:rFonts w:hint="eastAsia" w:ascii="方正小标宋简体" w:hAnsi="方正小标宋简体" w:eastAsia="方正小标宋简体" w:cs="方正小标宋简体"/>
          <w:bCs/>
          <w:kern w:val="0"/>
          <w:sz w:val="44"/>
          <w:szCs w:val="44"/>
          <w:lang w:eastAsia="zh-CN"/>
        </w:rPr>
        <w:t>—</w:t>
      </w:r>
      <w:r>
        <w:rPr>
          <w:rFonts w:hint="eastAsia" w:ascii="方正小标宋简体" w:hAnsi="方正小标宋简体" w:eastAsia="方正小标宋简体" w:cs="方正小标宋简体"/>
          <w:bCs/>
          <w:kern w:val="0"/>
          <w:sz w:val="44"/>
          <w:szCs w:val="44"/>
        </w:rPr>
        <w:t>2025年）</w:t>
      </w:r>
    </w:p>
    <w:p>
      <w:pPr>
        <w:keepNext w:val="0"/>
        <w:keepLines w:val="0"/>
        <w:pageBreakBefore w:val="0"/>
        <w:widowControl w:val="0"/>
        <w:tabs>
          <w:tab w:val="left" w:pos="4536"/>
        </w:tabs>
        <w:kinsoku/>
        <w:wordWrap/>
        <w:overflowPunct/>
        <w:topLinePunct w:val="0"/>
        <w:autoSpaceDE/>
        <w:autoSpaceDN/>
        <w:bidi w:val="0"/>
        <w:adjustRightInd/>
        <w:snapToGrid w:val="0"/>
        <w:spacing w:line="580" w:lineRule="exact"/>
        <w:ind w:firstLine="0" w:firstLineChars="0"/>
        <w:jc w:val="center"/>
        <w:textAlignment w:val="baseline"/>
        <w:rPr>
          <w:rFonts w:hint="default" w:ascii="Times New Roman" w:hAnsi="Times New Roman" w:eastAsia="仿宋_GB2312" w:cs="Times New Roman"/>
          <w:b/>
          <w:kern w:val="0"/>
          <w:sz w:val="32"/>
          <w:szCs w:val="32"/>
        </w:rPr>
      </w:pP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发展新型储能是提升电力系统调节能力、综合效率和安全保障能力，支撑新型电力系统建设的重要举措。为统筹新型储能发展各项工作，</w:t>
      </w:r>
      <w:r>
        <w:rPr>
          <w:rFonts w:hint="eastAsia" w:ascii="方正仿宋_GBK" w:hAnsi="方正仿宋_GBK" w:eastAsia="方正仿宋_GBK" w:cs="方正仿宋_GBK"/>
          <w:b w:val="0"/>
          <w:bCs w:val="0"/>
          <w:sz w:val="32"/>
          <w:szCs w:val="32"/>
          <w:lang w:eastAsia="zh-CN"/>
        </w:rPr>
        <w:t>加快开展新型储能试点示范项目建设，</w:t>
      </w:r>
      <w:r>
        <w:rPr>
          <w:rFonts w:hint="eastAsia" w:ascii="方正仿宋_GBK" w:hAnsi="方正仿宋_GBK" w:eastAsia="方正仿宋_GBK" w:cs="方正仿宋_GBK"/>
          <w:b w:val="0"/>
          <w:bCs w:val="0"/>
          <w:sz w:val="32"/>
          <w:szCs w:val="32"/>
        </w:rPr>
        <w:t>推动</w:t>
      </w:r>
      <w:r>
        <w:rPr>
          <w:rFonts w:hint="eastAsia" w:ascii="方正仿宋_GBK" w:hAnsi="方正仿宋_GBK" w:eastAsia="方正仿宋_GBK" w:cs="方正仿宋_GBK"/>
          <w:b w:val="0"/>
          <w:bCs w:val="0"/>
          <w:sz w:val="32"/>
          <w:szCs w:val="32"/>
          <w:lang w:eastAsia="zh-CN"/>
        </w:rPr>
        <w:t>全区</w:t>
      </w:r>
      <w:r>
        <w:rPr>
          <w:rFonts w:hint="eastAsia" w:ascii="方正仿宋_GBK" w:hAnsi="方正仿宋_GBK" w:eastAsia="方正仿宋_GBK" w:cs="方正仿宋_GBK"/>
          <w:b w:val="0"/>
          <w:bCs w:val="0"/>
          <w:sz w:val="32"/>
          <w:szCs w:val="32"/>
        </w:rPr>
        <w:t>新型储能</w:t>
      </w:r>
      <w:r>
        <w:rPr>
          <w:rFonts w:hint="eastAsia" w:ascii="方正仿宋_GBK" w:hAnsi="方正仿宋_GBK" w:eastAsia="方正仿宋_GBK" w:cs="方正仿宋_GBK"/>
          <w:b w:val="0"/>
          <w:bCs w:val="0"/>
          <w:sz w:val="32"/>
          <w:szCs w:val="32"/>
          <w:lang w:eastAsia="zh-CN"/>
        </w:rPr>
        <w:t>市场化、</w:t>
      </w:r>
      <w:r>
        <w:rPr>
          <w:rFonts w:hint="eastAsia" w:ascii="方正仿宋_GBK" w:hAnsi="方正仿宋_GBK" w:eastAsia="方正仿宋_GBK" w:cs="方正仿宋_GBK"/>
          <w:b w:val="0"/>
          <w:bCs w:val="0"/>
          <w:sz w:val="32"/>
          <w:szCs w:val="32"/>
        </w:rPr>
        <w:t>产业</w:t>
      </w:r>
      <w:r>
        <w:rPr>
          <w:rFonts w:hint="eastAsia" w:ascii="方正仿宋_GBK" w:hAnsi="方正仿宋_GBK" w:eastAsia="方正仿宋_GBK" w:cs="方正仿宋_GBK"/>
          <w:b w:val="0"/>
          <w:bCs w:val="0"/>
          <w:sz w:val="32"/>
          <w:szCs w:val="32"/>
          <w:lang w:eastAsia="zh-CN"/>
        </w:rPr>
        <w:t>化、规模化发展</w:t>
      </w:r>
      <w:r>
        <w:rPr>
          <w:rFonts w:hint="eastAsia" w:ascii="方正仿宋_GBK" w:hAnsi="方正仿宋_GBK" w:eastAsia="方正仿宋_GBK" w:cs="方正仿宋_GBK"/>
          <w:b w:val="0"/>
          <w:bCs w:val="0"/>
          <w:sz w:val="32"/>
          <w:szCs w:val="32"/>
        </w:rPr>
        <w:t>，结合</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实际，</w:t>
      </w:r>
      <w:r>
        <w:rPr>
          <w:rFonts w:hint="eastAsia" w:ascii="方正仿宋_GBK" w:hAnsi="方正仿宋_GBK" w:eastAsia="方正仿宋_GBK" w:cs="方正仿宋_GBK"/>
          <w:b w:val="0"/>
          <w:bCs w:val="0"/>
          <w:sz w:val="32"/>
          <w:szCs w:val="32"/>
          <w:lang w:val="en" w:eastAsia="zh-CN"/>
        </w:rPr>
        <w:t>制定</w:t>
      </w:r>
      <w:r>
        <w:rPr>
          <w:rFonts w:hint="eastAsia" w:ascii="方正仿宋_GBK" w:hAnsi="方正仿宋_GBK" w:eastAsia="方正仿宋_GBK" w:cs="方正仿宋_GBK"/>
          <w:b w:val="0"/>
          <w:bCs w:val="0"/>
          <w:sz w:val="32"/>
          <w:szCs w:val="32"/>
        </w:rPr>
        <w:t>如下</w:t>
      </w:r>
      <w:r>
        <w:rPr>
          <w:rFonts w:hint="eastAsia" w:ascii="方正仿宋_GBK" w:hAnsi="方正仿宋_GBK" w:eastAsia="方正仿宋_GBK" w:cs="方正仿宋_GBK"/>
          <w:b w:val="0"/>
          <w:bCs w:val="0"/>
          <w:sz w:val="32"/>
          <w:szCs w:val="32"/>
          <w:lang w:eastAsia="zh-CN"/>
        </w:rPr>
        <w:t>支持</w:t>
      </w:r>
      <w:r>
        <w:rPr>
          <w:rFonts w:hint="eastAsia" w:ascii="方正仿宋_GBK" w:hAnsi="方正仿宋_GBK" w:eastAsia="方正仿宋_GBK" w:cs="方正仿宋_GBK"/>
          <w:b w:val="0"/>
          <w:bCs w:val="0"/>
          <w:sz w:val="32"/>
          <w:szCs w:val="32"/>
        </w:rPr>
        <w:t>政策。</w:t>
      </w:r>
    </w:p>
    <w:p>
      <w:pPr>
        <w:keepNext w:val="0"/>
        <w:keepLines w:val="0"/>
        <w:pageBreakBefore w:val="0"/>
        <w:widowControl w:val="0"/>
        <w:kinsoku/>
        <w:wordWrap/>
        <w:overflowPunct/>
        <w:topLinePunct w:val="0"/>
        <w:autoSpaceDE/>
        <w:autoSpaceDN/>
        <w:bidi w:val="0"/>
        <w:adjustRightInd/>
        <w:spacing w:line="580" w:lineRule="exact"/>
        <w:ind w:firstLine="640" w:firstLineChars="200"/>
        <w:jc w:val="both"/>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一、支持锂电池、液流电池、压缩空气、飞轮等新型储能规模化发展布局，对其他形式储能开展试点示范工作。</w:t>
      </w:r>
      <w:r>
        <w:rPr>
          <w:rFonts w:hint="eastAsia" w:ascii="方正楷体_GBK" w:hAnsi="方正楷体_GBK" w:eastAsia="方正楷体_GBK" w:cs="方正楷体_GBK"/>
          <w:b w:val="0"/>
          <w:bCs w:val="0"/>
          <w:kern w:val="2"/>
          <w:sz w:val="32"/>
          <w:szCs w:val="32"/>
          <w:lang w:val="en-US" w:eastAsia="zh-CN" w:bidi="ar-SA"/>
        </w:rPr>
        <w:t>（责任单位：自治区各有关部门，各盟行政公署、市人民政府）</w:t>
      </w:r>
    </w:p>
    <w:p>
      <w:pPr>
        <w:keepNext w:val="0"/>
        <w:keepLines w:val="0"/>
        <w:pageBreakBefore w:val="0"/>
        <w:widowControl w:val="0"/>
        <w:kinsoku/>
        <w:wordWrap/>
        <w:overflowPunct/>
        <w:topLinePunct w:val="0"/>
        <w:autoSpaceDE/>
        <w:autoSpaceDN/>
        <w:bidi w:val="0"/>
        <w:adjustRightInd/>
        <w:spacing w:line="580" w:lineRule="exact"/>
        <w:ind w:firstLine="640" w:firstLineChars="200"/>
        <w:jc w:val="both"/>
        <w:outlineLvl w:val="0"/>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 w:eastAsia="zh-CN" w:bidi="ar-SA"/>
        </w:rPr>
        <w:t>二、新能源项目开发应按要求配建储能设施，可采用自建、租赁或购买储能服务等方式。新建保障性并网新能源项目，配建储能原则上不低于新能源项目装机容量的15%，储能时长2小时以上，保</w:t>
      </w:r>
      <w:r>
        <w:rPr>
          <w:rFonts w:hint="eastAsia" w:ascii="方正仿宋_GBK" w:hAnsi="方正仿宋_GBK" w:eastAsia="方正仿宋_GBK" w:cs="方正仿宋_GBK"/>
          <w:b w:val="0"/>
          <w:bCs w:val="0"/>
          <w:kern w:val="2"/>
          <w:sz w:val="32"/>
          <w:szCs w:val="32"/>
          <w:lang w:val="en-US" w:eastAsia="zh-CN" w:bidi="ar-SA"/>
        </w:rPr>
        <w:t>障性并网风电光伏电站配建的储能也可通过合建或改建方式整合为电源侧独立新型储能电站，接入电网并由电网直接调度，提高储能利用效率和新能源消纳能力。</w:t>
      </w:r>
      <w:r>
        <w:rPr>
          <w:rFonts w:hint="eastAsia" w:ascii="方正仿宋_GBK" w:hAnsi="方正仿宋_GBK" w:eastAsia="方正仿宋_GBK" w:cs="方正仿宋_GBK"/>
          <w:b w:val="0"/>
          <w:bCs w:val="0"/>
          <w:kern w:val="2"/>
          <w:sz w:val="32"/>
          <w:szCs w:val="32"/>
          <w:lang w:val="en" w:eastAsia="zh-CN" w:bidi="ar-SA"/>
        </w:rPr>
        <w:t>新建市场化并网新能源项目，配建储能原则上不低于新能源项目装机容量的15%，储能时长4小时以上。</w:t>
      </w:r>
      <w:r>
        <w:rPr>
          <w:rFonts w:hint="eastAsia" w:ascii="方正楷体_GBK" w:hAnsi="方正楷体_GBK" w:eastAsia="方正楷体_GBK" w:cs="方正楷体_GBK"/>
          <w:b w:val="0"/>
          <w:bCs w:val="0"/>
          <w:kern w:val="2"/>
          <w:sz w:val="32"/>
          <w:szCs w:val="32"/>
          <w:lang w:val="en-US" w:eastAsia="zh-CN" w:bidi="ar-SA"/>
        </w:rPr>
        <w:t>〔责任单位：自治区能源局、内蒙古电力（集团）公司、国网蒙东电力公司〕</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方正楷体_GBK" w:hAnsi="方正楷体_GBK" w:eastAsia="方正楷体_GBK" w:cs="方正楷体_GBK"/>
          <w:b w:val="0"/>
          <w:bCs w:val="0"/>
          <w:spacing w:val="-11"/>
          <w:sz w:val="32"/>
          <w:szCs w:val="32"/>
        </w:rPr>
      </w:pPr>
      <w:r>
        <w:rPr>
          <w:rFonts w:hint="eastAsia" w:ascii="方正仿宋_GBK" w:hAnsi="方正仿宋_GBK" w:eastAsia="方正仿宋_GBK" w:cs="方正仿宋_GBK"/>
          <w:b w:val="0"/>
          <w:bCs w:val="0"/>
          <w:sz w:val="32"/>
          <w:szCs w:val="32"/>
          <w:lang w:val="en" w:eastAsia="zh-CN"/>
        </w:rPr>
        <w:t>三、</w:t>
      </w:r>
      <w:r>
        <w:rPr>
          <w:rFonts w:hint="eastAsia" w:ascii="方正仿宋_GBK" w:hAnsi="方正仿宋_GBK" w:eastAsia="方正仿宋_GBK" w:cs="方正仿宋_GBK"/>
          <w:b w:val="0"/>
          <w:bCs w:val="0"/>
          <w:sz w:val="32"/>
          <w:szCs w:val="32"/>
        </w:rPr>
        <w:t>鼓励</w:t>
      </w:r>
      <w:r>
        <w:rPr>
          <w:rFonts w:hint="eastAsia" w:ascii="方正仿宋_GBK" w:hAnsi="方正仿宋_GBK" w:eastAsia="方正仿宋_GBK" w:cs="方正仿宋_GBK"/>
          <w:b w:val="0"/>
          <w:bCs w:val="0"/>
          <w:sz w:val="32"/>
          <w:szCs w:val="32"/>
          <w:lang w:eastAsia="zh-CN"/>
        </w:rPr>
        <w:t>新建</w:t>
      </w:r>
      <w:r>
        <w:rPr>
          <w:rFonts w:hint="eastAsia" w:ascii="方正仿宋_GBK" w:hAnsi="方正仿宋_GBK" w:eastAsia="方正仿宋_GBK" w:cs="方正仿宋_GBK"/>
          <w:b w:val="0"/>
          <w:bCs w:val="0"/>
          <w:sz w:val="32"/>
          <w:szCs w:val="32"/>
        </w:rPr>
        <w:t>电源侧独立新型储能电站</w:t>
      </w:r>
      <w:r>
        <w:rPr>
          <w:rFonts w:hint="eastAsia" w:ascii="方正仿宋_GBK" w:hAnsi="方正仿宋_GBK" w:eastAsia="方正仿宋_GBK" w:cs="方正仿宋_GBK"/>
          <w:b w:val="0"/>
          <w:bCs w:val="0"/>
          <w:sz w:val="32"/>
          <w:szCs w:val="32"/>
          <w:lang w:eastAsia="zh-CN"/>
        </w:rPr>
        <w:t>，支持</w:t>
      </w:r>
      <w:r>
        <w:rPr>
          <w:rFonts w:hint="eastAsia" w:ascii="方正仿宋_GBK" w:hAnsi="方正仿宋_GBK" w:eastAsia="方正仿宋_GBK" w:cs="方正仿宋_GBK"/>
          <w:b w:val="0"/>
          <w:bCs w:val="0"/>
          <w:sz w:val="32"/>
          <w:szCs w:val="32"/>
        </w:rPr>
        <w:t>开展出售、租</w:t>
      </w:r>
      <w:r>
        <w:rPr>
          <w:rFonts w:hint="eastAsia" w:ascii="方正仿宋_GBK" w:hAnsi="方正仿宋_GBK" w:eastAsia="方正仿宋_GBK" w:cs="方正仿宋_GBK"/>
          <w:b w:val="0"/>
          <w:bCs w:val="0"/>
          <w:spacing w:val="-11"/>
          <w:sz w:val="32"/>
          <w:szCs w:val="32"/>
        </w:rPr>
        <w:t>赁调峰容量等共享服务，建立完善协调运营、利益共享机制，促进产业多元化、市场化发展。</w:t>
      </w:r>
      <w:r>
        <w:rPr>
          <w:rFonts w:hint="eastAsia" w:ascii="方正楷体_GBK" w:hAnsi="方正楷体_GBK" w:eastAsia="方正楷体_GBK" w:cs="方正楷体_GBK"/>
          <w:b w:val="0"/>
          <w:bCs w:val="0"/>
          <w:spacing w:val="-11"/>
          <w:sz w:val="32"/>
          <w:szCs w:val="32"/>
          <w:lang w:eastAsia="zh-CN"/>
        </w:rPr>
        <w:t>〔</w:t>
      </w:r>
      <w:r>
        <w:rPr>
          <w:rFonts w:hint="eastAsia" w:ascii="方正楷体_GBK" w:hAnsi="方正楷体_GBK" w:eastAsia="方正楷体_GBK" w:cs="方正楷体_GBK"/>
          <w:b w:val="0"/>
          <w:bCs w:val="0"/>
          <w:spacing w:val="-11"/>
          <w:sz w:val="32"/>
          <w:szCs w:val="32"/>
        </w:rPr>
        <w:t>责任单位：自治区能源局、</w:t>
      </w:r>
      <w:r>
        <w:rPr>
          <w:rFonts w:hint="eastAsia" w:ascii="方正楷体_GBK" w:hAnsi="方正楷体_GBK" w:eastAsia="方正楷体_GBK" w:cs="方正楷体_GBK"/>
          <w:b w:val="0"/>
          <w:bCs w:val="0"/>
          <w:spacing w:val="-11"/>
          <w:sz w:val="32"/>
          <w:szCs w:val="32"/>
          <w:lang w:val="en"/>
        </w:rPr>
        <w:t>自治区工业和信息化厅、</w:t>
      </w:r>
      <w:r>
        <w:rPr>
          <w:rFonts w:hint="eastAsia" w:ascii="方正楷体_GBK" w:hAnsi="方正楷体_GBK" w:eastAsia="方正楷体_GBK" w:cs="方正楷体_GBK"/>
          <w:b w:val="0"/>
          <w:bCs w:val="0"/>
          <w:spacing w:val="-11"/>
          <w:sz w:val="32"/>
          <w:szCs w:val="32"/>
          <w:lang w:eastAsia="zh-CN"/>
        </w:rPr>
        <w:t>内蒙古电力（集团）公司</w:t>
      </w:r>
      <w:r>
        <w:rPr>
          <w:rFonts w:hint="eastAsia" w:ascii="方正楷体_GBK" w:hAnsi="方正楷体_GBK" w:eastAsia="方正楷体_GBK" w:cs="方正楷体_GBK"/>
          <w:b w:val="0"/>
          <w:bCs w:val="0"/>
          <w:spacing w:val="-11"/>
          <w:sz w:val="32"/>
          <w:szCs w:val="32"/>
        </w:rPr>
        <w:t>、</w:t>
      </w:r>
      <w:r>
        <w:rPr>
          <w:rFonts w:hint="eastAsia" w:ascii="方正楷体_GBK" w:hAnsi="方正楷体_GBK" w:eastAsia="方正楷体_GBK" w:cs="方正楷体_GBK"/>
          <w:b w:val="0"/>
          <w:bCs w:val="0"/>
          <w:spacing w:val="-11"/>
          <w:sz w:val="32"/>
          <w:szCs w:val="32"/>
          <w:lang w:eastAsia="zh-CN"/>
        </w:rPr>
        <w:t>国网蒙东电力公司〕</w:t>
      </w:r>
    </w:p>
    <w:p>
      <w:pPr>
        <w:keepNext w:val="0"/>
        <w:keepLines w:val="0"/>
        <w:pageBreakBefore w:val="0"/>
        <w:widowControl w:val="0"/>
        <w:kinsoku/>
        <w:wordWrap/>
        <w:overflowPunct/>
        <w:topLinePunct w:val="0"/>
        <w:autoSpaceDE/>
        <w:autoSpaceDN/>
        <w:bidi w:val="0"/>
        <w:adjustRightInd/>
        <w:spacing w:line="580" w:lineRule="exact"/>
        <w:ind w:firstLine="640" w:firstLineChars="200"/>
        <w:jc w:val="both"/>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四、</w:t>
      </w:r>
      <w:r>
        <w:rPr>
          <w:rFonts w:hint="eastAsia" w:ascii="方正仿宋_GBK" w:hAnsi="方正仿宋_GBK" w:eastAsia="方正仿宋_GBK" w:cs="方正仿宋_GBK"/>
          <w:b w:val="0"/>
          <w:bCs w:val="0"/>
          <w:kern w:val="2"/>
          <w:sz w:val="32"/>
          <w:szCs w:val="32"/>
          <w:lang w:val="en" w:eastAsia="zh-CN" w:bidi="ar-SA"/>
        </w:rPr>
        <w:t>支持企业</w:t>
      </w:r>
      <w:r>
        <w:rPr>
          <w:rFonts w:hint="eastAsia" w:ascii="方正仿宋_GBK" w:hAnsi="方正仿宋_GBK" w:eastAsia="方正仿宋_GBK" w:cs="方正仿宋_GBK"/>
          <w:b w:val="0"/>
          <w:bCs w:val="0"/>
          <w:kern w:val="2"/>
          <w:sz w:val="32"/>
          <w:szCs w:val="32"/>
          <w:lang w:val="en-US" w:eastAsia="zh-CN" w:bidi="ar-SA"/>
        </w:rPr>
        <w:t>在电网关键节点、薄弱区域合理布局电网侧独立新型储能电站，提高电网系统灵活调节和供电能力。电网侧独立新型储能电站可自主选择参与电能量（中长期交易、现货）、辅助服务等市场，也可部分容量分别参与上述市场交易。</w:t>
      </w:r>
      <w:r>
        <w:rPr>
          <w:rFonts w:hint="eastAsia" w:ascii="方正楷体_GBK" w:hAnsi="方正楷体_GBK" w:eastAsia="方正楷体_GBK" w:cs="方正楷体_GBK"/>
          <w:b w:val="0"/>
          <w:bCs w:val="0"/>
          <w:kern w:val="2"/>
          <w:sz w:val="32"/>
          <w:szCs w:val="32"/>
          <w:lang w:val="en-US" w:eastAsia="zh-CN" w:bidi="ar-SA"/>
        </w:rPr>
        <w:t>〔责任单位：自治区能源局、工业和信息化厅，内蒙古电力（集团）公司、国网蒙东电力公司〕</w:t>
      </w:r>
    </w:p>
    <w:p>
      <w:pPr>
        <w:keepNext w:val="0"/>
        <w:keepLines w:val="0"/>
        <w:pageBreakBefore w:val="0"/>
        <w:widowControl w:val="0"/>
        <w:kinsoku/>
        <w:wordWrap/>
        <w:overflowPunct/>
        <w:topLinePunct w:val="0"/>
        <w:autoSpaceDE/>
        <w:autoSpaceDN/>
        <w:bidi w:val="0"/>
        <w:adjustRightInd/>
        <w:spacing w:line="580" w:lineRule="exact"/>
        <w:ind w:firstLine="640" w:firstLineChars="200"/>
        <w:jc w:val="both"/>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五、支持用能企业建设用户侧储能，支持聚合利用不间断电源、电动汽车、充换电设施、蓄热式电供暖等分散式储能设施，探索智慧能源、虚拟电厂等多种商业模式。</w:t>
      </w:r>
      <w:r>
        <w:rPr>
          <w:rFonts w:hint="eastAsia" w:ascii="方正楷体_GBK" w:hAnsi="方正楷体_GBK" w:eastAsia="方正楷体_GBK" w:cs="方正楷体_GBK"/>
          <w:b w:val="0"/>
          <w:bCs w:val="0"/>
          <w:kern w:val="2"/>
          <w:sz w:val="32"/>
          <w:szCs w:val="32"/>
          <w:lang w:val="en-US" w:eastAsia="zh-CN" w:bidi="ar-SA"/>
        </w:rPr>
        <w:t>（责任单位：自治区工业和信息化厅、能源局、科技厅）</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方正楷体_GBK" w:hAnsi="方正楷体_GBK" w:eastAsia="方正楷体_GBK" w:cs="方正楷体_GBK"/>
          <w:b w:val="0"/>
          <w:bCs w:val="0"/>
          <w:sz w:val="32"/>
          <w:szCs w:val="32"/>
        </w:rPr>
      </w:pPr>
      <w:r>
        <w:rPr>
          <w:rFonts w:hint="eastAsia" w:ascii="方正仿宋_GBK" w:hAnsi="方正仿宋_GBK" w:eastAsia="方正仿宋_GBK" w:cs="方正仿宋_GBK"/>
          <w:b w:val="0"/>
          <w:bCs w:val="0"/>
          <w:sz w:val="32"/>
          <w:szCs w:val="32"/>
          <w:lang w:eastAsia="zh-CN"/>
        </w:rPr>
        <w:t>六、</w:t>
      </w:r>
      <w:r>
        <w:rPr>
          <w:rFonts w:hint="eastAsia" w:ascii="方正仿宋_GBK" w:hAnsi="方正仿宋_GBK" w:eastAsia="方正仿宋_GBK" w:cs="方正仿宋_GBK"/>
          <w:b w:val="0"/>
          <w:bCs w:val="0"/>
          <w:sz w:val="32"/>
          <w:szCs w:val="32"/>
        </w:rPr>
        <w:t>开展独立新型储能电站示范项目建设，通过</w:t>
      </w:r>
      <w:r>
        <w:rPr>
          <w:rFonts w:hint="eastAsia" w:ascii="方正仿宋_GBK" w:hAnsi="方正仿宋_GBK" w:eastAsia="方正仿宋_GBK" w:cs="方正仿宋_GBK"/>
          <w:b w:val="0"/>
          <w:bCs w:val="0"/>
          <w:sz w:val="32"/>
          <w:szCs w:val="32"/>
          <w:lang w:eastAsia="zh-CN"/>
        </w:rPr>
        <w:t>竞争性招标方式确定示范项目，</w:t>
      </w:r>
      <w:r>
        <w:rPr>
          <w:rFonts w:hint="eastAsia" w:ascii="方正仿宋_GBK" w:hAnsi="方正仿宋_GBK" w:eastAsia="方正仿宋_GBK" w:cs="方正仿宋_GBK"/>
          <w:b w:val="0"/>
          <w:bCs w:val="0"/>
          <w:sz w:val="32"/>
          <w:szCs w:val="32"/>
        </w:rPr>
        <w:t>原则上单个</w:t>
      </w:r>
      <w:r>
        <w:rPr>
          <w:rFonts w:hint="eastAsia" w:ascii="方正仿宋_GBK" w:hAnsi="方正仿宋_GBK" w:eastAsia="方正仿宋_GBK" w:cs="方正仿宋_GBK"/>
          <w:b w:val="0"/>
          <w:bCs w:val="0"/>
          <w:sz w:val="32"/>
          <w:szCs w:val="32"/>
          <w:lang w:eastAsia="zh-CN"/>
        </w:rPr>
        <w:t>储能</w:t>
      </w:r>
      <w:r>
        <w:rPr>
          <w:rFonts w:hint="eastAsia" w:ascii="方正仿宋_GBK" w:hAnsi="方正仿宋_GBK" w:eastAsia="方正仿宋_GBK" w:cs="方正仿宋_GBK"/>
          <w:b w:val="0"/>
          <w:bCs w:val="0"/>
          <w:sz w:val="32"/>
          <w:szCs w:val="32"/>
        </w:rPr>
        <w:t>电站规模不小于</w:t>
      </w: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0万千瓦、时长不低于2小时。</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责任单位：自治区能源局、</w:t>
      </w:r>
      <w:r>
        <w:rPr>
          <w:rFonts w:hint="eastAsia" w:ascii="方正楷体_GBK" w:hAnsi="方正楷体_GBK" w:eastAsia="方正楷体_GBK" w:cs="方正楷体_GBK"/>
          <w:b w:val="0"/>
          <w:bCs w:val="0"/>
          <w:sz w:val="32"/>
          <w:szCs w:val="32"/>
          <w:lang w:eastAsia="zh-CN"/>
        </w:rPr>
        <w:t>内蒙古电力（集团）公司</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国网蒙东电力公司〕</w:t>
      </w:r>
    </w:p>
    <w:p>
      <w:pPr>
        <w:keepNext w:val="0"/>
        <w:keepLines w:val="0"/>
        <w:pageBreakBefore w:val="0"/>
        <w:widowControl w:val="0"/>
        <w:kinsoku/>
        <w:wordWrap/>
        <w:overflowPunct/>
        <w:topLinePunct w:val="0"/>
        <w:autoSpaceDE/>
        <w:autoSpaceDN/>
        <w:bidi w:val="0"/>
        <w:adjustRightInd/>
        <w:spacing w:line="580" w:lineRule="exact"/>
        <w:ind w:firstLine="640" w:firstLineChars="200"/>
        <w:jc w:val="both"/>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七、加大分时电价实施力度，适时调整峰谷电价价差至3∶1以上，为新型储能发展创造盈利空间。</w:t>
      </w:r>
      <w:r>
        <w:rPr>
          <w:rFonts w:hint="eastAsia" w:ascii="方正楷体_GBK" w:hAnsi="方正楷体_GBK" w:eastAsia="方正楷体_GBK" w:cs="方正楷体_GBK"/>
          <w:b w:val="0"/>
          <w:bCs w:val="0"/>
          <w:kern w:val="2"/>
          <w:sz w:val="32"/>
          <w:szCs w:val="32"/>
          <w:lang w:val="en-US" w:eastAsia="zh-CN" w:bidi="ar-SA"/>
        </w:rPr>
        <w:t>〔责任单位：自治区发展改革委、工业和信息化厅，内蒙古电力（集团）公司、国网蒙东电力公司〕</w:t>
      </w:r>
    </w:p>
    <w:p>
      <w:pPr>
        <w:keepNext w:val="0"/>
        <w:keepLines w:val="0"/>
        <w:pageBreakBefore w:val="0"/>
        <w:widowControl w:val="0"/>
        <w:kinsoku/>
        <w:wordWrap/>
        <w:overflowPunct/>
        <w:topLinePunct w:val="0"/>
        <w:autoSpaceDE/>
        <w:autoSpaceDN/>
        <w:bidi w:val="0"/>
        <w:adjustRightInd/>
        <w:spacing w:line="580" w:lineRule="exact"/>
        <w:ind w:firstLine="640" w:firstLineChars="200"/>
        <w:jc w:val="both"/>
        <w:rPr>
          <w:rFonts w:hint="eastAsia" w:ascii="方正仿宋_GBK" w:hAnsi="方正仿宋_GBK" w:eastAsia="方正仿宋_GBK" w:cs="方正仿宋_GBK"/>
          <w:b w:val="0"/>
          <w:bCs w:val="0"/>
          <w:kern w:val="2"/>
          <w:sz w:val="32"/>
          <w:szCs w:val="32"/>
          <w:u w:val="thick"/>
          <w:lang w:val="en-US" w:eastAsia="zh-CN" w:bidi="ar-SA"/>
        </w:rPr>
      </w:pPr>
      <w:r>
        <w:rPr>
          <w:rFonts w:hint="eastAsia" w:ascii="方正仿宋_GBK" w:hAnsi="方正仿宋_GBK" w:eastAsia="方正仿宋_GBK" w:cs="方正仿宋_GBK"/>
          <w:b w:val="0"/>
          <w:bCs w:val="0"/>
          <w:kern w:val="2"/>
          <w:sz w:val="32"/>
          <w:szCs w:val="32"/>
          <w:lang w:val="en-US" w:eastAsia="zh-CN" w:bidi="ar-SA"/>
        </w:rPr>
        <w:t>八、独立新型储能电站向电网送电的，相应充电电量不承担输配电价和政府性基金及附加。</w:t>
      </w:r>
      <w:r>
        <w:rPr>
          <w:rFonts w:hint="eastAsia" w:ascii="方正楷体_GBK" w:hAnsi="方正楷体_GBK" w:eastAsia="方正楷体_GBK" w:cs="方正楷体_GBK"/>
          <w:b w:val="0"/>
          <w:bCs w:val="0"/>
          <w:kern w:val="2"/>
          <w:sz w:val="32"/>
          <w:szCs w:val="32"/>
          <w:lang w:val="en-US" w:eastAsia="zh-CN" w:bidi="ar-SA"/>
        </w:rPr>
        <w:t>〔责任单位：自治区发展改革委、能源局，内蒙古电力（集团）公司、国网蒙东电力公司〕</w:t>
      </w:r>
    </w:p>
    <w:p>
      <w:pPr>
        <w:keepNext w:val="0"/>
        <w:keepLines w:val="0"/>
        <w:pageBreakBefore w:val="0"/>
        <w:widowControl w:val="0"/>
        <w:kinsoku/>
        <w:wordWrap/>
        <w:overflowPunct/>
        <w:topLinePunct w:val="0"/>
        <w:autoSpaceDE/>
        <w:autoSpaceDN/>
        <w:bidi w:val="0"/>
        <w:adjustRightInd/>
        <w:spacing w:line="580" w:lineRule="exact"/>
        <w:ind w:firstLine="640" w:firstLineChars="200"/>
        <w:jc w:val="both"/>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九、鼓励独立新型储能电站参与电力辅助服务市场，储能电站自主报价参与市场，根据市场规则出清。</w:t>
      </w:r>
      <w:r>
        <w:rPr>
          <w:rFonts w:hint="eastAsia" w:ascii="方正楷体_GBK" w:hAnsi="方正楷体_GBK" w:eastAsia="方正楷体_GBK" w:cs="方正楷体_GBK"/>
          <w:b w:val="0"/>
          <w:bCs w:val="0"/>
          <w:kern w:val="2"/>
          <w:sz w:val="32"/>
          <w:szCs w:val="32"/>
          <w:lang w:val="en-US" w:eastAsia="zh-CN" w:bidi="ar-SA"/>
        </w:rPr>
        <w:t>〔责任单位：自治区能源局、工业和信息化厅，内蒙古电力（集团）公司、国网蒙东电力公司〕</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方正楷体_GBK" w:hAnsi="方正楷体_GBK" w:eastAsia="方正楷体_GBK" w:cs="方正楷体_GBK"/>
          <w:b w:val="0"/>
          <w:bCs w:val="0"/>
          <w:sz w:val="32"/>
          <w:szCs w:val="32"/>
        </w:rPr>
      </w:pPr>
      <w:r>
        <w:rPr>
          <w:rFonts w:hint="eastAsia" w:ascii="方正仿宋_GBK" w:hAnsi="方正仿宋_GBK" w:eastAsia="方正仿宋_GBK" w:cs="方正仿宋_GBK"/>
          <w:b w:val="0"/>
          <w:bCs w:val="0"/>
          <w:sz w:val="32"/>
          <w:szCs w:val="32"/>
          <w:lang w:eastAsia="zh-CN"/>
        </w:rPr>
        <w:t>十、建立市场化补偿机制，</w:t>
      </w:r>
      <w:r>
        <w:rPr>
          <w:rFonts w:hint="eastAsia" w:ascii="方正仿宋_GBK" w:hAnsi="方正仿宋_GBK" w:eastAsia="方正仿宋_GBK" w:cs="方正仿宋_GBK"/>
          <w:b w:val="0"/>
          <w:bCs w:val="0"/>
          <w:sz w:val="32"/>
          <w:szCs w:val="32"/>
        </w:rPr>
        <w:t>纳入自治区示范项目的独立新型储能电站享受容量补偿，</w:t>
      </w:r>
      <w:r>
        <w:rPr>
          <w:rFonts w:hint="eastAsia" w:ascii="方正仿宋_GBK" w:hAnsi="方正仿宋_GBK" w:eastAsia="方正仿宋_GBK" w:cs="方正仿宋_GBK"/>
          <w:b w:val="0"/>
          <w:bCs w:val="0"/>
          <w:sz w:val="32"/>
          <w:szCs w:val="32"/>
          <w:lang w:eastAsia="zh-CN"/>
        </w:rPr>
        <w:t>补偿上限为</w:t>
      </w:r>
      <w:r>
        <w:rPr>
          <w:rFonts w:hint="eastAsia" w:ascii="方正仿宋_GBK" w:hAnsi="方正仿宋_GBK" w:eastAsia="方正仿宋_GBK" w:cs="方正仿宋_GBK"/>
          <w:b w:val="0"/>
          <w:bCs w:val="0"/>
          <w:sz w:val="32"/>
          <w:szCs w:val="32"/>
        </w:rPr>
        <w:t>0.35元/千瓦时，补偿期</w:t>
      </w:r>
      <w:r>
        <w:rPr>
          <w:rFonts w:hint="eastAsia" w:ascii="方正仿宋_GBK" w:hAnsi="方正仿宋_GBK" w:eastAsia="方正仿宋_GBK" w:cs="方正仿宋_GBK"/>
          <w:b w:val="0"/>
          <w:bCs w:val="0"/>
          <w:sz w:val="32"/>
          <w:szCs w:val="32"/>
          <w:lang w:eastAsia="zh-CN"/>
        </w:rPr>
        <w:t>不超过</w:t>
      </w:r>
      <w:r>
        <w:rPr>
          <w:rFonts w:hint="eastAsia" w:ascii="方正仿宋_GBK" w:hAnsi="方正仿宋_GBK" w:eastAsia="方正仿宋_GBK" w:cs="方正仿宋_GBK"/>
          <w:b w:val="0"/>
          <w:bCs w:val="0"/>
          <w:sz w:val="32"/>
          <w:szCs w:val="32"/>
        </w:rPr>
        <w:t>10年</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容量补偿费用按放电量计算，根据实际调用电量，</w:t>
      </w:r>
      <w:r>
        <w:rPr>
          <w:rFonts w:hint="eastAsia" w:ascii="方正仿宋_GBK" w:hAnsi="方正仿宋_GBK" w:eastAsia="方正仿宋_GBK" w:cs="方正仿宋_GBK"/>
          <w:b w:val="0"/>
          <w:bCs w:val="0"/>
          <w:sz w:val="32"/>
          <w:szCs w:val="32"/>
          <w:highlight w:val="none"/>
        </w:rPr>
        <w:t>由未提供有偿调峰服务的</w:t>
      </w:r>
      <w:r>
        <w:rPr>
          <w:rFonts w:hint="eastAsia" w:ascii="方正仿宋_GBK" w:hAnsi="方正仿宋_GBK" w:eastAsia="方正仿宋_GBK" w:cs="方正仿宋_GBK"/>
          <w:b w:val="0"/>
          <w:bCs w:val="0"/>
          <w:sz w:val="32"/>
          <w:szCs w:val="32"/>
          <w:highlight w:val="none"/>
          <w:lang w:eastAsia="zh-CN"/>
        </w:rPr>
        <w:t>市场主体</w:t>
      </w:r>
      <w:r>
        <w:rPr>
          <w:rFonts w:hint="eastAsia" w:ascii="方正仿宋_GBK" w:hAnsi="方正仿宋_GBK" w:eastAsia="方正仿宋_GBK" w:cs="方正仿宋_GBK"/>
          <w:b w:val="0"/>
          <w:bCs w:val="0"/>
          <w:sz w:val="32"/>
          <w:szCs w:val="32"/>
          <w:highlight w:val="none"/>
        </w:rPr>
        <w:t>分摊</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rPr>
        <w:t>如有容量市场相关政策出台，按新政策执行。</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责任单位：</w:t>
      </w:r>
      <w:r>
        <w:rPr>
          <w:rFonts w:hint="eastAsia" w:ascii="方正楷体_GBK" w:hAnsi="方正楷体_GBK" w:eastAsia="方正楷体_GBK" w:cs="方正楷体_GBK"/>
          <w:b w:val="0"/>
          <w:bCs w:val="0"/>
          <w:sz w:val="32"/>
          <w:szCs w:val="32"/>
          <w:lang w:eastAsia="zh-CN"/>
        </w:rPr>
        <w:t>自治区</w:t>
      </w:r>
      <w:r>
        <w:rPr>
          <w:rFonts w:hint="eastAsia" w:ascii="方正楷体_GBK" w:hAnsi="方正楷体_GBK" w:eastAsia="方正楷体_GBK" w:cs="方正楷体_GBK"/>
          <w:b w:val="0"/>
          <w:bCs w:val="0"/>
          <w:sz w:val="32"/>
          <w:szCs w:val="32"/>
        </w:rPr>
        <w:t>能源局、工业和信息化厅</w:t>
      </w:r>
      <w:r>
        <w:rPr>
          <w:rFonts w:hint="eastAsia" w:ascii="方正楷体_GBK" w:hAnsi="方正楷体_GBK" w:eastAsia="方正楷体_GBK" w:cs="方正楷体_GBK"/>
          <w:b w:val="0"/>
          <w:bCs w:val="0"/>
          <w:sz w:val="32"/>
          <w:szCs w:val="32"/>
          <w:lang w:eastAsia="zh-CN"/>
        </w:rPr>
        <w:t>，内蒙古电力（集团）公司</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国网蒙东电力公司〕</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方正楷体_GBK" w:hAnsi="方正楷体_GBK" w:eastAsia="方正楷体_GBK" w:cs="方正楷体_GBK"/>
          <w:b w:val="0"/>
          <w:bCs w:val="0"/>
          <w:sz w:val="32"/>
          <w:szCs w:val="32"/>
        </w:rPr>
      </w:pPr>
      <w:r>
        <w:rPr>
          <w:rFonts w:hint="eastAsia" w:ascii="方正仿宋_GBK" w:hAnsi="方正仿宋_GBK" w:eastAsia="方正仿宋_GBK" w:cs="方正仿宋_GBK"/>
          <w:b w:val="0"/>
          <w:bCs w:val="0"/>
          <w:sz w:val="32"/>
          <w:szCs w:val="32"/>
          <w:lang w:eastAsia="zh-CN"/>
        </w:rPr>
        <w:t>十一、</w:t>
      </w:r>
      <w:r>
        <w:rPr>
          <w:rFonts w:hint="eastAsia" w:ascii="方正仿宋_GBK" w:hAnsi="方正仿宋_GBK" w:eastAsia="方正仿宋_GBK" w:cs="方正仿宋_GBK"/>
          <w:b w:val="0"/>
          <w:bCs w:val="0"/>
          <w:sz w:val="32"/>
          <w:szCs w:val="32"/>
        </w:rPr>
        <w:t>鼓励独立新型储能电站通过租赁、出售等市场化方式获得收益，对应容量不再享受</w:t>
      </w:r>
      <w:r>
        <w:rPr>
          <w:rFonts w:hint="eastAsia" w:ascii="方正仿宋_GBK" w:hAnsi="方正仿宋_GBK" w:eastAsia="方正仿宋_GBK" w:cs="方正仿宋_GBK"/>
          <w:b w:val="0"/>
          <w:bCs w:val="0"/>
          <w:sz w:val="32"/>
          <w:szCs w:val="32"/>
          <w:lang w:eastAsia="zh-CN"/>
        </w:rPr>
        <w:t>容量</w:t>
      </w:r>
      <w:r>
        <w:rPr>
          <w:rFonts w:hint="eastAsia" w:ascii="方正仿宋_GBK" w:hAnsi="方正仿宋_GBK" w:eastAsia="方正仿宋_GBK" w:cs="方正仿宋_GBK"/>
          <w:b w:val="0"/>
          <w:bCs w:val="0"/>
          <w:sz w:val="32"/>
          <w:szCs w:val="32"/>
        </w:rPr>
        <w:t>补偿。</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责任单位：</w:t>
      </w:r>
      <w:r>
        <w:rPr>
          <w:rFonts w:hint="eastAsia" w:ascii="方正楷体_GBK" w:hAnsi="方正楷体_GBK" w:eastAsia="方正楷体_GBK" w:cs="方正楷体_GBK"/>
          <w:b w:val="0"/>
          <w:bCs w:val="0"/>
          <w:sz w:val="32"/>
          <w:szCs w:val="32"/>
          <w:lang w:eastAsia="zh-CN"/>
        </w:rPr>
        <w:t>自治区</w:t>
      </w:r>
      <w:r>
        <w:rPr>
          <w:rFonts w:hint="eastAsia" w:ascii="方正楷体_GBK" w:hAnsi="方正楷体_GBK" w:eastAsia="方正楷体_GBK" w:cs="方正楷体_GBK"/>
          <w:b w:val="0"/>
          <w:bCs w:val="0"/>
          <w:sz w:val="32"/>
          <w:szCs w:val="32"/>
        </w:rPr>
        <w:t>能源局、工业和信息化厅、</w:t>
      </w:r>
      <w:r>
        <w:rPr>
          <w:rFonts w:hint="eastAsia" w:ascii="方正楷体_GBK" w:hAnsi="方正楷体_GBK" w:eastAsia="方正楷体_GBK" w:cs="方正楷体_GBK"/>
          <w:b w:val="0"/>
          <w:bCs w:val="0"/>
          <w:sz w:val="32"/>
          <w:szCs w:val="32"/>
          <w:lang w:eastAsia="zh-CN"/>
        </w:rPr>
        <w:t>内蒙古电力（集团）公司</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国网蒙东电力公司〕</w:t>
      </w:r>
    </w:p>
    <w:p>
      <w:pPr>
        <w:keepNext w:val="0"/>
        <w:keepLines w:val="0"/>
        <w:pageBreakBefore w:val="0"/>
        <w:widowControl w:val="0"/>
        <w:kinsoku/>
        <w:wordWrap/>
        <w:overflowPunct/>
        <w:topLinePunct w:val="0"/>
        <w:autoSpaceDE/>
        <w:autoSpaceDN/>
        <w:bidi w:val="0"/>
        <w:adjustRightInd/>
        <w:spacing w:line="580" w:lineRule="exact"/>
        <w:ind w:firstLine="640" w:firstLineChars="200"/>
        <w:rPr>
          <w:rFonts w:hint="eastAsia" w:ascii="方正楷体_GBK" w:hAnsi="方正楷体_GBK" w:eastAsia="方正楷体_GBK" w:cs="方正楷体_GBK"/>
          <w:b w:val="0"/>
          <w:bCs w:val="0"/>
          <w:sz w:val="32"/>
          <w:szCs w:val="32"/>
        </w:rPr>
      </w:pPr>
      <w:r>
        <w:rPr>
          <w:rFonts w:hint="eastAsia" w:ascii="方正仿宋_GBK" w:hAnsi="方正仿宋_GBK" w:eastAsia="方正仿宋_GBK" w:cs="方正仿宋_GBK"/>
          <w:b w:val="0"/>
          <w:bCs w:val="0"/>
          <w:sz w:val="32"/>
          <w:szCs w:val="32"/>
          <w:lang w:eastAsia="zh-CN"/>
        </w:rPr>
        <w:t>十二、</w:t>
      </w:r>
      <w:r>
        <w:rPr>
          <w:rFonts w:hint="eastAsia" w:ascii="方正仿宋_GBK" w:hAnsi="方正仿宋_GBK" w:eastAsia="方正仿宋_GBK" w:cs="方正仿宋_GBK"/>
          <w:b w:val="0"/>
          <w:bCs w:val="0"/>
          <w:sz w:val="32"/>
          <w:szCs w:val="32"/>
        </w:rPr>
        <w:t>支持新型储能全产业链发展</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重点引进电解液、电芯、BMS、PCS、EMS、空气压缩机、系统集成等核心装备。</w:t>
      </w:r>
      <w:r>
        <w:rPr>
          <w:rFonts w:hint="eastAsia" w:ascii="方正楷体_GBK" w:hAnsi="方正楷体_GBK" w:eastAsia="方正楷体_GBK" w:cs="方正楷体_GBK"/>
          <w:b w:val="0"/>
          <w:bCs w:val="0"/>
          <w:sz w:val="32"/>
          <w:szCs w:val="32"/>
        </w:rPr>
        <w:t>（责任单位：自治区能源局、工业和信息化厅，各盟行政公署、市人民政府）</w:t>
      </w:r>
    </w:p>
    <w:p>
      <w:pPr>
        <w:keepNext w:val="0"/>
        <w:keepLines w:val="0"/>
        <w:pageBreakBefore w:val="0"/>
        <w:widowControl w:val="0"/>
        <w:kinsoku/>
        <w:wordWrap/>
        <w:overflowPunct/>
        <w:topLinePunct w:val="0"/>
        <w:autoSpaceDE/>
        <w:autoSpaceDN/>
        <w:bidi w:val="0"/>
        <w:adjustRightInd/>
        <w:spacing w:line="580" w:lineRule="exact"/>
        <w:ind w:firstLine="640" w:firstLineChars="200"/>
        <w:jc w:val="both"/>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十三、支持新型储能应用基础研究、关键技术攻关、标准编制和成果转化，鼓励开展新型储能技术应用及商业应用示范、首台（套）重大技术装备示范，鼓励企业牵头建立新型研发机构、重点实验室、创新联合体，开展新型储能技术协同攻关，对符合条件的推荐纳入“科技兴蒙”政策支持范围。</w:t>
      </w:r>
      <w:r>
        <w:rPr>
          <w:rFonts w:hint="eastAsia" w:ascii="方正楷体_GBK" w:hAnsi="方正楷体_GBK" w:eastAsia="方正楷体_GBK" w:cs="方正楷体_GBK"/>
          <w:b w:val="0"/>
          <w:bCs w:val="0"/>
          <w:kern w:val="2"/>
          <w:sz w:val="32"/>
          <w:szCs w:val="32"/>
          <w:lang w:val="en-US" w:eastAsia="zh-CN" w:bidi="ar-SA"/>
        </w:rPr>
        <w:t>（责任单位：自治区科技厅、财政厅、工业和信息化厅、能源局，各盟行政公署、市人民政府）</w:t>
      </w:r>
    </w:p>
    <w:p>
      <w:pPr>
        <w:keepNext w:val="0"/>
        <w:keepLines w:val="0"/>
        <w:pageBreakBefore w:val="0"/>
        <w:widowControl w:val="0"/>
        <w:kinsoku/>
        <w:wordWrap/>
        <w:overflowPunct/>
        <w:topLinePunct w:val="0"/>
        <w:autoSpaceDE/>
        <w:autoSpaceDN/>
        <w:bidi w:val="0"/>
        <w:adjustRightInd/>
        <w:spacing w:line="580" w:lineRule="exact"/>
        <w:ind w:firstLine="640" w:firstLineChars="200"/>
        <w:jc w:val="both"/>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十四、积极引导产业发展基金为新型储能装备制造业提供资金保障。将新型储能产业纳入绿色金融支持范畴，根据项目实际和预期现金流，在银企双方自主协商的基础上予以利率优惠和调整还款进度、期限等安排。</w:t>
      </w:r>
      <w:r>
        <w:rPr>
          <w:rFonts w:hint="eastAsia" w:ascii="方正楷体_GBK" w:hAnsi="方正楷体_GBK" w:eastAsia="方正楷体_GBK" w:cs="方正楷体_GBK"/>
          <w:b w:val="0"/>
          <w:bCs w:val="0"/>
          <w:kern w:val="2"/>
          <w:sz w:val="32"/>
          <w:szCs w:val="32"/>
          <w:lang w:val="en-US" w:eastAsia="zh-CN" w:bidi="ar-SA"/>
        </w:rPr>
        <w:t>（责任单位：自治区财政厅、地方金融监管局，人民银行呼和浩特中心支行、内蒙古银保监局，各盟行政公署、市人民政府）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以上</w:t>
      </w:r>
      <w:r>
        <w:rPr>
          <w:rFonts w:hint="eastAsia" w:ascii="方正仿宋_GBK" w:hAnsi="方正仿宋_GBK" w:eastAsia="方正仿宋_GBK" w:cs="方正仿宋_GBK"/>
          <w:b w:val="0"/>
          <w:bCs w:val="0"/>
          <w:sz w:val="32"/>
          <w:szCs w:val="32"/>
        </w:rPr>
        <w:t>政策自发布之日起实施，有效期至2025年12月31日</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由自治区能源局会同相关部门负责解释。如遇国家政策调整，与国家政策不一致的，按照国家政策执行。</w:t>
      </w:r>
    </w:p>
    <w:bookmarkEnd w:id="0"/>
    <w:p>
      <w:pPr>
        <w:pStyle w:val="2"/>
        <w:keepNext w:val="0"/>
        <w:keepLines w:val="0"/>
        <w:pageBreakBefore w:val="0"/>
        <w:widowControl w:val="0"/>
        <w:kinsoku/>
        <w:wordWrap/>
        <w:overflowPunct/>
        <w:topLinePunct w:val="0"/>
        <w:autoSpaceDE/>
        <w:autoSpaceDN/>
        <w:bidi w:val="0"/>
        <w:adjustRightInd/>
        <w:spacing w:after="0" w:line="580" w:lineRule="exact"/>
        <w:rPr>
          <w:rFonts w:hint="eastAsia" w:ascii="Times New Roman" w:hAnsi="Times New Roman"/>
        </w:rPr>
      </w:pPr>
    </w:p>
    <w:p>
      <w:pPr>
        <w:keepNext w:val="0"/>
        <w:keepLines w:val="0"/>
        <w:pageBreakBefore w:val="0"/>
        <w:widowControl w:val="0"/>
        <w:kinsoku/>
        <w:wordWrap/>
        <w:overflowPunct/>
        <w:topLinePunct w:val="0"/>
        <w:autoSpaceDE/>
        <w:autoSpaceDN/>
        <w:bidi w:val="0"/>
        <w:adjustRightInd/>
        <w:spacing w:line="580" w:lineRule="exact"/>
        <w:rPr>
          <w:rFonts w:hint="eastAsia" w:ascii="Times New Roman" w:hAnsi="Times New Roman"/>
        </w:rPr>
      </w:pPr>
    </w:p>
    <w:p>
      <w:pPr>
        <w:rPr>
          <w:rFonts w:hint="eastAsia"/>
        </w:rPr>
      </w:pPr>
    </w:p>
    <w:p>
      <w:pPr>
        <w:rPr>
          <w:rFonts w:hint="eastAsia"/>
        </w:rPr>
      </w:pPr>
    </w:p>
    <w:p>
      <w:pPr>
        <w:pStyle w:val="2"/>
        <w:rPr>
          <w:rFonts w:hint="eastAsia"/>
        </w:rPr>
      </w:pPr>
    </w:p>
    <w:p>
      <w:pPr>
        <w:rPr>
          <w:rFonts w:hint="eastAsia"/>
        </w:rPr>
      </w:pPr>
    </w:p>
    <w:p>
      <w:pPr>
        <w:rPr>
          <w:rFonts w:hint="eastAsia"/>
        </w:rPr>
      </w:pPr>
    </w:p>
    <w:tbl>
      <w:tblPr>
        <w:tblStyle w:val="10"/>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968"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spacing w:line="400" w:lineRule="exact"/>
              <w:ind w:firstLine="1148" w:firstLineChars="410"/>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968"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13</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40" w:lineRule="exact"/>
        <w:ind w:firstLine="601"/>
        <w:textAlignment w:val="auto"/>
        <w:rPr>
          <w:rFonts w:hint="eastAsia" w:eastAsia="仿宋_GB2312"/>
          <w:sz w:val="32"/>
          <w:lang w:eastAsia="zh-CN"/>
        </w:rPr>
      </w:pPr>
    </w:p>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Liberation Sans">
    <w:altName w:val="方正兰亭特黑扁_GBK"/>
    <w:panose1 w:val="00000000000000000000"/>
    <w:charset w:val="00"/>
    <w:family w:val="swiss"/>
    <w:pitch w:val="default"/>
    <w:sig w:usb0="00000000" w:usb1="00000000" w:usb2="00000000" w:usb3="00000000" w:csb0="00040001" w:csb1="00000000"/>
  </w:font>
  <w:font w:name="方正兰亭特黑扁_GBK">
    <w:panose1 w:val="02010600000000000000"/>
    <w:charset w:val="86"/>
    <w:family w:val="auto"/>
    <w:pitch w:val="default"/>
    <w:sig w:usb0="00000001" w:usb1="080E0000" w:usb2="00000000" w:usb3="00000000" w:csb0="00040000" w:csb1="00000000"/>
  </w:font>
  <w:font w:name="Noto Sans CJK SC Regular">
    <w:altName w:val="宋体"/>
    <w:panose1 w:val="020B0500000000000000"/>
    <w:charset w:val="86"/>
    <w:family w:val="auto"/>
    <w:pitch w:val="default"/>
    <w:sig w:usb0="30000003" w:usb1="2BDF3C10" w:usb2="00000016" w:usb3="00000000" w:csb0="602E0107"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00000000"/>
    <w:rsid w:val="0000053B"/>
    <w:rsid w:val="00000BC8"/>
    <w:rsid w:val="00000D35"/>
    <w:rsid w:val="00000E8A"/>
    <w:rsid w:val="00001A5E"/>
    <w:rsid w:val="0001025F"/>
    <w:rsid w:val="00010E72"/>
    <w:rsid w:val="00010FBD"/>
    <w:rsid w:val="000134B5"/>
    <w:rsid w:val="000148CC"/>
    <w:rsid w:val="0001572E"/>
    <w:rsid w:val="0001671F"/>
    <w:rsid w:val="0001751F"/>
    <w:rsid w:val="00017973"/>
    <w:rsid w:val="00017C56"/>
    <w:rsid w:val="00017C8E"/>
    <w:rsid w:val="00017F0C"/>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4AAB"/>
    <w:rsid w:val="00076F96"/>
    <w:rsid w:val="00082970"/>
    <w:rsid w:val="0008397E"/>
    <w:rsid w:val="00090E87"/>
    <w:rsid w:val="00090EB2"/>
    <w:rsid w:val="00091065"/>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33FD"/>
    <w:rsid w:val="000D46E6"/>
    <w:rsid w:val="000D4B7C"/>
    <w:rsid w:val="000E189F"/>
    <w:rsid w:val="000E242A"/>
    <w:rsid w:val="000E2DE0"/>
    <w:rsid w:val="000E4A4D"/>
    <w:rsid w:val="000E5531"/>
    <w:rsid w:val="000E6931"/>
    <w:rsid w:val="000E7F78"/>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5C3C"/>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4CC2"/>
    <w:rsid w:val="00137385"/>
    <w:rsid w:val="00140625"/>
    <w:rsid w:val="00141687"/>
    <w:rsid w:val="00142107"/>
    <w:rsid w:val="00143758"/>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69"/>
    <w:rsid w:val="001D62F3"/>
    <w:rsid w:val="001E1712"/>
    <w:rsid w:val="001E3AE1"/>
    <w:rsid w:val="001E4564"/>
    <w:rsid w:val="001E463E"/>
    <w:rsid w:val="001E48FC"/>
    <w:rsid w:val="001E51E8"/>
    <w:rsid w:val="001E5754"/>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B9B"/>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2D4"/>
    <w:rsid w:val="002D2CF6"/>
    <w:rsid w:val="002D31DC"/>
    <w:rsid w:val="002D3F3C"/>
    <w:rsid w:val="002D4032"/>
    <w:rsid w:val="002D5A5E"/>
    <w:rsid w:val="002D7462"/>
    <w:rsid w:val="002E0919"/>
    <w:rsid w:val="002E2F22"/>
    <w:rsid w:val="002E3CC3"/>
    <w:rsid w:val="002E55D9"/>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4576B"/>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494"/>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27EB"/>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E7966"/>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4AB3"/>
    <w:rsid w:val="004278D4"/>
    <w:rsid w:val="00430D45"/>
    <w:rsid w:val="00431DA3"/>
    <w:rsid w:val="00432A0C"/>
    <w:rsid w:val="00433DE5"/>
    <w:rsid w:val="00437A54"/>
    <w:rsid w:val="00442031"/>
    <w:rsid w:val="004443C8"/>
    <w:rsid w:val="0044481F"/>
    <w:rsid w:val="004454F7"/>
    <w:rsid w:val="00450079"/>
    <w:rsid w:val="004504E7"/>
    <w:rsid w:val="00452779"/>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0B20"/>
    <w:rsid w:val="005216DB"/>
    <w:rsid w:val="00522BE1"/>
    <w:rsid w:val="00525134"/>
    <w:rsid w:val="00527055"/>
    <w:rsid w:val="00527860"/>
    <w:rsid w:val="005302E8"/>
    <w:rsid w:val="005355C1"/>
    <w:rsid w:val="00537C60"/>
    <w:rsid w:val="005403BB"/>
    <w:rsid w:val="00540508"/>
    <w:rsid w:val="00541462"/>
    <w:rsid w:val="00545692"/>
    <w:rsid w:val="00545900"/>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5376"/>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D4A7B"/>
    <w:rsid w:val="005E0DCD"/>
    <w:rsid w:val="005E5234"/>
    <w:rsid w:val="005E7F3F"/>
    <w:rsid w:val="005F29F1"/>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3367"/>
    <w:rsid w:val="0063404D"/>
    <w:rsid w:val="00637C57"/>
    <w:rsid w:val="00640710"/>
    <w:rsid w:val="00642967"/>
    <w:rsid w:val="00643C82"/>
    <w:rsid w:val="0064774E"/>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B6188"/>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66D83"/>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1DF8"/>
    <w:rsid w:val="00814958"/>
    <w:rsid w:val="008149CF"/>
    <w:rsid w:val="00816CA5"/>
    <w:rsid w:val="00817FC3"/>
    <w:rsid w:val="00823E54"/>
    <w:rsid w:val="008244BB"/>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A7D03"/>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2131"/>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77F"/>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5D06"/>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2FAC"/>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34CE7"/>
    <w:rsid w:val="00B40DCF"/>
    <w:rsid w:val="00B41574"/>
    <w:rsid w:val="00B43C7B"/>
    <w:rsid w:val="00B4489A"/>
    <w:rsid w:val="00B4656E"/>
    <w:rsid w:val="00B47AB4"/>
    <w:rsid w:val="00B509ED"/>
    <w:rsid w:val="00B5388B"/>
    <w:rsid w:val="00B54162"/>
    <w:rsid w:val="00B542D3"/>
    <w:rsid w:val="00B560B0"/>
    <w:rsid w:val="00B56A1E"/>
    <w:rsid w:val="00B57284"/>
    <w:rsid w:val="00B57DEF"/>
    <w:rsid w:val="00B6035B"/>
    <w:rsid w:val="00B64E58"/>
    <w:rsid w:val="00B666ED"/>
    <w:rsid w:val="00B70DED"/>
    <w:rsid w:val="00B713FA"/>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32E3"/>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97C5A"/>
    <w:rsid w:val="00CA30D7"/>
    <w:rsid w:val="00CA4F90"/>
    <w:rsid w:val="00CA7846"/>
    <w:rsid w:val="00CB3AE8"/>
    <w:rsid w:val="00CB3EA3"/>
    <w:rsid w:val="00CB5D2C"/>
    <w:rsid w:val="00CC14E4"/>
    <w:rsid w:val="00CC2443"/>
    <w:rsid w:val="00CD1675"/>
    <w:rsid w:val="00CD399D"/>
    <w:rsid w:val="00CD4642"/>
    <w:rsid w:val="00CD5308"/>
    <w:rsid w:val="00CE2266"/>
    <w:rsid w:val="00CE5E6E"/>
    <w:rsid w:val="00CE618F"/>
    <w:rsid w:val="00CE6508"/>
    <w:rsid w:val="00CF21D5"/>
    <w:rsid w:val="00CF77E7"/>
    <w:rsid w:val="00CF7E4F"/>
    <w:rsid w:val="00D023FE"/>
    <w:rsid w:val="00D0487F"/>
    <w:rsid w:val="00D101F0"/>
    <w:rsid w:val="00D1209D"/>
    <w:rsid w:val="00D122FC"/>
    <w:rsid w:val="00D13AEB"/>
    <w:rsid w:val="00D14674"/>
    <w:rsid w:val="00D14BFB"/>
    <w:rsid w:val="00D17773"/>
    <w:rsid w:val="00D178DE"/>
    <w:rsid w:val="00D202DB"/>
    <w:rsid w:val="00D21A57"/>
    <w:rsid w:val="00D2210B"/>
    <w:rsid w:val="00D222CE"/>
    <w:rsid w:val="00D252DC"/>
    <w:rsid w:val="00D3737D"/>
    <w:rsid w:val="00D37406"/>
    <w:rsid w:val="00D377BF"/>
    <w:rsid w:val="00D4207E"/>
    <w:rsid w:val="00D420D3"/>
    <w:rsid w:val="00D44386"/>
    <w:rsid w:val="00D444F3"/>
    <w:rsid w:val="00D4554B"/>
    <w:rsid w:val="00D530AF"/>
    <w:rsid w:val="00D54B07"/>
    <w:rsid w:val="00D55776"/>
    <w:rsid w:val="00D57267"/>
    <w:rsid w:val="00D60772"/>
    <w:rsid w:val="00D60878"/>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572"/>
    <w:rsid w:val="00E1689F"/>
    <w:rsid w:val="00E17254"/>
    <w:rsid w:val="00E212BE"/>
    <w:rsid w:val="00E21FA4"/>
    <w:rsid w:val="00E22D24"/>
    <w:rsid w:val="00E22F24"/>
    <w:rsid w:val="00E2382F"/>
    <w:rsid w:val="00E24E5D"/>
    <w:rsid w:val="00E3217C"/>
    <w:rsid w:val="00E36741"/>
    <w:rsid w:val="00E36C64"/>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4603"/>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551A"/>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B8E"/>
    <w:rsid w:val="00F72D68"/>
    <w:rsid w:val="00F72EFC"/>
    <w:rsid w:val="00F768AB"/>
    <w:rsid w:val="00F76A08"/>
    <w:rsid w:val="00F81D9A"/>
    <w:rsid w:val="00F85DCD"/>
    <w:rsid w:val="00F875D2"/>
    <w:rsid w:val="00F90490"/>
    <w:rsid w:val="00F9269E"/>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095F"/>
    <w:rsid w:val="00FF1779"/>
    <w:rsid w:val="00FF1981"/>
    <w:rsid w:val="00FF2340"/>
    <w:rsid w:val="00FF60C7"/>
    <w:rsid w:val="00FF7392"/>
    <w:rsid w:val="023B43DC"/>
    <w:rsid w:val="05462E4F"/>
    <w:rsid w:val="074D26E8"/>
    <w:rsid w:val="0F6DE3F4"/>
    <w:rsid w:val="0FF458E3"/>
    <w:rsid w:val="11670638"/>
    <w:rsid w:val="117F71CE"/>
    <w:rsid w:val="13404ED0"/>
    <w:rsid w:val="17E73D88"/>
    <w:rsid w:val="1A7D41CF"/>
    <w:rsid w:val="1B8545F8"/>
    <w:rsid w:val="1FD3237E"/>
    <w:rsid w:val="21CE0EBF"/>
    <w:rsid w:val="24485B15"/>
    <w:rsid w:val="25E602D7"/>
    <w:rsid w:val="284B26E7"/>
    <w:rsid w:val="322D6746"/>
    <w:rsid w:val="37EF2321"/>
    <w:rsid w:val="39B23BBC"/>
    <w:rsid w:val="39DF103C"/>
    <w:rsid w:val="3A851764"/>
    <w:rsid w:val="3EA97209"/>
    <w:rsid w:val="3FFB8867"/>
    <w:rsid w:val="40EF09E9"/>
    <w:rsid w:val="419F2BC8"/>
    <w:rsid w:val="43B61CB1"/>
    <w:rsid w:val="47903C8B"/>
    <w:rsid w:val="4BB12688"/>
    <w:rsid w:val="50022206"/>
    <w:rsid w:val="50E138A8"/>
    <w:rsid w:val="51650C56"/>
    <w:rsid w:val="51762C52"/>
    <w:rsid w:val="5425443B"/>
    <w:rsid w:val="55F060AF"/>
    <w:rsid w:val="59FF45DC"/>
    <w:rsid w:val="5BAE3879"/>
    <w:rsid w:val="5BB11256"/>
    <w:rsid w:val="5DBED6C1"/>
    <w:rsid w:val="5F6F1A11"/>
    <w:rsid w:val="64B86B45"/>
    <w:rsid w:val="677FE2F1"/>
    <w:rsid w:val="6BFF62AC"/>
    <w:rsid w:val="6DE79796"/>
    <w:rsid w:val="6E984437"/>
    <w:rsid w:val="6F2C465B"/>
    <w:rsid w:val="75FF58B9"/>
    <w:rsid w:val="77A380A1"/>
    <w:rsid w:val="77EDB650"/>
    <w:rsid w:val="7AEEBE8B"/>
    <w:rsid w:val="7B9DBEEE"/>
    <w:rsid w:val="7BFE5487"/>
    <w:rsid w:val="7BFEB49F"/>
    <w:rsid w:val="7D164783"/>
    <w:rsid w:val="7E960D71"/>
    <w:rsid w:val="BEFF9D74"/>
    <w:rsid w:val="BF7DE625"/>
    <w:rsid w:val="BFD62D9B"/>
    <w:rsid w:val="CC7F19A8"/>
    <w:rsid w:val="CE775A4E"/>
    <w:rsid w:val="CFF740A2"/>
    <w:rsid w:val="CFFC79A4"/>
    <w:rsid w:val="DE7DC39C"/>
    <w:rsid w:val="DE8F345C"/>
    <w:rsid w:val="EDAF1BDE"/>
    <w:rsid w:val="EFFFA963"/>
    <w:rsid w:val="F6FB12A8"/>
    <w:rsid w:val="F9FB1533"/>
    <w:rsid w:val="FE7FFBFD"/>
    <w:rsid w:val="FF5740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w:basedOn w:val="1"/>
    <w:next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3">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4">
    <w:name w:val="Document Map"/>
    <w:basedOn w:val="1"/>
    <w:semiHidden/>
    <w:uiPriority w:val="0"/>
    <w:pPr>
      <w:shd w:val="clear" w:color="auto" w:fill="000080"/>
    </w:pPr>
  </w:style>
  <w:style w:type="paragraph" w:styleId="5">
    <w:name w:val="Date"/>
    <w:basedOn w:val="1"/>
    <w:next w:val="1"/>
    <w:link w:val="14"/>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5"/>
    <w:uiPriority w:val="0"/>
    <w:pPr>
      <w:tabs>
        <w:tab w:val="center" w:pos="4153"/>
        <w:tab w:val="right" w:pos="8306"/>
      </w:tabs>
      <w:snapToGrid w:val="0"/>
      <w:jc w:val="left"/>
    </w:pPr>
    <w:rPr>
      <w:sz w:val="18"/>
      <w:szCs w:val="18"/>
    </w:rPr>
  </w:style>
  <w:style w:type="paragraph" w:styleId="8">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9">
    <w:name w:val="List"/>
    <w:basedOn w:val="2"/>
    <w:uiPriority w:val="0"/>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iPriority w:val="0"/>
  </w:style>
  <w:style w:type="character" w:customStyle="1" w:styleId="14">
    <w:name w:val=" Char Char2"/>
    <w:basedOn w:val="12"/>
    <w:link w:val="5"/>
    <w:uiPriority w:val="0"/>
    <w:rPr>
      <w:rFonts w:ascii="仿宋_GB2312" w:hAnsi="Times New Roman" w:eastAsia="仿宋_GB2312" w:cs="Times New Roman"/>
      <w:kern w:val="2"/>
      <w:sz w:val="32"/>
      <w:szCs w:val="24"/>
      <w:lang w:bidi="ar-SA"/>
    </w:rPr>
  </w:style>
  <w:style w:type="character" w:customStyle="1" w:styleId="15">
    <w:name w:val=" Char Char"/>
    <w:basedOn w:val="12"/>
    <w:link w:val="7"/>
    <w:semiHidden/>
    <w:uiPriority w:val="99"/>
    <w:rPr>
      <w:rFonts w:ascii="Calibri" w:hAnsi="Calibri" w:eastAsia="宋体" w:cs="Mongolian Baiti"/>
      <w:kern w:val="2"/>
      <w:sz w:val="18"/>
      <w:szCs w:val="22"/>
    </w:rPr>
  </w:style>
  <w:style w:type="character" w:customStyle="1" w:styleId="16">
    <w:name w:val=" Char Char1"/>
    <w:basedOn w:val="12"/>
    <w:link w:val="8"/>
    <w:semiHidden/>
    <w:uiPriority w:val="99"/>
    <w:rPr>
      <w:rFonts w:ascii="Calibri" w:hAnsi="Calibri" w:eastAsia="宋体" w:cs="Mongolian Baiti"/>
      <w:kern w:val="2"/>
      <w:sz w:val="18"/>
      <w:szCs w:val="22"/>
    </w:rPr>
  </w:style>
  <w:style w:type="character" w:customStyle="1" w:styleId="17">
    <w:name w:val="默认段落字体1"/>
    <w:uiPriority w:val="0"/>
    <w:rPr>
      <w:rFonts w:ascii="Times New Roman" w:hAnsi="Times New Roman" w:eastAsia="宋体" w:cs="Times New Roman"/>
    </w:rPr>
  </w:style>
  <w:style w:type="paragraph" w:customStyle="1" w:styleId="18">
    <w:name w:val="Index"/>
    <w:basedOn w:val="1"/>
    <w:uiPriority w:val="0"/>
    <w:pPr>
      <w:widowControl w:val="0"/>
      <w:suppressLineNumbers/>
      <w:suppressAutoHyphens/>
      <w:bidi w:val="0"/>
    </w:pPr>
    <w:rPr>
      <w:rFonts w:ascii="Calibri" w:hAnsi="Calibri" w:eastAsia="宋体" w:cs="Times New Roman"/>
      <w:color w:val="auto"/>
      <w:szCs w:val="24"/>
      <w:lang w:bidi="ar-SA"/>
    </w:rPr>
  </w:style>
  <w:style w:type="paragraph" w:customStyle="1" w:styleId="19">
    <w:name w:val="Heading"/>
    <w:basedOn w:val="1"/>
    <w:next w:val="2"/>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Company>Lenovo (Beijing) Limited</Company>
  <Pages>6</Pages>
  <Words>2141</Words>
  <Characters>2193</Characters>
  <Lines>1</Lines>
  <Paragraphs>1</Paragraphs>
  <TotalTime>3</TotalTime>
  <ScaleCrop>false</ScaleCrop>
  <LinksUpToDate>false</LinksUpToDate>
  <CharactersWithSpaces>2234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哈尼哈尼</cp:lastModifiedBy>
  <dcterms:modified xsi:type="dcterms:W3CDTF">2022-12-19T09:23:30Z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C721C7C757EB4D6FB549445100BA1BC5</vt:lpwstr>
  </property>
</Properties>
</file>