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rPr>
      </w:pP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color w:val="auto"/>
          <w:sz w:val="44"/>
          <w:szCs w:val="44"/>
          <w:lang w:eastAsia="zh-CN"/>
        </w:rPr>
      </w:pPr>
      <w:bookmarkStart w:id="0" w:name="标题"/>
      <w:bookmarkEnd w:id="0"/>
      <w:r>
        <w:rPr>
          <w:rFonts w:hint="eastAsia" w:ascii="方正小标宋简体" w:eastAsia="方正小标宋简体"/>
          <w:color w:val="auto"/>
          <w:sz w:val="44"/>
          <w:szCs w:val="44"/>
          <w:lang w:eastAsia="zh-CN"/>
        </w:rPr>
        <w:t>内蒙古自治区人民政府办公厅</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关于加强工程建设文物保护</w:t>
      </w: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前置审查工作的通知</w:t>
      </w:r>
    </w:p>
    <w:p>
      <w:pPr>
        <w:pStyle w:val="2"/>
        <w:rPr>
          <w:rFonts w:hint="eastAsia"/>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内政办发〔2024〕40号</w:t>
      </w:r>
    </w:p>
    <w:p>
      <w:pPr>
        <w:keepNext w:val="0"/>
        <w:keepLines w:val="0"/>
        <w:pageBreakBefore w:val="0"/>
        <w:kinsoku/>
        <w:wordWrap/>
        <w:overflowPunct/>
        <w:topLinePunct w:val="0"/>
        <w:autoSpaceDE/>
        <w:autoSpaceDN/>
        <w:bidi w:val="0"/>
        <w:spacing w:line="580" w:lineRule="exact"/>
        <w:textAlignment w:val="auto"/>
        <w:rPr>
          <w:rFonts w:ascii="仿宋" w:hAnsi="仿宋" w:eastAsia="仿宋"/>
          <w:color w:val="auto"/>
          <w:kern w:val="0"/>
          <w:sz w:val="32"/>
          <w:szCs w:val="32"/>
          <w:lang w:bidi="ar"/>
        </w:rPr>
      </w:pP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kern w:val="0"/>
          <w:sz w:val="32"/>
          <w:szCs w:val="32"/>
          <w:lang w:bidi="ar"/>
        </w:rPr>
      </w:pPr>
      <w:bookmarkStart w:id="1" w:name="_GoBack"/>
      <w:r>
        <w:rPr>
          <w:rFonts w:hint="eastAsia" w:ascii="仿宋_GB2312" w:hAnsi="仿宋_GB2312" w:eastAsia="仿宋_GB2312" w:cs="仿宋_GB2312"/>
          <w:color w:val="auto"/>
          <w:kern w:val="0"/>
          <w:sz w:val="32"/>
          <w:szCs w:val="32"/>
          <w:lang w:bidi="ar"/>
        </w:rPr>
        <w:t>各盟行政公署、市人民政府，自治区各委、办、厅、局，各大企业、事业单位：</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为深入贯彻习近平文化思想</w:t>
      </w:r>
      <w:r>
        <w:rPr>
          <w:rFonts w:hint="eastAsia" w:ascii="仿宋_GB2312" w:hAnsi="仿宋_GB2312" w:eastAsia="仿宋_GB2312" w:cs="仿宋_GB2312"/>
          <w:color w:val="auto"/>
          <w:kern w:val="0"/>
          <w:sz w:val="32"/>
          <w:szCs w:val="32"/>
          <w:lang w:eastAsia="zh-CN" w:bidi="ar"/>
        </w:rPr>
        <w:t>，认真落实</w:t>
      </w:r>
      <w:r>
        <w:rPr>
          <w:rFonts w:hint="eastAsia" w:ascii="仿宋_GB2312" w:hAnsi="仿宋_GB2312" w:eastAsia="仿宋_GB2312" w:cs="仿宋_GB2312"/>
          <w:color w:val="auto"/>
          <w:kern w:val="0"/>
          <w:sz w:val="32"/>
          <w:szCs w:val="32"/>
          <w:lang w:bidi="ar"/>
        </w:rPr>
        <w:t>习近平总书记关于文化遗产保护传承的重要论述，严格执行《中华人民共和国文物保护法》</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《中华人民共和国文物保护法实施条例》</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《内蒙古自治区文物保护条例》</w:t>
      </w:r>
      <w:r>
        <w:rPr>
          <w:rFonts w:hint="eastAsia" w:ascii="仿宋_GB2312" w:hAnsi="仿宋_GB2312" w:eastAsia="仿宋_GB2312" w:cs="仿宋_GB2312"/>
          <w:color w:val="auto"/>
          <w:kern w:val="0"/>
          <w:sz w:val="32"/>
          <w:szCs w:val="32"/>
          <w:lang w:eastAsia="zh-CN" w:bidi="ar"/>
        </w:rPr>
        <w:t>等法律法规</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eastAsia="zh-CN" w:bidi="ar"/>
        </w:rPr>
        <w:t>坚持以铸牢中华民族共同体意识为工作主线，</w:t>
      </w:r>
      <w:r>
        <w:rPr>
          <w:rFonts w:hint="eastAsia" w:ascii="仿宋_GB2312" w:hAnsi="仿宋_GB2312" w:eastAsia="仿宋_GB2312" w:cs="仿宋_GB2312"/>
          <w:color w:val="auto"/>
          <w:kern w:val="0"/>
          <w:sz w:val="32"/>
          <w:szCs w:val="32"/>
          <w:lang w:bidi="ar"/>
        </w:rPr>
        <w:t>在工程建设中严格落实地上文物“先调查，后建设”、地下文物“先考古，后出让”制度，切实做好文物保护工作，</w:t>
      </w:r>
      <w:r>
        <w:rPr>
          <w:rFonts w:hint="eastAsia" w:ascii="仿宋_GB2312" w:hAnsi="仿宋_GB2312" w:eastAsia="仿宋_GB2312" w:cs="仿宋_GB2312"/>
          <w:color w:val="auto"/>
          <w:kern w:val="0"/>
          <w:sz w:val="32"/>
          <w:szCs w:val="32"/>
          <w:lang w:eastAsia="zh-CN" w:bidi="ar"/>
        </w:rPr>
        <w:t>经自治区人民政府同意，</w:t>
      </w:r>
      <w:r>
        <w:rPr>
          <w:rFonts w:hint="eastAsia" w:ascii="仿宋_GB2312" w:hAnsi="仿宋_GB2312" w:eastAsia="仿宋_GB2312" w:cs="仿宋_GB2312"/>
          <w:color w:val="auto"/>
          <w:kern w:val="0"/>
          <w:sz w:val="32"/>
          <w:szCs w:val="32"/>
          <w:lang w:bidi="ar"/>
        </w:rPr>
        <w:t>现就有关事项通知如下。</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方正黑体_GBK" w:hAnsi="方正黑体_GBK" w:eastAsia="方正黑体_GBK" w:cs="方正黑体_GBK"/>
          <w:color w:val="auto"/>
          <w:kern w:val="0"/>
          <w:sz w:val="32"/>
          <w:szCs w:val="32"/>
          <w:lang w:bidi="ar"/>
        </w:rPr>
        <w:t>一、落实前置审批要求。</w:t>
      </w:r>
      <w:r>
        <w:rPr>
          <w:rFonts w:hint="eastAsia" w:ascii="仿宋_GB2312" w:hAnsi="仿宋_GB2312" w:eastAsia="仿宋_GB2312" w:cs="仿宋_GB2312"/>
          <w:color w:val="auto"/>
          <w:kern w:val="0"/>
          <w:sz w:val="32"/>
          <w:szCs w:val="32"/>
          <w:lang w:eastAsia="zh-CN" w:bidi="ar"/>
        </w:rPr>
        <w:t>旗县</w:t>
      </w:r>
      <w:r>
        <w:rPr>
          <w:rFonts w:hint="eastAsia" w:ascii="仿宋_GB2312" w:hAnsi="仿宋_GB2312" w:eastAsia="仿宋_GB2312" w:cs="仿宋_GB2312"/>
          <w:color w:val="auto"/>
          <w:kern w:val="0"/>
          <w:sz w:val="32"/>
          <w:szCs w:val="32"/>
          <w:lang w:bidi="ar"/>
        </w:rPr>
        <w:t>级</w:t>
      </w:r>
      <w:r>
        <w:rPr>
          <w:rFonts w:hint="eastAsia" w:ascii="仿宋_GB2312" w:hAnsi="仿宋_GB2312" w:eastAsia="仿宋_GB2312" w:cs="仿宋_GB2312"/>
          <w:color w:val="auto"/>
          <w:kern w:val="0"/>
          <w:sz w:val="32"/>
          <w:szCs w:val="32"/>
          <w:lang w:eastAsia="zh-CN" w:bidi="ar"/>
        </w:rPr>
        <w:t>以上地方人民</w:t>
      </w:r>
      <w:r>
        <w:rPr>
          <w:rFonts w:hint="eastAsia" w:ascii="仿宋_GB2312" w:hAnsi="仿宋_GB2312" w:eastAsia="仿宋_GB2312" w:cs="仿宋_GB2312"/>
          <w:color w:val="auto"/>
          <w:kern w:val="0"/>
          <w:sz w:val="32"/>
          <w:szCs w:val="32"/>
          <w:lang w:bidi="ar"/>
        </w:rPr>
        <w:t>政府指导负责工程建设行政审批部门建立包括文物行政部门在内的相关部门联办机制。</w:t>
      </w:r>
      <w:r>
        <w:rPr>
          <w:rFonts w:hint="eastAsia" w:ascii="仿宋_GB2312" w:hAnsi="仿宋_GB2312" w:eastAsia="仿宋_GB2312" w:cs="仿宋_GB2312"/>
          <w:color w:val="auto"/>
          <w:kern w:val="0"/>
          <w:sz w:val="32"/>
          <w:szCs w:val="32"/>
          <w:lang w:eastAsia="zh-CN" w:bidi="ar"/>
        </w:rPr>
        <w:t>各级相关业务主管部门</w:t>
      </w:r>
      <w:r>
        <w:rPr>
          <w:rFonts w:hint="eastAsia" w:ascii="仿宋_GB2312" w:hAnsi="仿宋_GB2312" w:eastAsia="仿宋_GB2312" w:cs="仿宋_GB2312"/>
          <w:color w:val="auto"/>
          <w:kern w:val="0"/>
          <w:sz w:val="32"/>
          <w:szCs w:val="32"/>
          <w:lang w:bidi="ar"/>
        </w:rPr>
        <w:t>要认真梳理各类行政审批事项，负责项目立项、用地选址的行政审批部门，应在项目预审阶段主动征求同级文物部门的意见</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负责</w:t>
      </w:r>
      <w:r>
        <w:rPr>
          <w:rFonts w:hint="eastAsia" w:ascii="仿宋_GB2312" w:hAnsi="仿宋_GB2312" w:eastAsia="仿宋_GB2312" w:cs="仿宋_GB2312"/>
          <w:color w:val="auto"/>
          <w:kern w:val="0"/>
          <w:sz w:val="32"/>
          <w:szCs w:val="32"/>
          <w:lang w:eastAsia="zh-CN" w:bidi="ar"/>
        </w:rPr>
        <w:t>大型</w:t>
      </w:r>
      <w:r>
        <w:rPr>
          <w:rFonts w:hint="eastAsia" w:ascii="仿宋_GB2312" w:hAnsi="仿宋_GB2312" w:eastAsia="仿宋_GB2312" w:cs="仿宋_GB2312"/>
          <w:color w:val="auto"/>
          <w:kern w:val="0"/>
          <w:sz w:val="32"/>
          <w:szCs w:val="32"/>
          <w:lang w:bidi="ar"/>
        </w:rPr>
        <w:t>基本建设项目开工许可行政审批部门，应将文物行政部门文物保护许可列入前置审查要件。</w:t>
      </w:r>
    </w:p>
    <w:p>
      <w:pPr>
        <w:pStyle w:val="30"/>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二、规范前置审批程序。</w:t>
      </w:r>
      <w:r>
        <w:rPr>
          <w:rFonts w:hint="eastAsia" w:ascii="仿宋_GB2312" w:hAnsi="仿宋_GB2312" w:eastAsia="仿宋_GB2312" w:cs="仿宋_GB2312"/>
          <w:color w:val="auto"/>
          <w:kern w:val="0"/>
          <w:sz w:val="32"/>
          <w:szCs w:val="32"/>
          <w:lang w:val="en-US" w:eastAsia="zh-CN" w:bidi="ar"/>
        </w:rPr>
        <w:t>全区各级文物行政部门</w:t>
      </w:r>
      <w:r>
        <w:rPr>
          <w:rFonts w:hint="eastAsia" w:ascii="仿宋_GB2312" w:hAnsi="仿宋_GB2312" w:eastAsia="仿宋_GB2312" w:cs="仿宋_GB2312"/>
          <w:kern w:val="0"/>
          <w:sz w:val="32"/>
          <w:szCs w:val="32"/>
          <w:lang w:val="en-US" w:eastAsia="zh-CN" w:bidi="ar"/>
        </w:rPr>
        <w:t>应向社会公开各级文物保护单位保护范围和建设控制地带信息。实施大型基本建设工程，建设单位应事先报请</w:t>
      </w:r>
      <w:r>
        <w:rPr>
          <w:rFonts w:hint="eastAsia" w:ascii="仿宋_GB2312" w:hAnsi="仿宋_GB2312" w:eastAsia="仿宋_GB2312" w:cs="仿宋_GB2312"/>
          <w:color w:val="auto"/>
          <w:kern w:val="0"/>
          <w:sz w:val="32"/>
          <w:szCs w:val="32"/>
          <w:lang w:val="en-US" w:eastAsia="zh-CN" w:bidi="ar"/>
        </w:rPr>
        <w:t>自治区文物行政部门</w:t>
      </w:r>
      <w:r>
        <w:rPr>
          <w:rFonts w:hint="eastAsia" w:ascii="仿宋_GB2312" w:hAnsi="仿宋_GB2312" w:eastAsia="仿宋_GB2312" w:cs="仿宋_GB2312"/>
          <w:kern w:val="0"/>
          <w:sz w:val="32"/>
          <w:szCs w:val="32"/>
          <w:lang w:val="en-US" w:eastAsia="zh-CN" w:bidi="ar"/>
        </w:rPr>
        <w:t>组织从事考古发掘的单位在工程选址范围内进行考古调查、勘探，由</w:t>
      </w:r>
      <w:r>
        <w:rPr>
          <w:rFonts w:hint="eastAsia" w:ascii="仿宋_GB2312" w:hAnsi="仿宋_GB2312" w:eastAsia="仿宋_GB2312" w:cs="仿宋_GB2312"/>
          <w:color w:val="auto"/>
          <w:kern w:val="0"/>
          <w:sz w:val="32"/>
          <w:szCs w:val="32"/>
          <w:lang w:val="en-US" w:eastAsia="zh-CN" w:bidi="ar"/>
        </w:rPr>
        <w:t>自治区文物行政部门</w:t>
      </w:r>
      <w:r>
        <w:rPr>
          <w:rFonts w:hint="eastAsia" w:ascii="仿宋_GB2312" w:hAnsi="仿宋_GB2312" w:eastAsia="仿宋_GB2312" w:cs="仿宋_GB2312"/>
          <w:kern w:val="0"/>
          <w:sz w:val="32"/>
          <w:szCs w:val="32"/>
          <w:lang w:val="en-US" w:eastAsia="zh-CN" w:bidi="ar"/>
        </w:rPr>
        <w:t>在法定时限内出具审核意见。对城镇规划建设用地范围内以及各类开发区、高新区、产业集聚区、城乡一体化示范区等规划成片开发的土地开展区域评估时，应邀请</w:t>
      </w:r>
      <w:r>
        <w:rPr>
          <w:rFonts w:hint="eastAsia" w:ascii="仿宋_GB2312" w:hAnsi="仿宋_GB2312" w:eastAsia="仿宋_GB2312" w:cs="仿宋_GB2312"/>
          <w:color w:val="auto"/>
          <w:kern w:val="0"/>
          <w:sz w:val="32"/>
          <w:szCs w:val="32"/>
          <w:lang w:val="en-US" w:eastAsia="zh-CN" w:bidi="ar"/>
        </w:rPr>
        <w:t>自治区文物行政部门</w:t>
      </w:r>
      <w:r>
        <w:rPr>
          <w:rFonts w:hint="eastAsia" w:ascii="仿宋_GB2312" w:hAnsi="仿宋_GB2312" w:eastAsia="仿宋_GB2312" w:cs="仿宋_GB2312"/>
          <w:kern w:val="0"/>
          <w:sz w:val="32"/>
          <w:szCs w:val="32"/>
          <w:lang w:val="en-US" w:eastAsia="zh-CN" w:bidi="ar"/>
        </w:rPr>
        <w:t>参与。经考古调查和勘探未发现文物的，</w:t>
      </w:r>
      <w:r>
        <w:rPr>
          <w:rFonts w:hint="eastAsia" w:ascii="仿宋_GB2312" w:hAnsi="仿宋_GB2312" w:eastAsia="仿宋_GB2312" w:cs="仿宋_GB2312"/>
          <w:color w:val="auto"/>
          <w:kern w:val="0"/>
          <w:sz w:val="32"/>
          <w:szCs w:val="32"/>
          <w:lang w:val="en-US" w:eastAsia="zh-CN" w:bidi="ar"/>
        </w:rPr>
        <w:t>自治区文物行政部门</w:t>
      </w:r>
      <w:r>
        <w:rPr>
          <w:rFonts w:hint="eastAsia" w:ascii="仿宋_GB2312" w:hAnsi="仿宋_GB2312" w:eastAsia="仿宋_GB2312" w:cs="仿宋_GB2312"/>
          <w:kern w:val="0"/>
          <w:sz w:val="32"/>
          <w:szCs w:val="32"/>
          <w:lang w:val="en-US" w:eastAsia="zh-CN" w:bidi="ar"/>
        </w:rPr>
        <w:t>应在法定时限内出具审核意见；发现文物的，应当由</w:t>
      </w:r>
      <w:r>
        <w:rPr>
          <w:rFonts w:hint="eastAsia" w:ascii="仿宋_GB2312" w:hAnsi="仿宋_GB2312" w:eastAsia="仿宋_GB2312" w:cs="仿宋_GB2312"/>
          <w:color w:val="auto"/>
          <w:kern w:val="0"/>
          <w:sz w:val="32"/>
          <w:szCs w:val="32"/>
          <w:lang w:val="en-US" w:eastAsia="zh-CN" w:bidi="ar"/>
        </w:rPr>
        <w:t>自治区文物行政部门</w:t>
      </w:r>
      <w:r>
        <w:rPr>
          <w:rFonts w:hint="eastAsia" w:ascii="仿宋_GB2312" w:hAnsi="仿宋_GB2312" w:eastAsia="仿宋_GB2312" w:cs="仿宋_GB2312"/>
          <w:kern w:val="0"/>
          <w:sz w:val="32"/>
          <w:szCs w:val="32"/>
          <w:lang w:val="en-US" w:eastAsia="zh-CN" w:bidi="ar"/>
        </w:rPr>
        <w:t>在勘探工作的基础上提出发掘计划，报</w:t>
      </w:r>
      <w:r>
        <w:rPr>
          <w:rFonts w:hint="eastAsia" w:ascii="仿宋_GB2312" w:hAnsi="仿宋_GB2312" w:eastAsia="仿宋_GB2312" w:cs="仿宋_GB2312"/>
          <w:color w:val="auto"/>
          <w:kern w:val="0"/>
          <w:sz w:val="32"/>
          <w:szCs w:val="32"/>
          <w:lang w:val="en-US" w:eastAsia="zh-CN" w:bidi="ar"/>
        </w:rPr>
        <w:t>国务院文物行政部门</w:t>
      </w:r>
      <w:r>
        <w:rPr>
          <w:rFonts w:hint="eastAsia" w:ascii="仿宋_GB2312" w:hAnsi="仿宋_GB2312" w:eastAsia="仿宋_GB2312" w:cs="仿宋_GB2312"/>
          <w:kern w:val="0"/>
          <w:sz w:val="32"/>
          <w:szCs w:val="32"/>
          <w:lang w:val="en-US" w:eastAsia="zh-CN" w:bidi="ar"/>
        </w:rPr>
        <w:t>批准。确需在文物保护单位的保护范围和建设控制地带内进行建设工程的，按照《中华人民共和国文物保护法》有关规定执行。</w:t>
      </w:r>
    </w:p>
    <w:p>
      <w:pPr>
        <w:pStyle w:val="30"/>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三、加强建设工程监管。</w:t>
      </w:r>
      <w:r>
        <w:rPr>
          <w:rFonts w:hint="eastAsia" w:ascii="仿宋_GB2312" w:hAnsi="仿宋_GB2312" w:eastAsia="仿宋_GB2312" w:cs="仿宋_GB2312"/>
          <w:kern w:val="0"/>
          <w:sz w:val="32"/>
          <w:szCs w:val="32"/>
          <w:lang w:val="en-US" w:eastAsia="zh-CN" w:bidi="ar"/>
        </w:rPr>
        <w:t>各相关部门应根据文物保护有关法律、法规要求和本通知精神，做好对各类建设项目的监管。工程选址应避开不可移动文物，因特殊情况确实无法避让的，应当依</w:t>
      </w:r>
      <w:r>
        <w:rPr>
          <w:rFonts w:hint="eastAsia" w:ascii="仿宋_GB2312" w:hAnsi="仿宋_GB2312" w:eastAsia="仿宋_GB2312" w:cs="仿宋_GB2312"/>
          <w:spacing w:val="6"/>
          <w:kern w:val="0"/>
          <w:sz w:val="32"/>
          <w:szCs w:val="32"/>
          <w:lang w:val="en-US" w:eastAsia="zh-CN" w:bidi="ar"/>
        </w:rPr>
        <w:t>法依规履行文物保护前置审批程序。在施工过程中发现文物的，</w:t>
      </w:r>
      <w:r>
        <w:rPr>
          <w:rFonts w:hint="eastAsia" w:ascii="仿宋_GB2312" w:hAnsi="仿宋_GB2312" w:eastAsia="仿宋_GB2312" w:cs="仿宋_GB2312"/>
          <w:kern w:val="0"/>
          <w:sz w:val="32"/>
          <w:szCs w:val="32"/>
          <w:lang w:val="en-US" w:eastAsia="zh-CN" w:bidi="ar"/>
        </w:rPr>
        <w:t>应当保护现场，立即报告当地</w:t>
      </w:r>
      <w:r>
        <w:rPr>
          <w:rFonts w:hint="eastAsia" w:ascii="仿宋_GB2312" w:hAnsi="仿宋_GB2312" w:eastAsia="仿宋_GB2312" w:cs="仿宋_GB2312"/>
          <w:color w:val="auto"/>
          <w:kern w:val="0"/>
          <w:sz w:val="32"/>
          <w:szCs w:val="32"/>
          <w:lang w:val="en-US" w:eastAsia="zh-CN" w:bidi="ar"/>
        </w:rPr>
        <w:t>文物行政部门</w:t>
      </w:r>
      <w:r>
        <w:rPr>
          <w:rFonts w:hint="eastAsia" w:ascii="仿宋_GB2312" w:hAnsi="仿宋_GB2312" w:eastAsia="仿宋_GB2312" w:cs="仿宋_GB2312"/>
          <w:kern w:val="0"/>
          <w:sz w:val="32"/>
          <w:szCs w:val="32"/>
          <w:lang w:val="en-US" w:eastAsia="zh-CN" w:bidi="ar"/>
        </w:rPr>
        <w:t>，由</w:t>
      </w:r>
      <w:r>
        <w:rPr>
          <w:rFonts w:hint="eastAsia" w:ascii="仿宋_GB2312" w:hAnsi="仿宋_GB2312" w:eastAsia="仿宋_GB2312" w:cs="仿宋_GB2312"/>
          <w:color w:val="auto"/>
          <w:kern w:val="0"/>
          <w:sz w:val="32"/>
          <w:szCs w:val="32"/>
          <w:lang w:val="en-US" w:eastAsia="zh-CN" w:bidi="ar"/>
        </w:rPr>
        <w:t>文物行政部门</w:t>
      </w:r>
      <w:r>
        <w:rPr>
          <w:rFonts w:hint="eastAsia" w:ascii="仿宋_GB2312" w:hAnsi="仿宋_GB2312" w:eastAsia="仿宋_GB2312" w:cs="仿宋_GB2312"/>
          <w:kern w:val="0"/>
          <w:sz w:val="32"/>
          <w:szCs w:val="32"/>
          <w:lang w:val="en-US" w:eastAsia="zh-CN" w:bidi="ar"/>
        </w:rPr>
        <w:t>按照《中华人民共和国文物保护法》有关规定处理。对工程建设中出现干扰、阻挠考古调查、勘探、发掘和破坏文物、哄抢文物等行为，要依法依规严肃处理。</w:t>
      </w:r>
    </w:p>
    <w:p>
      <w:pPr>
        <w:pStyle w:val="30"/>
        <w:keepNext w:val="0"/>
        <w:keepLines w:val="0"/>
        <w:pageBreakBefore w:val="0"/>
        <w:shd w:val="clear" w:color="auto" w:fill="FFFFFF"/>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四、提升前置审批效率。</w:t>
      </w:r>
      <w:r>
        <w:rPr>
          <w:rFonts w:hint="eastAsia" w:ascii="仿宋_GB2312" w:hAnsi="仿宋_GB2312" w:eastAsia="仿宋_GB2312" w:cs="仿宋_GB2312"/>
          <w:color w:val="auto"/>
          <w:kern w:val="0"/>
          <w:sz w:val="32"/>
          <w:szCs w:val="32"/>
          <w:lang w:val="en-US" w:eastAsia="zh-CN" w:bidi="ar"/>
        </w:rPr>
        <w:t>全区各级文物行政部门</w:t>
      </w:r>
      <w:r>
        <w:rPr>
          <w:rFonts w:hint="eastAsia" w:ascii="仿宋_GB2312" w:hAnsi="仿宋_GB2312" w:eastAsia="仿宋_GB2312" w:cs="仿宋_GB2312"/>
          <w:kern w:val="0"/>
          <w:sz w:val="32"/>
          <w:szCs w:val="32"/>
          <w:lang w:val="en-US" w:eastAsia="zh-CN" w:bidi="ar"/>
        </w:rPr>
        <w:t>要依据最新全国文物普查数据开展文物前置审批工作。</w:t>
      </w:r>
      <w:r>
        <w:rPr>
          <w:rFonts w:hint="eastAsia" w:ascii="仿宋_GB2312" w:hAnsi="仿宋_GB2312" w:eastAsia="仿宋_GB2312" w:cs="仿宋_GB2312"/>
          <w:spacing w:val="6"/>
          <w:kern w:val="0"/>
          <w:sz w:val="32"/>
          <w:szCs w:val="32"/>
          <w:lang w:val="en-US" w:eastAsia="zh-CN" w:bidi="ar"/>
        </w:rPr>
        <w:t>严格审查考古调查、</w:t>
      </w:r>
      <w:r>
        <w:rPr>
          <w:rFonts w:hint="eastAsia" w:ascii="仿宋_GB2312" w:hAnsi="仿宋_GB2312" w:eastAsia="仿宋_GB2312" w:cs="仿宋_GB2312"/>
          <w:kern w:val="0"/>
          <w:sz w:val="32"/>
          <w:szCs w:val="32"/>
          <w:lang w:val="en-US" w:eastAsia="zh-CN" w:bidi="ar"/>
        </w:rPr>
        <w:t>勘探、发掘单位资质，加强考古工作质量监管。要优化行政审批流程，提高行政审批效率，确保在法定时限内完成工程建设项目文物保护许可。考古调查、勘探、发掘实施单位要增强服务意识，创新工作方法，依法依规科学高效开展工作。</w:t>
      </w:r>
      <w:r>
        <w:rPr>
          <w:rFonts w:hint="eastAsia" w:ascii="仿宋_GB2312" w:hAnsi="仿宋_GB2312" w:eastAsia="仿宋_GB2312" w:cs="仿宋_GB2312"/>
          <w:color w:val="auto"/>
          <w:kern w:val="0"/>
          <w:sz w:val="32"/>
          <w:szCs w:val="32"/>
          <w:lang w:val="en-US" w:eastAsia="zh-CN" w:bidi="ar"/>
        </w:rPr>
        <w:t>旗县级以上地方人民政府、</w:t>
      </w:r>
      <w:r>
        <w:rPr>
          <w:rFonts w:hint="eastAsia" w:ascii="仿宋_GB2312" w:hAnsi="仿宋_GB2312" w:eastAsia="仿宋_GB2312" w:cs="仿宋_GB2312"/>
          <w:kern w:val="0"/>
          <w:sz w:val="32"/>
          <w:szCs w:val="32"/>
          <w:lang w:val="en-US" w:eastAsia="zh-CN" w:bidi="ar"/>
        </w:rPr>
        <w:t>各相关部门要在项目审批过程中建立健全信息共享和线索移送机制、协作保护机制，切实履行好工程建设文物保护责任。</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eastAsia" w:ascii="方正黑体_GBK" w:hAnsi="方正黑体_GBK" w:eastAsia="方正黑体_GBK" w:cs="方正黑体_GBK"/>
          <w:color w:val="auto"/>
          <w:kern w:val="0"/>
          <w:sz w:val="32"/>
          <w:szCs w:val="32"/>
          <w:lang w:eastAsia="zh-CN" w:bidi="ar"/>
        </w:rPr>
        <w:t>五</w:t>
      </w:r>
      <w:r>
        <w:rPr>
          <w:rFonts w:hint="eastAsia" w:ascii="方正黑体_GBK" w:hAnsi="方正黑体_GBK" w:eastAsia="方正黑体_GBK" w:cs="方正黑体_GBK"/>
          <w:color w:val="auto"/>
          <w:kern w:val="0"/>
          <w:sz w:val="32"/>
          <w:szCs w:val="32"/>
          <w:lang w:bidi="ar"/>
        </w:rPr>
        <w:t>、</w:t>
      </w:r>
      <w:r>
        <w:rPr>
          <w:rFonts w:hint="eastAsia" w:ascii="方正黑体_GBK" w:hAnsi="方正黑体_GBK" w:eastAsia="方正黑体_GBK" w:cs="方正黑体_GBK"/>
          <w:color w:val="auto"/>
          <w:kern w:val="0"/>
          <w:sz w:val="32"/>
          <w:szCs w:val="32"/>
          <w:lang w:eastAsia="zh-CN" w:bidi="ar"/>
        </w:rPr>
        <w:t>其他有关事项。</w:t>
      </w:r>
      <w:r>
        <w:rPr>
          <w:rFonts w:hint="eastAsia" w:ascii="仿宋_GB2312" w:hAnsi="仿宋_GB2312" w:eastAsia="仿宋_GB2312" w:cs="仿宋_GB2312"/>
          <w:color w:val="auto"/>
          <w:kern w:val="0"/>
          <w:sz w:val="32"/>
          <w:szCs w:val="32"/>
          <w:lang w:val="en-US" w:eastAsia="zh-CN" w:bidi="ar"/>
        </w:rPr>
        <w:t>旗县级以上地方人民政府、各相关部门</w:t>
      </w:r>
      <w:r>
        <w:rPr>
          <w:rFonts w:hint="default" w:ascii="Times New Roman" w:hAnsi="Times New Roman" w:eastAsia="仿宋_GB2312" w:cs="Times New Roman"/>
          <w:color w:val="auto"/>
          <w:kern w:val="0"/>
          <w:sz w:val="32"/>
          <w:szCs w:val="32"/>
          <w:lang w:bidi="ar"/>
        </w:rPr>
        <w:t>要充分认识文物保护工作的重要性和必要性，牢固树立保护文物也是政绩的科学理念</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建立健全文化遗产保护责任制度，建立文化遗产保护定期通报制度、专家咨询制度以及公众和舆论监督机制，严格落实工程建设中的文物前置审批要求。要广泛宣传文物保护法律法规，利用“文化和自然遗产日”</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“5.18国际博物馆日”等契机，用好“村村响”广播平台、宣传栏、宣传册等载体，广泛开展文物保护法制宣传，增强公众文物保护法制</w:t>
      </w:r>
      <w:r>
        <w:rPr>
          <w:rFonts w:hint="default" w:ascii="Times New Roman" w:hAnsi="Times New Roman" w:eastAsia="仿宋_GB2312" w:cs="Times New Roman"/>
          <w:color w:val="auto"/>
          <w:kern w:val="0"/>
          <w:sz w:val="32"/>
          <w:szCs w:val="32"/>
          <w:u w:val="none"/>
          <w:lang w:bidi="ar"/>
        </w:rPr>
        <w:t>观念，提升全社会文物保护参与意识。</w:t>
      </w:r>
      <w:r>
        <w:rPr>
          <w:rFonts w:hint="eastAsia" w:ascii="Times New Roman" w:hAnsi="Times New Roman" w:eastAsia="仿宋_GB2312" w:cs="Times New Roman"/>
          <w:color w:val="auto"/>
          <w:kern w:val="0"/>
          <w:sz w:val="32"/>
          <w:szCs w:val="32"/>
          <w:highlight w:val="none"/>
          <w:u w:val="none"/>
          <w:lang w:eastAsia="zh-CN" w:bidi="ar"/>
        </w:rPr>
        <w:t>全区各级文物行政部门要牵头抓总、统筹协调，定期开展文物安全检查巡查，督导各文物保护单位持续健全“四有（有保护范围、有标志说明、有记录档案、有专门机构或者专人负责管理）档案”，切实做到保护第一、加强管理、挖掘价值、有效利用、让文物活起来。</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 w:hAnsi="仿宋" w:eastAsia="仿宋"/>
          <w:color w:val="auto"/>
          <w:kern w:val="0"/>
          <w:sz w:val="32"/>
          <w:szCs w:val="32"/>
          <w:lang w:bidi="ar"/>
        </w:rPr>
      </w:pP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 w:hAnsi="仿宋" w:eastAsia="仿宋"/>
          <w:color w:val="auto"/>
          <w:kern w:val="0"/>
          <w:sz w:val="32"/>
          <w:szCs w:val="32"/>
          <w:lang w:bidi="ar"/>
        </w:rPr>
      </w:pPr>
    </w:p>
    <w:p>
      <w:pPr>
        <w:pStyle w:val="2"/>
        <w:rPr>
          <w:rFonts w:ascii="仿宋" w:hAnsi="仿宋" w:eastAsia="仿宋"/>
          <w:color w:val="auto"/>
          <w:kern w:val="0"/>
          <w:sz w:val="32"/>
          <w:szCs w:val="32"/>
          <w:lang w:bidi="ar"/>
        </w:rPr>
      </w:pPr>
    </w:p>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bidi="ar"/>
        </w:rPr>
        <w:t xml:space="preserve">       </w:t>
      </w:r>
      <w:r>
        <w:rPr>
          <w:rFonts w:hint="eastAsia" w:ascii="Times New Roman" w:hAnsi="Times New Roman" w:eastAsia="仿宋_GB2312" w:cs="Times New Roman"/>
          <w:color w:val="auto"/>
          <w:kern w:val="0"/>
          <w:sz w:val="32"/>
          <w:szCs w:val="32"/>
          <w:lang w:val="en-US" w:eastAsia="zh-CN" w:bidi="ar"/>
        </w:rPr>
        <w:t xml:space="preserve">  </w:t>
      </w:r>
      <w:r>
        <w:rPr>
          <w:rFonts w:hint="eastAsia" w:ascii="Times New Roman" w:hAnsi="Times New Roman" w:eastAsia="仿宋_GB2312" w:cs="Times New Roman"/>
          <w:color w:val="auto"/>
          <w:kern w:val="0"/>
          <w:sz w:val="32"/>
          <w:szCs w:val="32"/>
          <w:lang w:bidi="ar"/>
        </w:rPr>
        <w:t xml:space="preserve">              </w:t>
      </w:r>
      <w:r>
        <w:rPr>
          <w:rFonts w:hint="eastAsia" w:ascii="Times New Roman" w:hAnsi="Times New Roman" w:eastAsia="仿宋_GB2312" w:cs="Times New Roman"/>
          <w:color w:val="auto"/>
          <w:kern w:val="0"/>
          <w:sz w:val="32"/>
          <w:szCs w:val="32"/>
          <w:lang w:val="en-US" w:eastAsia="zh-CN" w:bidi="ar"/>
        </w:rPr>
        <w:t xml:space="preserve">    </w:t>
      </w:r>
      <w:r>
        <w:rPr>
          <w:rFonts w:hint="eastAsia" w:ascii="仿宋" w:hAnsi="仿宋" w:eastAsia="仿宋" w:cs="仿宋"/>
          <w:color w:val="auto"/>
          <w:kern w:val="0"/>
          <w:sz w:val="32"/>
          <w:szCs w:val="32"/>
          <w:lang w:bidi="ar"/>
        </w:rPr>
        <w:t>2024年</w:t>
      </w:r>
      <w:r>
        <w:rPr>
          <w:rFonts w:hint="eastAsia" w:ascii="仿宋" w:hAnsi="仿宋" w:eastAsia="仿宋" w:cs="仿宋"/>
          <w:color w:val="auto"/>
          <w:kern w:val="0"/>
          <w:sz w:val="32"/>
          <w:szCs w:val="32"/>
          <w:lang w:val="en-US" w:eastAsia="zh-CN" w:bidi="ar"/>
        </w:rPr>
        <w:t>10</w:t>
      </w:r>
      <w:r>
        <w:rPr>
          <w:rFonts w:hint="eastAsia" w:ascii="Times New Roman" w:hAnsi="Times New Roman" w:eastAsia="仿宋_GB2312" w:cs="Times New Roman"/>
          <w:color w:val="auto"/>
          <w:kern w:val="0"/>
          <w:sz w:val="32"/>
          <w:szCs w:val="32"/>
          <w:lang w:bidi="ar"/>
        </w:rPr>
        <w:t>月</w:t>
      </w:r>
      <w:r>
        <w:rPr>
          <w:rFonts w:hint="eastAsia" w:ascii="Times New Roman" w:hAnsi="Times New Roman" w:eastAsia="仿宋_GB2312" w:cs="Times New Roman"/>
          <w:color w:val="auto"/>
          <w:kern w:val="0"/>
          <w:sz w:val="32"/>
          <w:szCs w:val="32"/>
          <w:lang w:val="en-US" w:eastAsia="zh-CN" w:bidi="ar"/>
        </w:rPr>
        <w:t>15</w:t>
      </w:r>
      <w:r>
        <w:rPr>
          <w:rFonts w:hint="eastAsia" w:ascii="Times New Roman" w:hAnsi="Times New Roman" w:eastAsia="仿宋_GB2312" w:cs="Times New Roman"/>
          <w:color w:val="auto"/>
          <w:kern w:val="0"/>
          <w:sz w:val="32"/>
          <w:szCs w:val="32"/>
          <w:lang w:bidi="ar"/>
        </w:rPr>
        <w:t>日</w:t>
      </w:r>
    </w:p>
    <w:p>
      <w:pPr>
        <w:keepNext w:val="0"/>
        <w:keepLines w:val="0"/>
        <w:pageBreakBefore w:val="0"/>
        <w:kinsoku/>
        <w:wordWrap/>
        <w:overflowPunct/>
        <w:topLinePunct w:val="0"/>
        <w:autoSpaceDE/>
        <w:autoSpaceDN/>
        <w:bidi w:val="0"/>
        <w:spacing w:line="580" w:lineRule="exact"/>
        <w:textAlignment w:val="auto"/>
        <w:rPr>
          <w:rFonts w:hint="default" w:eastAsia="宋体"/>
          <w:color w:val="auto"/>
          <w:lang w:val="en-US" w:eastAsia="zh-CN"/>
        </w:rPr>
      </w:pPr>
      <w:r>
        <w:rPr>
          <w:rFonts w:hint="eastAsia"/>
          <w:color w:val="auto"/>
          <w:lang w:val="en-US" w:eastAsia="zh-CN"/>
        </w:rPr>
        <w:t xml:space="preserve"> </w:t>
      </w:r>
      <w:r>
        <w:rPr>
          <w:rFonts w:hint="default" w:ascii="Times New Roman" w:hAnsi="Times New Roman" w:eastAsia="仿宋_GB2312" w:cs="Times New Roman"/>
          <w:color w:val="auto"/>
          <w:kern w:val="0"/>
          <w:sz w:val="32"/>
          <w:szCs w:val="32"/>
          <w:lang w:val="en-US" w:eastAsia="zh-CN" w:bidi="ar"/>
        </w:rPr>
        <w:t xml:space="preserve">   （此件公开发布）</w:t>
      </w:r>
    </w:p>
    <w:bookmarkEnd w:id="1"/>
    <w:p>
      <w:pPr>
        <w:rPr>
          <w:rFonts w:hint="eastAsia"/>
          <w:color w:val="auto"/>
        </w:rPr>
      </w:pPr>
    </w:p>
    <w:p>
      <w:pPr>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rPr>
      </w:pPr>
    </w:p>
    <w:p>
      <w:pPr>
        <w:pStyle w:val="2"/>
        <w:rPr>
          <w:rFonts w:hint="eastAsia" w:eastAsia="CESI仿宋-GB2312"/>
          <w:lang w:eastAsia="zh-CN"/>
        </w:rPr>
      </w:pPr>
    </w:p>
    <w:p>
      <w:pPr>
        <w:rPr>
          <w:rFonts w:hint="default"/>
        </w:rPr>
      </w:pPr>
    </w:p>
    <w:tbl>
      <w:tblPr>
        <w:tblStyle w:val="20"/>
        <w:tblW w:w="8805"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jc w:val="center"/>
        </w:trPr>
        <w:tc>
          <w:tcPr>
            <w:tcW w:w="8805" w:type="dxa"/>
            <w:noWrap w:val="0"/>
            <w:vAlign w:val="top"/>
          </w:tcPr>
          <w:p>
            <w:pPr>
              <w:spacing w:line="400" w:lineRule="exact"/>
              <w:ind w:firstLine="280" w:firstLineChars="100"/>
              <w:rPr>
                <w:rFonts w:ascii="仿宋_GB2312" w:eastAsia="仿宋_GB2312"/>
                <w:color w:val="auto"/>
                <w:sz w:val="28"/>
              </w:rPr>
            </w:pPr>
            <w:r>
              <w:rPr>
                <w:rFonts w:hint="eastAsia" w:ascii="仿宋_GB2312" w:eastAsia="仿宋_GB2312"/>
                <w:color w:val="auto"/>
                <w:sz w:val="28"/>
              </w:rPr>
              <w:t>抄送：自治区党委各部门，内蒙古军区，武警内蒙古总队。</w:t>
            </w:r>
          </w:p>
          <w:p>
            <w:pPr>
              <w:spacing w:line="400" w:lineRule="exact"/>
              <w:ind w:firstLine="1148" w:firstLineChars="410"/>
              <w:rPr>
                <w:rFonts w:hint="eastAsia" w:ascii="仿宋_GB2312" w:eastAsia="仿宋_GB2312"/>
                <w:color w:val="auto"/>
                <w:sz w:val="28"/>
              </w:rPr>
            </w:pPr>
            <w:r>
              <w:rPr>
                <w:rFonts w:hint="eastAsia" w:ascii="仿宋_GB2312" w:eastAsia="仿宋_GB2312"/>
                <w:color w:val="auto"/>
                <w:sz w:val="28"/>
              </w:rPr>
              <w:t>自治区人大常委会办公厅、政协办公厅，</w:t>
            </w:r>
            <w:r>
              <w:rPr>
                <w:rFonts w:hint="eastAsia" w:ascii="仿宋_GB2312" w:eastAsia="仿宋_GB2312"/>
                <w:color w:val="auto"/>
                <w:sz w:val="28"/>
                <w:lang w:eastAsia="zh-CN"/>
              </w:rPr>
              <w:t>自治区监委，</w:t>
            </w:r>
            <w:r>
              <w:rPr>
                <w:rFonts w:hint="eastAsia" w:ascii="仿宋_GB2312" w:eastAsia="仿宋_GB2312"/>
                <w:color w:val="auto"/>
                <w:sz w:val="28"/>
              </w:rPr>
              <w:t>高级</w:t>
            </w:r>
          </w:p>
          <w:p>
            <w:pPr>
              <w:spacing w:line="400" w:lineRule="exact"/>
              <w:ind w:firstLine="1148" w:firstLineChars="410"/>
              <w:rPr>
                <w:rFonts w:ascii="仿宋_GB2312" w:eastAsia="仿宋_GB2312"/>
                <w:color w:val="auto"/>
                <w:sz w:val="28"/>
              </w:rPr>
            </w:pPr>
            <w:r>
              <w:rPr>
                <w:rFonts w:hint="eastAsia" w:ascii="仿宋_GB2312" w:eastAsia="仿宋_GB2312"/>
                <w:color w:val="auto"/>
                <w:sz w:val="28"/>
              </w:rPr>
              <w:t>人民法院，检察院。</w:t>
            </w:r>
          </w:p>
          <w:p>
            <w:pPr>
              <w:spacing w:line="400" w:lineRule="exact"/>
              <w:ind w:firstLine="1148" w:firstLineChars="410"/>
              <w:rPr>
                <w:rFonts w:ascii="仿宋_GB2312" w:eastAsia="仿宋_GB2312"/>
                <w:color w:val="auto"/>
                <w:sz w:val="28"/>
              </w:rPr>
            </w:pPr>
            <w:r>
              <w:rPr>
                <w:rFonts w:hint="eastAsia" w:ascii="仿宋_GB2312" w:eastAsia="仿宋_GB2312"/>
                <w:color w:val="auto"/>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05" w:type="dxa"/>
            <w:noWrap w:val="0"/>
            <w:vAlign w:val="top"/>
          </w:tcPr>
          <w:p>
            <w:pPr>
              <w:ind w:firstLine="280" w:firstLineChars="100"/>
              <w:rPr>
                <w:rFonts w:ascii="仿宋_GB2312" w:eastAsia="仿宋_GB2312"/>
                <w:color w:val="auto"/>
                <w:sz w:val="28"/>
              </w:rPr>
            </w:pPr>
            <w:r>
              <w:rPr>
                <w:rFonts w:hint="eastAsia" w:ascii="仿宋_GB2312" w:eastAsia="仿宋_GB2312"/>
                <w:color w:val="auto"/>
                <w:sz w:val="28"/>
              </w:rPr>
              <w:t>内蒙古自治区人民政府办公厅文电处      202</w:t>
            </w:r>
            <w:r>
              <w:rPr>
                <w:rFonts w:hint="eastAsia" w:ascii="仿宋_GB2312" w:eastAsia="仿宋_GB2312"/>
                <w:color w:val="auto"/>
                <w:sz w:val="28"/>
                <w:lang w:val="en-US" w:eastAsia="zh-CN"/>
              </w:rPr>
              <w:t>4</w:t>
            </w:r>
            <w:r>
              <w:rPr>
                <w:rFonts w:hint="eastAsia" w:ascii="仿宋_GB2312" w:eastAsia="仿宋_GB2312"/>
                <w:color w:val="auto"/>
                <w:sz w:val="28"/>
              </w:rPr>
              <w:t>年</w:t>
            </w:r>
            <w:r>
              <w:rPr>
                <w:rFonts w:hint="eastAsia" w:ascii="仿宋_GB2312" w:eastAsia="仿宋_GB2312"/>
                <w:color w:val="auto"/>
                <w:sz w:val="28"/>
                <w:lang w:val="en-US" w:eastAsia="zh-CN"/>
              </w:rPr>
              <w:t>10</w:t>
            </w:r>
            <w:r>
              <w:rPr>
                <w:rFonts w:hint="eastAsia" w:ascii="仿宋_GB2312" w:eastAsia="仿宋_GB2312"/>
                <w:color w:val="auto"/>
                <w:sz w:val="28"/>
              </w:rPr>
              <w:t>月</w:t>
            </w:r>
            <w:r>
              <w:rPr>
                <w:rFonts w:hint="eastAsia" w:ascii="仿宋_GB2312" w:eastAsia="仿宋_GB2312"/>
                <w:color w:val="auto"/>
                <w:sz w:val="28"/>
                <w:lang w:val="en-US" w:eastAsia="zh-CN"/>
              </w:rPr>
              <w:t>15</w:t>
            </w:r>
            <w:r>
              <w:rPr>
                <w:rFonts w:hint="eastAsia" w:ascii="仿宋_GB2312" w:eastAsia="仿宋_GB2312"/>
                <w:color w:val="auto"/>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rPr>
      </w:pPr>
    </w:p>
    <w:p>
      <w:pPr>
        <w:spacing w:line="20" w:lineRule="exact"/>
        <w:rPr>
          <w:rFonts w:hint="eastAsia"/>
        </w:rPr>
      </w:pPr>
      <w:r>
        <w:rPr>
          <w:rFonts w:hint="eastAsia" w:eastAsia="CESI仿宋-GB2312"/>
          <w:lang w:eastAsia="zh-CN"/>
        </w:rPr>
        <w:drawing>
          <wp:anchor distT="0" distB="0" distL="114300" distR="114300" simplePos="0" relativeHeight="251658240" behindDoc="0" locked="0" layoutInCell="1" allowOverlap="1">
            <wp:simplePos x="0" y="0"/>
            <wp:positionH relativeFrom="column">
              <wp:posOffset>3829685</wp:posOffset>
            </wp:positionH>
            <wp:positionV relativeFrom="paragraph">
              <wp:posOffset>54610</wp:posOffset>
            </wp:positionV>
            <wp:extent cx="1790700" cy="537210"/>
            <wp:effectExtent l="0" t="0" r="0" b="15240"/>
            <wp:wrapSquare wrapText="bothSides"/>
            <wp:docPr id="1" name="图片 12" descr="NZB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NZBF40"/>
                    <pic:cNvPicPr>
                      <a:picLocks noChangeAspect="1"/>
                    </pic:cNvPicPr>
                  </pic:nvPicPr>
                  <pic:blipFill>
                    <a:blip r:embed="rId8"/>
                    <a:stretch>
                      <a:fillRect/>
                    </a:stretch>
                  </pic:blipFill>
                  <pic:spPr>
                    <a:xfrm>
                      <a:off x="0" y="0"/>
                      <a:ext cx="1790700" cy="53721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800002AF" w:usb1="084F6CF8" w:usb2="00000010"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Liberation Sans">
    <w:altName w:val="Arial Black"/>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9452" w:y="-23"/>
      <w:rPr>
        <w:rStyle w:val="23"/>
        <w:rFonts w:hint="eastAsia" w:ascii="宋体" w:hAnsi="宋体"/>
        <w:sz w:val="28"/>
        <w:szCs w:val="28"/>
      </w:rPr>
    </w:pPr>
    <w:r>
      <w:rPr>
        <w:rFonts w:hint="eastAsia" w:ascii="宋体" w:hAnsi="宋体"/>
        <w:sz w:val="28"/>
        <w:szCs w:val="28"/>
      </w:rPr>
      <w:fldChar w:fldCharType="begin"/>
    </w:r>
    <w:r>
      <w:rPr>
        <w:rStyle w:val="23"/>
        <w:rFonts w:hint="eastAsia" w:ascii="宋体" w:hAnsi="宋体"/>
        <w:sz w:val="28"/>
        <w:szCs w:val="28"/>
      </w:rPr>
      <w:instrText xml:space="preserve">PAGE  </w:instrText>
    </w:r>
    <w:r>
      <w:rPr>
        <w:rFonts w:hint="eastAsia" w:ascii="宋体" w:hAnsi="宋体"/>
        <w:sz w:val="28"/>
        <w:szCs w:val="28"/>
      </w:rPr>
      <w:fldChar w:fldCharType="separate"/>
    </w:r>
    <w:r>
      <w:rPr>
        <w:rStyle w:val="23"/>
        <w:rFonts w:ascii="宋体" w:hAnsi="宋体"/>
        <w:sz w:val="28"/>
        <w:szCs w:val="28"/>
        <w:lang/>
      </w:rPr>
      <w:t>- 1 -</w:t>
    </w:r>
    <w:r>
      <w:rPr>
        <w:rFonts w:hint="eastAsia" w:ascii="宋体" w:hAnsi="宋体"/>
        <w:sz w:val="28"/>
        <w:szCs w:val="28"/>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1892" w:y="-23"/>
      <w:rPr>
        <w:rStyle w:val="23"/>
        <w:rFonts w:ascii="宋体" w:hAnsi="宋体"/>
        <w:sz w:val="28"/>
        <w:szCs w:val="28"/>
      </w:rPr>
    </w:pP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lang/>
      </w:rPr>
      <w:t>- 2 -</w:t>
    </w:r>
    <w:r>
      <w:rPr>
        <w:rFonts w:ascii="宋体" w:hAnsi="宋体"/>
        <w:sz w:val="28"/>
        <w:szCs w:val="28"/>
      </w:rP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98C58D2"/>
    <w:rsid w:val="10AA3895"/>
    <w:rsid w:val="10D97F53"/>
    <w:rsid w:val="110F26B1"/>
    <w:rsid w:val="13404ED0"/>
    <w:rsid w:val="17785B5F"/>
    <w:rsid w:val="19C33B89"/>
    <w:rsid w:val="1A7D41CF"/>
    <w:rsid w:val="1DCC4F48"/>
    <w:rsid w:val="1FD3237E"/>
    <w:rsid w:val="21CE0EBF"/>
    <w:rsid w:val="24485B15"/>
    <w:rsid w:val="254E1177"/>
    <w:rsid w:val="26FA0F6B"/>
    <w:rsid w:val="277DAE1E"/>
    <w:rsid w:val="27BE7BCD"/>
    <w:rsid w:val="27FF28C8"/>
    <w:rsid w:val="2AB60A68"/>
    <w:rsid w:val="2BDCC03B"/>
    <w:rsid w:val="36AE3107"/>
    <w:rsid w:val="36FF9E03"/>
    <w:rsid w:val="3B7205FF"/>
    <w:rsid w:val="3B9C9E81"/>
    <w:rsid w:val="3BCED323"/>
    <w:rsid w:val="3CEDF39D"/>
    <w:rsid w:val="3D1F6E67"/>
    <w:rsid w:val="3F2F4F03"/>
    <w:rsid w:val="3F5DDC59"/>
    <w:rsid w:val="3F752C10"/>
    <w:rsid w:val="3FFF3491"/>
    <w:rsid w:val="4305077B"/>
    <w:rsid w:val="456E4695"/>
    <w:rsid w:val="464F2819"/>
    <w:rsid w:val="47C464B1"/>
    <w:rsid w:val="47F73F86"/>
    <w:rsid w:val="4A456A7E"/>
    <w:rsid w:val="4BB12688"/>
    <w:rsid w:val="4FE529D6"/>
    <w:rsid w:val="51650C56"/>
    <w:rsid w:val="51991BDC"/>
    <w:rsid w:val="572F76E2"/>
    <w:rsid w:val="5865EBDD"/>
    <w:rsid w:val="5AFF0FFA"/>
    <w:rsid w:val="5BAE3879"/>
    <w:rsid w:val="5CF7E620"/>
    <w:rsid w:val="5D8F2AE6"/>
    <w:rsid w:val="5EEF8B85"/>
    <w:rsid w:val="5EFDDBFD"/>
    <w:rsid w:val="5FB0B2C1"/>
    <w:rsid w:val="64B86B45"/>
    <w:rsid w:val="67FA0A5C"/>
    <w:rsid w:val="67FFCBEF"/>
    <w:rsid w:val="695568DB"/>
    <w:rsid w:val="6B8B83D6"/>
    <w:rsid w:val="6F2C465B"/>
    <w:rsid w:val="6F7A8901"/>
    <w:rsid w:val="6FF5D5BA"/>
    <w:rsid w:val="6FFF187A"/>
    <w:rsid w:val="70A3309E"/>
    <w:rsid w:val="73FFD3D3"/>
    <w:rsid w:val="75FB7008"/>
    <w:rsid w:val="75FF90B7"/>
    <w:rsid w:val="771BE98D"/>
    <w:rsid w:val="7B7F5094"/>
    <w:rsid w:val="7C7CFADC"/>
    <w:rsid w:val="7D164783"/>
    <w:rsid w:val="7DCFBC25"/>
    <w:rsid w:val="7DFAEE88"/>
    <w:rsid w:val="7E7F7ADB"/>
    <w:rsid w:val="7E960D71"/>
    <w:rsid w:val="7EE7C7AF"/>
    <w:rsid w:val="7F3B6F09"/>
    <w:rsid w:val="7F6FD374"/>
    <w:rsid w:val="7F77110D"/>
    <w:rsid w:val="7F7BDE46"/>
    <w:rsid w:val="7FEBC1E2"/>
    <w:rsid w:val="97BF1E78"/>
    <w:rsid w:val="9C7F6573"/>
    <w:rsid w:val="9DDE2F3B"/>
    <w:rsid w:val="9E6D466B"/>
    <w:rsid w:val="AFEE1D6D"/>
    <w:rsid w:val="AFFC0BAF"/>
    <w:rsid w:val="B2CF499A"/>
    <w:rsid w:val="B9FD6DB4"/>
    <w:rsid w:val="BAAE90C0"/>
    <w:rsid w:val="BCCB70F5"/>
    <w:rsid w:val="BCFDC0EF"/>
    <w:rsid w:val="BDFFBEBA"/>
    <w:rsid w:val="BFE3CCD9"/>
    <w:rsid w:val="BFFBD4E0"/>
    <w:rsid w:val="CEFA0351"/>
    <w:rsid w:val="CFD359ED"/>
    <w:rsid w:val="CFF361A2"/>
    <w:rsid w:val="CFFFC399"/>
    <w:rsid w:val="D3FE9635"/>
    <w:rsid w:val="D53F4321"/>
    <w:rsid w:val="DAB738A2"/>
    <w:rsid w:val="DD9A68BA"/>
    <w:rsid w:val="DDFB8EC2"/>
    <w:rsid w:val="DDFDE796"/>
    <w:rsid w:val="DFF7D8C1"/>
    <w:rsid w:val="DFFF4FC1"/>
    <w:rsid w:val="DFFFCF7C"/>
    <w:rsid w:val="E7AEC72D"/>
    <w:rsid w:val="E7FF3F0A"/>
    <w:rsid w:val="EAA7EBA2"/>
    <w:rsid w:val="EE573D0B"/>
    <w:rsid w:val="EF757FB8"/>
    <w:rsid w:val="EF7F2435"/>
    <w:rsid w:val="EFFF8C6F"/>
    <w:rsid w:val="F1F583DD"/>
    <w:rsid w:val="F5DD710C"/>
    <w:rsid w:val="F5F71EFE"/>
    <w:rsid w:val="F5FF5D94"/>
    <w:rsid w:val="F6DB2702"/>
    <w:rsid w:val="F7E3E49C"/>
    <w:rsid w:val="F7EA4C76"/>
    <w:rsid w:val="F8BBF52E"/>
    <w:rsid w:val="F96CC6E2"/>
    <w:rsid w:val="F9FFAC36"/>
    <w:rsid w:val="FADB4780"/>
    <w:rsid w:val="FAE3BBF0"/>
    <w:rsid w:val="FB7764F1"/>
    <w:rsid w:val="FBB605D5"/>
    <w:rsid w:val="FBEDCEC2"/>
    <w:rsid w:val="FC75E88D"/>
    <w:rsid w:val="FC75F369"/>
    <w:rsid w:val="FCFD57D5"/>
    <w:rsid w:val="FEF7C869"/>
    <w:rsid w:val="FEFA07F4"/>
    <w:rsid w:val="FF763E94"/>
    <w:rsid w:val="FFA5A0A6"/>
    <w:rsid w:val="FFAF6EEF"/>
    <w:rsid w:val="FFBED150"/>
    <w:rsid w:val="FFCD92CA"/>
    <w:rsid w:val="FFE5B086"/>
    <w:rsid w:val="FFF61AC2"/>
    <w:rsid w:val="FFF7DE52"/>
    <w:rsid w:val="FFFFFF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suppressAutoHyphens/>
      <w:bidi w:val="0"/>
      <w:spacing w:before="100" w:beforeAutospacing="1" w:after="100" w:afterAutospacing="1"/>
      <w:jc w:val="left"/>
      <w:outlineLvl w:val="0"/>
    </w:pPr>
    <w:rPr>
      <w:rFonts w:hint="eastAsia" w:ascii="宋体" w:hAnsi="宋体" w:eastAsia="宋体" w:cs="宋体"/>
      <w:b/>
      <w:bCs/>
      <w:color w:val="auto"/>
      <w:kern w:val="44"/>
      <w:sz w:val="48"/>
      <w:szCs w:val="48"/>
      <w:lang w:val="en-US" w:eastAsia="zh-CN" w:bidi="ar"/>
    </w:rPr>
  </w:style>
  <w:style w:type="character" w:default="1" w:styleId="22">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1"/>
    <w:uiPriority w:val="0"/>
    <w:pPr>
      <w:suppressAutoHyphens/>
      <w:bidi w:val="0"/>
      <w:spacing w:before="0" w:after="140" w:line="276" w:lineRule="auto"/>
    </w:pPr>
    <w:rPr>
      <w:rFonts w:ascii="Calibri" w:hAnsi="Calibri" w:eastAsia="CESI仿宋-GB2312" w:cs="Times New Roman"/>
      <w:color w:val="auto"/>
      <w:sz w:val="32"/>
      <w:szCs w:val="24"/>
      <w:lang w:bidi="ar-SA"/>
    </w:rPr>
  </w:style>
  <w:style w:type="paragraph" w:styleId="5">
    <w:name w:val="caption"/>
    <w:basedOn w:val="1"/>
    <w:uiPriority w:val="0"/>
    <w:pPr>
      <w:widowControl w:val="0"/>
      <w:suppressLineNumbers/>
      <w:suppressAutoHyphens/>
      <w:bidi w:val="0"/>
      <w:spacing w:before="120" w:after="120"/>
    </w:pPr>
    <w:rPr>
      <w:rFonts w:ascii="Calibri" w:hAnsi="Calibri" w:eastAsia="CESI仿宋-GB2312" w:cs="Times New Roman"/>
      <w:i/>
      <w:iCs/>
      <w:color w:val="auto"/>
      <w:sz w:val="24"/>
      <w:szCs w:val="24"/>
      <w:lang w:bidi="ar-SA"/>
    </w:rPr>
  </w:style>
  <w:style w:type="paragraph" w:styleId="6">
    <w:name w:val="Document Map"/>
    <w:basedOn w:val="1"/>
    <w:semiHidden/>
    <w:uiPriority w:val="0"/>
    <w:pPr>
      <w:shd w:val="clear" w:color="auto" w:fill="000080"/>
    </w:pPr>
  </w:style>
  <w:style w:type="paragraph" w:styleId="7">
    <w:name w:val="Salutation"/>
    <w:basedOn w:val="1"/>
    <w:next w:val="1"/>
    <w:unhideWhenUsed/>
    <w:qFormat/>
    <w:uiPriority w:val="99"/>
    <w:pPr>
      <w:suppressAutoHyphens/>
      <w:bidi w:val="0"/>
    </w:pPr>
    <w:rPr>
      <w:rFonts w:ascii="Calibri" w:hAnsi="Calibri" w:eastAsia="CESI仿宋-GB2312" w:cs="Times New Roman"/>
      <w:color w:val="auto"/>
      <w:sz w:val="32"/>
      <w:szCs w:val="24"/>
      <w:lang w:bidi="ar-SA"/>
    </w:rPr>
  </w:style>
  <w:style w:type="paragraph" w:styleId="8">
    <w:name w:val="Body Text Indent"/>
    <w:basedOn w:val="1"/>
    <w:next w:val="9"/>
    <w:qFormat/>
    <w:uiPriority w:val="0"/>
    <w:pPr>
      <w:suppressAutoHyphens/>
      <w:bidi w:val="0"/>
      <w:spacing w:after="120"/>
      <w:ind w:left="420" w:leftChars="200"/>
    </w:pPr>
    <w:rPr>
      <w:rFonts w:ascii="Calibri" w:hAnsi="Calibri" w:eastAsia="宋体" w:cs="Times New Roman"/>
      <w:color w:val="auto"/>
      <w:sz w:val="21"/>
      <w:szCs w:val="24"/>
      <w:lang w:bidi="ar-SA"/>
    </w:rPr>
  </w:style>
  <w:style w:type="paragraph" w:styleId="9">
    <w:name w:val="envelope return"/>
    <w:basedOn w:val="1"/>
    <w:qFormat/>
    <w:uiPriority w:val="0"/>
    <w:pPr>
      <w:suppressAutoHyphens/>
      <w:bidi w:val="0"/>
      <w:snapToGrid w:val="0"/>
    </w:pPr>
    <w:rPr>
      <w:rFonts w:ascii="Arial" w:hAnsi="Arial" w:eastAsia="宋体" w:cs="Times New Roman"/>
      <w:color w:val="auto"/>
      <w:sz w:val="21"/>
      <w:szCs w:val="24"/>
      <w:lang w:bidi="ar-SA"/>
    </w:rPr>
  </w:style>
  <w:style w:type="paragraph" w:styleId="10">
    <w:name w:val="Plain Text"/>
    <w:basedOn w:val="1"/>
    <w:qFormat/>
    <w:uiPriority w:val="99"/>
    <w:pPr>
      <w:suppressAutoHyphens/>
      <w:bidi w:val="0"/>
    </w:pPr>
    <w:rPr>
      <w:rFonts w:ascii="宋体" w:hAnsi="Courier New" w:eastAsia="CESI仿宋-GB2312" w:cs="Courier New"/>
      <w:color w:val="auto"/>
      <w:sz w:val="32"/>
      <w:szCs w:val="26"/>
      <w:lang w:bidi="ar-SA"/>
    </w:rPr>
  </w:style>
  <w:style w:type="paragraph" w:styleId="11">
    <w:name w:val="Date"/>
    <w:basedOn w:val="1"/>
    <w:next w:val="1"/>
    <w:link w:val="31"/>
    <w:uiPriority w:val="0"/>
    <w:pPr>
      <w:ind w:left="100" w:leftChars="2500"/>
    </w:pPr>
    <w:rPr>
      <w:rFonts w:ascii="仿宋_GB2312" w:eastAsia="仿宋_GB2312"/>
      <w:sz w:val="32"/>
    </w:rPr>
  </w:style>
  <w:style w:type="paragraph" w:styleId="12">
    <w:name w:val="Body Text Indent 2"/>
    <w:qFormat/>
    <w:uiPriority w:val="0"/>
    <w:pPr>
      <w:widowControl w:val="0"/>
      <w:spacing w:after="120" w:afterLines="0" w:afterAutospacing="0" w:line="480" w:lineRule="auto"/>
      <w:ind w:left="420" w:leftChars="200"/>
      <w:jc w:val="both"/>
    </w:pPr>
    <w:rPr>
      <w:rFonts w:ascii="Times New Roman" w:hAnsi="Times New Roman" w:eastAsia="方正仿宋_GBK" w:cs="Times New Roman"/>
      <w:kern w:val="2"/>
      <w:sz w:val="32"/>
      <w:szCs w:val="24"/>
      <w:lang w:val="en-US" w:eastAsia="zh-CN"/>
    </w:rPr>
  </w:style>
  <w:style w:type="paragraph" w:styleId="13">
    <w:name w:val="Balloon Text"/>
    <w:basedOn w:val="1"/>
    <w:semiHidden/>
    <w:uiPriority w:val="0"/>
    <w:rPr>
      <w:sz w:val="18"/>
      <w:szCs w:val="18"/>
    </w:rPr>
  </w:style>
  <w:style w:type="paragraph" w:styleId="14">
    <w:name w:val="footer"/>
    <w:basedOn w:val="1"/>
    <w:link w:val="32"/>
    <w:uiPriority w:val="0"/>
    <w:pPr>
      <w:tabs>
        <w:tab w:val="center" w:pos="4153"/>
        <w:tab w:val="right" w:pos="8306"/>
      </w:tabs>
      <w:snapToGrid w:val="0"/>
      <w:jc w:val="left"/>
    </w:pPr>
    <w:rPr>
      <w:sz w:val="18"/>
      <w:szCs w:val="18"/>
    </w:rPr>
  </w:style>
  <w:style w:type="paragraph" w:styleId="15">
    <w:name w:val="header"/>
    <w:basedOn w:val="1"/>
    <w:link w:val="33"/>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3"/>
    <w:uiPriority w:val="0"/>
  </w:style>
  <w:style w:type="paragraph" w:styleId="17">
    <w:name w:val="Body Text 2"/>
    <w:basedOn w:val="1"/>
    <w:unhideWhenUsed/>
    <w:qFormat/>
    <w:uiPriority w:val="99"/>
    <w:pPr>
      <w:suppressAutoHyphens/>
      <w:bidi w:val="0"/>
      <w:spacing w:after="120" w:line="480" w:lineRule="auto"/>
    </w:pPr>
    <w:rPr>
      <w:rFonts w:ascii="Calibri" w:hAnsi="Calibri" w:eastAsia="宋体" w:cs="Times New Roman"/>
      <w:color w:val="auto"/>
      <w:sz w:val="21"/>
      <w:szCs w:val="24"/>
      <w:lang w:bidi="ar-SA"/>
    </w:rPr>
  </w:style>
  <w:style w:type="paragraph" w:styleId="18">
    <w:name w:val="Title"/>
    <w:basedOn w:val="1"/>
    <w:next w:val="1"/>
    <w:qFormat/>
    <w:uiPriority w:val="0"/>
    <w:pPr>
      <w:suppressAutoHyphens/>
      <w:bidi w:val="0"/>
      <w:spacing w:before="240" w:after="60"/>
      <w:jc w:val="center"/>
      <w:outlineLvl w:val="0"/>
    </w:pPr>
    <w:rPr>
      <w:rFonts w:ascii="Arial" w:hAnsi="Arial" w:eastAsia="CESI仿宋-GB2312" w:cs="Arial"/>
      <w:b/>
      <w:bCs/>
      <w:color w:val="auto"/>
      <w:sz w:val="32"/>
      <w:szCs w:val="32"/>
      <w:lang w:bidi="ar-SA"/>
    </w:rPr>
  </w:style>
  <w:style w:type="paragraph" w:styleId="19">
    <w:name w:val="Body Text First Indent 2"/>
    <w:basedOn w:val="8"/>
    <w:next w:val="3"/>
    <w:qFormat/>
    <w:uiPriority w:val="0"/>
    <w:pPr>
      <w:widowControl w:val="0"/>
      <w:spacing w:after="120"/>
      <w:ind w:left="420" w:leftChars="200" w:firstLine="420"/>
      <w:jc w:val="both"/>
    </w:pPr>
    <w:rPr>
      <w:rFonts w:ascii="Calibri" w:hAnsi="Calibri" w:eastAsia="宋体" w:cs="Times New Roman"/>
      <w:kern w:val="2"/>
      <w:sz w:val="21"/>
      <w:szCs w:val="24"/>
      <w:lang w:val="en-US" w:eastAsia="zh-CN" w:bidi="ar-SA"/>
    </w:rPr>
  </w:style>
  <w:style w:type="table" w:styleId="21">
    <w:name w:val="Table Grid"/>
    <w:basedOn w:val="20"/>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page number"/>
    <w:basedOn w:val="22"/>
    <w:uiPriority w:val="0"/>
  </w:style>
  <w:style w:type="character" w:styleId="24">
    <w:name w:val="Emphasis"/>
    <w:basedOn w:val="22"/>
    <w:qFormat/>
    <w:uiPriority w:val="0"/>
    <w:rPr>
      <w:rFonts w:ascii="Times New Roman" w:hAnsi="Times New Roman" w:eastAsia="宋体" w:cs="Times New Roman"/>
      <w:i/>
    </w:rPr>
  </w:style>
  <w:style w:type="character" w:styleId="25">
    <w:name w:val="Hyperlink"/>
    <w:basedOn w:val="22"/>
    <w:qFormat/>
    <w:uiPriority w:val="0"/>
    <w:rPr>
      <w:rFonts w:ascii="Times New Roman" w:hAnsi="Times New Roman" w:eastAsia="宋体" w:cs="Times New Roman"/>
      <w:color w:val="0000FF"/>
      <w:u w:val="single"/>
    </w:rPr>
  </w:style>
  <w:style w:type="paragraph" w:customStyle="1" w:styleId="26">
    <w:name w:val="Index"/>
    <w:basedOn w:val="1"/>
    <w:uiPriority w:val="0"/>
    <w:pPr>
      <w:widowControl w:val="0"/>
      <w:suppressLineNumbers/>
      <w:suppressAutoHyphens/>
      <w:bidi w:val="0"/>
    </w:pPr>
    <w:rPr>
      <w:rFonts w:ascii="Calibri" w:hAnsi="Calibri" w:eastAsia="CESI仿宋-GB2312" w:cs="Times New Roman"/>
      <w:color w:val="auto"/>
      <w:sz w:val="32"/>
      <w:szCs w:val="24"/>
      <w:lang w:bidi="ar-SA"/>
    </w:rPr>
  </w:style>
  <w:style w:type="paragraph" w:customStyle="1" w:styleId="27">
    <w:name w:val="Heading"/>
    <w:basedOn w:val="1"/>
    <w:next w:val="3"/>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styleId="28">
    <w:name w:val="List Paragraph"/>
    <w:basedOn w:val="1"/>
    <w:qFormat/>
    <w:uiPriority w:val="99"/>
    <w:pPr>
      <w:suppressAutoHyphens/>
      <w:bidi w:val="0"/>
      <w:ind w:firstLine="420" w:firstLineChars="200"/>
    </w:pPr>
    <w:rPr>
      <w:rFonts w:ascii="Times New Roman" w:hAnsi="Times New Roman" w:eastAsia="CESI仿宋-GB2312" w:cs="Times New Roman"/>
      <w:color w:val="auto"/>
      <w:sz w:val="32"/>
      <w:szCs w:val="20"/>
      <w:lang w:bidi="ar-SA"/>
    </w:rPr>
  </w:style>
  <w:style w:type="paragraph" w:customStyle="1" w:styleId="29">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0">
    <w:name w:val="普通(网站)1"/>
    <w:basedOn w:val="1"/>
    <w:qFormat/>
    <w:uiPriority w:val="0"/>
    <w:pPr>
      <w:widowControl/>
      <w:suppressAutoHyphens/>
      <w:bidi w:val="0"/>
      <w:spacing w:before="100" w:beforeAutospacing="1" w:after="100" w:afterAutospacing="1"/>
      <w:jc w:val="left"/>
    </w:pPr>
    <w:rPr>
      <w:rFonts w:ascii="宋体" w:hAnsi="宋体" w:eastAsia="宋体" w:cs="Times New Roman"/>
      <w:color w:val="auto"/>
      <w:kern w:val="0"/>
      <w:sz w:val="24"/>
      <w:szCs w:val="24"/>
      <w:lang w:bidi="ar-SA"/>
    </w:rPr>
  </w:style>
  <w:style w:type="character" w:customStyle="1" w:styleId="31">
    <w:name w:val=" Char Char2"/>
    <w:basedOn w:val="22"/>
    <w:link w:val="11"/>
    <w:uiPriority w:val="0"/>
    <w:rPr>
      <w:rFonts w:ascii="仿宋_GB2312" w:hAnsi="Times New Roman" w:eastAsia="仿宋_GB2312" w:cs="Times New Roman"/>
      <w:kern w:val="2"/>
      <w:sz w:val="32"/>
      <w:szCs w:val="24"/>
      <w:lang w:bidi="ar-SA"/>
    </w:rPr>
  </w:style>
  <w:style w:type="character" w:customStyle="1" w:styleId="32">
    <w:name w:val=" Char Char"/>
    <w:basedOn w:val="22"/>
    <w:link w:val="14"/>
    <w:semiHidden/>
    <w:uiPriority w:val="99"/>
    <w:rPr>
      <w:rFonts w:ascii="Calibri" w:hAnsi="Calibri" w:eastAsia="宋体" w:cs="Mongolian Baiti"/>
      <w:kern w:val="2"/>
      <w:sz w:val="18"/>
      <w:szCs w:val="22"/>
    </w:rPr>
  </w:style>
  <w:style w:type="character" w:customStyle="1" w:styleId="33">
    <w:name w:val=" Char Char1"/>
    <w:basedOn w:val="22"/>
    <w:link w:val="15"/>
    <w:semiHidden/>
    <w:uiPriority w:val="99"/>
    <w:rPr>
      <w:rFonts w:ascii="Calibri" w:hAnsi="Calibri" w:eastAsia="宋体" w:cs="Mongolian Baiti"/>
      <w:kern w:val="2"/>
      <w:sz w:val="18"/>
      <w:szCs w:val="22"/>
    </w:rPr>
  </w:style>
  <w:style w:type="character" w:customStyle="1" w:styleId="34">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2024-10-18T00:45:19Z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