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bookmarkStart w:id="0" w:name="标题"/>
      <w:bookmarkEnd w:id="0"/>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转发自治区发展改革委关于恢复和扩大</w:t>
      </w: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消费若干措施的通知</w:t>
      </w: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内政办发〔2023〕</w:t>
      </w:r>
      <w:r>
        <w:rPr>
          <w:rFonts w:hint="eastAsia" w:ascii="仿宋_GB2312" w:hAnsi="华文仿宋" w:eastAsia="仿宋_GB2312"/>
          <w:sz w:val="32"/>
          <w:lang w:val="en-US" w:eastAsia="zh-CN"/>
        </w:rPr>
        <w:t>96</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jc w:val="center"/>
        <w:textAlignment w:val="auto"/>
        <w:rPr>
          <w:rFonts w:hint="eastAsia" w:ascii="方正楷体_GBK" w:hAnsi="方正楷体_GBK" w:eastAsia="方正楷体_GBK" w:cs="方正楷体_GBK"/>
          <w:sz w:val="30"/>
        </w:rPr>
      </w:pPr>
    </w:p>
    <w:p>
      <w:pPr>
        <w:keepNext w:val="0"/>
        <w:keepLines w:val="0"/>
        <w:pageBreakBefore w:val="0"/>
        <w:widowControl w:val="0"/>
        <w:kinsoku/>
        <w:wordWrap/>
        <w:overflowPunct/>
        <w:topLinePunct/>
        <w:autoSpaceDE/>
        <w:autoSpaceDN/>
        <w:bidi w:val="0"/>
        <w:adjustRightInd/>
        <w:snapToGrid/>
        <w:spacing w:line="380" w:lineRule="exact"/>
        <w:textAlignment w:val="auto"/>
        <w:rPr>
          <w:rFonts w:hint="eastAsia" w:ascii="方正楷体_GBK" w:hAnsi="方正楷体_GBK" w:eastAsia="方正楷体_GBK" w:cs="方正楷体_GBK"/>
          <w:sz w:val="32"/>
        </w:rPr>
      </w:pPr>
      <w:bookmarkStart w:id="4" w:name="_GoBack"/>
      <w:r>
        <w:rPr>
          <w:rFonts w:hint="eastAsia" w:ascii="方正楷体_GBK" w:hAnsi="方正楷体_GBK" w:eastAsia="方正楷体_GBK" w:cs="方正楷体_GBK"/>
          <w:sz w:val="32"/>
          <w:lang w:eastAsia="zh-CN"/>
        </w:rPr>
        <w:t>各盟行政公署、市人民政府，自治区各委、办、厅、局，各大企业、事业单位</w:t>
      </w:r>
      <w:r>
        <w:rPr>
          <w:rFonts w:hint="eastAsia" w:ascii="方正楷体_GBK" w:hAnsi="方正楷体_GBK" w:eastAsia="方正楷体_GBK" w:cs="方正楷体_GBK"/>
          <w:sz w:val="32"/>
        </w:rPr>
        <w:t>：</w:t>
      </w:r>
    </w:p>
    <w:p>
      <w:pPr>
        <w:keepNext w:val="0"/>
        <w:keepLines w:val="0"/>
        <w:pageBreakBefore w:val="0"/>
        <w:widowControl w:val="0"/>
        <w:kinsoku/>
        <w:wordWrap/>
        <w:overflowPunct/>
        <w:topLinePunct/>
        <w:autoSpaceDE/>
        <w:autoSpaceDN/>
        <w:bidi w:val="0"/>
        <w:adjustRightInd/>
        <w:snapToGrid/>
        <w:spacing w:line="380" w:lineRule="exact"/>
        <w:ind w:firstLine="64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经自治区人民政府同意，现将自治区发展改革委《关于恢复</w:t>
      </w:r>
      <w:r>
        <w:rPr>
          <w:rFonts w:hint="eastAsia" w:ascii="方正楷体_GBK" w:hAnsi="方正楷体_GBK" w:eastAsia="方正楷体_GBK" w:cs="方正楷体_GBK"/>
          <w:spacing w:val="-6"/>
          <w:sz w:val="32"/>
          <w:lang w:val="en-US" w:eastAsia="zh-CN"/>
        </w:rPr>
        <w:t>和扩大消费的若干措施》转发给你们，请结合实际，认真贯彻落实。</w:t>
      </w:r>
    </w:p>
    <w:p>
      <w:pPr>
        <w:keepNext w:val="0"/>
        <w:keepLines w:val="0"/>
        <w:pageBreakBefore w:val="0"/>
        <w:widowControl w:val="0"/>
        <w:kinsoku/>
        <w:wordWrap/>
        <w:overflowPunct/>
        <w:topLinePunct/>
        <w:autoSpaceDE/>
        <w:autoSpaceDN/>
        <w:bidi w:val="0"/>
        <w:ind w:firstLine="64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ind w:firstLine="64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ind w:firstLine="64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tabs>
          <w:tab w:val="left" w:pos="7560"/>
        </w:tabs>
        <w:kinsoku/>
        <w:wordWrap/>
        <w:overflowPunct/>
        <w:topLinePunct/>
        <w:autoSpaceDE/>
        <w:autoSpaceDN/>
        <w:bidi w:val="0"/>
        <w:adjustRightInd/>
        <w:snapToGrid/>
        <w:spacing w:line="380" w:lineRule="exact"/>
        <w:ind w:firstLine="641"/>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 xml:space="preserve">                           2023年12月29日</w:t>
      </w:r>
    </w:p>
    <w:p>
      <w:pPr>
        <w:keepNext w:val="0"/>
        <w:keepLines w:val="0"/>
        <w:pageBreakBefore w:val="0"/>
        <w:widowControl w:val="0"/>
        <w:kinsoku/>
        <w:wordWrap/>
        <w:overflowPunct/>
        <w:topLinePunct/>
        <w:autoSpaceDE/>
        <w:autoSpaceDN/>
        <w:bidi w:val="0"/>
        <w:ind w:firstLine="64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（此件公开发布）</w:t>
      </w:r>
    </w:p>
    <w:p>
      <w:pPr>
        <w:keepNext w:val="0"/>
        <w:keepLines w:val="0"/>
        <w:pageBreakBefore w:val="0"/>
        <w:widowControl w:val="0"/>
        <w:kinsoku/>
        <w:wordWrap/>
        <w:overflowPunct/>
        <w:topLinePunct/>
        <w:autoSpaceDE/>
        <w:autoSpaceDN/>
        <w:bidi w:val="0"/>
        <w:ind w:firstLine="64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ind w:firstLine="64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ind w:firstLine="64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ind w:firstLine="64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ind w:firstLine="64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ind w:firstLine="64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ind w:firstLine="64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auto"/>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lang w:eastAsia="zh-CN"/>
        </w:rPr>
        <w:t>关于恢复和</w:t>
      </w:r>
      <w:r>
        <w:rPr>
          <w:rFonts w:hint="eastAsia" w:ascii="Times New Roman" w:hAnsi="Times New Roman" w:eastAsia="方正小标宋简体" w:cs="Times New Roman"/>
          <w:b w:val="0"/>
          <w:bCs w:val="0"/>
          <w:color w:val="auto"/>
          <w:sz w:val="44"/>
          <w:szCs w:val="44"/>
          <w:lang w:eastAsia="zh-CN"/>
        </w:rPr>
        <w:t>扩大</w:t>
      </w:r>
      <w:r>
        <w:rPr>
          <w:rFonts w:hint="default" w:ascii="Times New Roman" w:hAnsi="Times New Roman" w:eastAsia="方正小标宋简体" w:cs="Times New Roman"/>
          <w:b w:val="0"/>
          <w:bCs w:val="0"/>
          <w:color w:val="auto"/>
          <w:sz w:val="44"/>
          <w:szCs w:val="44"/>
          <w:lang w:eastAsia="zh-CN"/>
        </w:rPr>
        <w:t>消费的</w:t>
      </w:r>
      <w:r>
        <w:rPr>
          <w:rFonts w:hint="eastAsia" w:ascii="Times New Roman" w:hAnsi="Times New Roman" w:eastAsia="方正小标宋简体" w:cs="Times New Roman"/>
          <w:b w:val="0"/>
          <w:bCs w:val="0"/>
          <w:color w:val="auto"/>
          <w:sz w:val="44"/>
          <w:szCs w:val="44"/>
          <w:lang w:eastAsia="zh-CN"/>
        </w:rPr>
        <w:t>若干措施</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b w:val="0"/>
          <w:bCs w:val="0"/>
          <w:color w:val="auto"/>
          <w:sz w:val="36"/>
          <w:szCs w:val="36"/>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自治区发展改革委</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b w:val="0"/>
          <w:bCs w:val="0"/>
          <w:color w:val="auto"/>
          <w:sz w:val="36"/>
          <w:szCs w:val="36"/>
          <w:lang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为贯彻落实《国务院办公厅转发国家发展改革委关于恢复和扩大消费措施的通知》（国办函〔2023〕70号）精神，深入实施扩大内需战略，激发有潜能的消费，扩大有效益的投资，形成消费和投资相互促进的良性循环，结合自治区实际，提出如下措施。</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一、稳定大宗消费</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（一）优化汽车消费。</w:t>
      </w:r>
      <w:r>
        <w:rPr>
          <w:rFonts w:hint="eastAsia" w:ascii="仿宋" w:hAnsi="仿宋" w:eastAsia="仿宋" w:cs="仿宋"/>
          <w:color w:val="000000"/>
          <w:sz w:val="32"/>
          <w:szCs w:val="32"/>
        </w:rPr>
        <w:t>优化机动车登记，推行“私家车登记持身份证全区通办”等便民利民措施，推动各地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在二手车交易</w:t>
      </w:r>
      <w:r>
        <w:rPr>
          <w:rFonts w:hint="eastAsia" w:ascii="仿宋" w:hAnsi="仿宋" w:eastAsia="仿宋" w:cs="仿宋"/>
          <w:color w:val="000000"/>
          <w:spacing w:val="6"/>
          <w:sz w:val="32"/>
          <w:szCs w:val="32"/>
        </w:rPr>
        <w:t>市场、经销企业规范设立机动车登记服务站。促进汽车更新消费，</w:t>
      </w:r>
      <w:r>
        <w:rPr>
          <w:rFonts w:hint="eastAsia" w:ascii="仿宋" w:hAnsi="仿宋" w:eastAsia="仿宋" w:cs="仿宋"/>
          <w:color w:val="000000"/>
          <w:sz w:val="32"/>
          <w:szCs w:val="32"/>
        </w:rPr>
        <w:t>鼓励以旧换新。结合城镇老旧小区改造等新（扩）建停车设</w:t>
      </w:r>
      <w:r>
        <w:rPr>
          <w:rFonts w:hint="eastAsia" w:ascii="仿宋" w:hAnsi="仿宋" w:eastAsia="仿宋" w:cs="仿宋"/>
          <w:color w:val="000000"/>
          <w:spacing w:val="-6"/>
          <w:sz w:val="32"/>
          <w:szCs w:val="32"/>
        </w:rPr>
        <w:t>施，深度挖掘城市潜在停车资源，提高现有停车设施利用率。加</w:t>
      </w:r>
      <w:r>
        <w:rPr>
          <w:rFonts w:hint="eastAsia" w:ascii="仿宋" w:hAnsi="仿宋" w:eastAsia="仿宋" w:cs="仿宋"/>
          <w:color w:val="000000"/>
          <w:sz w:val="32"/>
          <w:szCs w:val="32"/>
        </w:rPr>
        <w:t>大</w:t>
      </w:r>
      <w:r>
        <w:rPr>
          <w:rFonts w:hint="eastAsia" w:ascii="仿宋" w:hAnsi="仿宋" w:eastAsia="仿宋" w:cs="仿宋"/>
          <w:color w:val="000000"/>
          <w:spacing w:val="-6"/>
          <w:sz w:val="32"/>
          <w:szCs w:val="32"/>
        </w:rPr>
        <w:t>汽车消费金融支持力度。推广机械式立体停车场、停车楼建设。</w:t>
      </w:r>
      <w:r>
        <w:rPr>
          <w:rFonts w:hint="eastAsia" w:ascii="仿宋" w:hAnsi="仿宋" w:eastAsia="仿宋" w:cs="仿宋"/>
          <w:color w:val="000000"/>
          <w:sz w:val="32"/>
          <w:szCs w:val="32"/>
        </w:rPr>
        <w:t>加</w:t>
      </w:r>
      <w:r>
        <w:rPr>
          <w:rFonts w:hint="eastAsia" w:ascii="仿宋" w:hAnsi="仿宋" w:eastAsia="仿宋" w:cs="仿宋"/>
          <w:color w:val="000000"/>
          <w:spacing w:val="-6"/>
          <w:sz w:val="32"/>
          <w:szCs w:val="32"/>
        </w:rPr>
        <w:t>快智慧车场建设。</w:t>
      </w:r>
      <w:r>
        <w:rPr>
          <w:rFonts w:hint="eastAsia" w:ascii="楷体" w:hAnsi="楷体" w:eastAsia="楷体" w:cs="楷体"/>
          <w:b w:val="0"/>
          <w:bCs w:val="0"/>
          <w:color w:val="000000"/>
          <w:spacing w:val="-6"/>
          <w:sz w:val="32"/>
          <w:szCs w:val="32"/>
        </w:rPr>
        <w:t>（自治区商务厅、工业和信息化厅、公安厅、</w:t>
      </w:r>
      <w:r>
        <w:rPr>
          <w:rFonts w:hint="eastAsia" w:ascii="楷体" w:hAnsi="楷体" w:eastAsia="楷体" w:cs="楷体"/>
          <w:b w:val="0"/>
          <w:bCs w:val="0"/>
          <w:color w:val="000000"/>
          <w:sz w:val="32"/>
          <w:szCs w:val="32"/>
        </w:rPr>
        <w:t>住房城乡建设厅，中国人民银行内蒙古自治区分行、国家金融监督管理总局内蒙古监管局等部门单位，各盟行政公署、市人民政府按</w:t>
      </w:r>
      <w:r>
        <w:rPr>
          <w:rFonts w:hint="eastAsia" w:ascii="楷体" w:hAnsi="楷体" w:eastAsia="楷体" w:cs="楷体"/>
          <w:b w:val="0"/>
          <w:bCs w:val="0"/>
          <w:color w:val="000000"/>
          <w:spacing w:val="-6"/>
          <w:sz w:val="32"/>
          <w:szCs w:val="32"/>
        </w:rPr>
        <w:t>职责分工负责。以下任务均需各盟行政公署、市人民政府落实，</w:t>
      </w:r>
      <w:r>
        <w:rPr>
          <w:rFonts w:hint="eastAsia" w:ascii="楷体" w:hAnsi="楷体" w:eastAsia="楷体" w:cs="楷体"/>
          <w:b w:val="0"/>
          <w:bCs w:val="0"/>
          <w:color w:val="000000"/>
          <w:sz w:val="32"/>
          <w:szCs w:val="32"/>
        </w:rPr>
        <w:t>不再列出）</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（二）促进成品油消费。</w:t>
      </w:r>
      <w:r>
        <w:rPr>
          <w:rFonts w:hint="eastAsia" w:ascii="仿宋" w:hAnsi="仿宋" w:eastAsia="仿宋" w:cs="仿宋"/>
          <w:color w:val="000000"/>
          <w:sz w:val="32"/>
          <w:szCs w:val="32"/>
        </w:rPr>
        <w:t>鼓励成品油企业开展让利活动，与汽车销售企业开展新车、成品油跨界融合促销。优化成品油零售</w:t>
      </w:r>
      <w:r>
        <w:rPr>
          <w:rFonts w:hint="eastAsia" w:ascii="仿宋" w:hAnsi="仿宋" w:eastAsia="仿宋" w:cs="仿宋"/>
          <w:color w:val="000000"/>
          <w:spacing w:val="-6"/>
          <w:sz w:val="32"/>
          <w:szCs w:val="32"/>
        </w:rPr>
        <w:t>经营审批流程和销售网络布局。开展成品油流通市场专项整治，</w:t>
      </w:r>
      <w:r>
        <w:rPr>
          <w:rFonts w:hint="eastAsia" w:ascii="仿宋" w:hAnsi="仿宋" w:eastAsia="仿宋" w:cs="仿宋"/>
          <w:color w:val="000000"/>
          <w:sz w:val="32"/>
          <w:szCs w:val="32"/>
        </w:rPr>
        <w:t>依法</w:t>
      </w:r>
      <w:r>
        <w:rPr>
          <w:rFonts w:hint="eastAsia" w:ascii="仿宋" w:hAnsi="仿宋" w:eastAsia="仿宋" w:cs="仿宋"/>
          <w:color w:val="000000"/>
          <w:sz w:val="32"/>
          <w:szCs w:val="32"/>
          <w:lang w:eastAsia="zh-CN"/>
        </w:rPr>
        <w:t>依规严厉</w:t>
      </w:r>
      <w:r>
        <w:rPr>
          <w:rFonts w:hint="eastAsia" w:ascii="仿宋" w:hAnsi="仿宋" w:eastAsia="仿宋" w:cs="仿宋"/>
          <w:color w:val="000000"/>
          <w:sz w:val="32"/>
          <w:szCs w:val="32"/>
        </w:rPr>
        <w:t>打击生产、销售不符合国家标准成品油的行为，严肃查处未取得相关许可从事成品油销售、仓储、运输以及为偷逃成品油消费税变名生产销售成品油等违法违规行为。</w:t>
      </w:r>
      <w:r>
        <w:rPr>
          <w:rFonts w:hint="eastAsia" w:ascii="楷体" w:hAnsi="楷体" w:eastAsia="楷体" w:cs="楷体"/>
          <w:b w:val="0"/>
          <w:bCs w:val="0"/>
          <w:color w:val="000000"/>
          <w:sz w:val="32"/>
          <w:szCs w:val="32"/>
        </w:rPr>
        <w:t>（自治区商务</w:t>
      </w:r>
      <w:r>
        <w:rPr>
          <w:rFonts w:hint="eastAsia" w:ascii="楷体" w:hAnsi="楷体" w:eastAsia="楷体" w:cs="楷体"/>
          <w:b w:val="0"/>
          <w:bCs w:val="0"/>
          <w:color w:val="000000"/>
          <w:spacing w:val="-6"/>
          <w:sz w:val="32"/>
          <w:szCs w:val="32"/>
        </w:rPr>
        <w:t>厅、公安厅、交通运输厅、应急管理厅、市场监管局、能源局，</w:t>
      </w:r>
      <w:r>
        <w:rPr>
          <w:rFonts w:hint="eastAsia" w:ascii="楷体" w:hAnsi="楷体" w:eastAsia="楷体" w:cs="楷体"/>
          <w:b w:val="0"/>
          <w:bCs w:val="0"/>
          <w:color w:val="000000"/>
          <w:sz w:val="32"/>
          <w:szCs w:val="32"/>
        </w:rPr>
        <w:t>内蒙古税务局等部门单位按职责分工负责）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（三）释放新能源汽车消费潜力。</w:t>
      </w:r>
      <w:r>
        <w:rPr>
          <w:rFonts w:hint="eastAsia" w:ascii="仿宋" w:hAnsi="仿宋" w:eastAsia="仿宋" w:cs="仿宋"/>
          <w:color w:val="000000"/>
          <w:sz w:val="32"/>
          <w:szCs w:val="32"/>
        </w:rPr>
        <w:t>继续落实新能源汽车车辆购置税减免政策。鼓励各地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多渠道解决资金，支持新能源汽车推广应用。新建居民小区配套机动车停车位100%建设电动汽车充电基础设施或预留建设安装条件。既有居民住宅小区要结合城镇老旧小区改造，增设停车位并建设充电基础设施或预留安装条件。鼓励党政机关、企事业单位利用内部自用停车场建设充电基础设施或预留安装条件。推动居民小区内的公共充换电设施用电实行居民电价，推动对执行工商业电价的充换电设施用电实行峰谷分时电价政策。</w:t>
      </w:r>
      <w:r>
        <w:rPr>
          <w:rFonts w:hint="eastAsia" w:ascii="楷体" w:hAnsi="楷体" w:eastAsia="楷体" w:cs="楷体"/>
          <w:b w:val="0"/>
          <w:bCs w:val="0"/>
          <w:color w:val="000000"/>
          <w:sz w:val="32"/>
          <w:szCs w:val="32"/>
        </w:rPr>
        <w:t>（自治区发展改革委、工业和信息化厅、财政厅、自然资源厅、住房城乡建设厅、交通运输厅、能源局、机关事务管理局，内蒙古税务局等部门单位按职责分工负责）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（四）支持刚性和改善性住房需求。</w:t>
      </w:r>
      <w:r>
        <w:rPr>
          <w:rFonts w:hint="eastAsia" w:ascii="仿宋" w:hAnsi="仿宋" w:eastAsia="仿宋" w:cs="仿宋"/>
          <w:color w:val="000000"/>
          <w:sz w:val="32"/>
          <w:szCs w:val="32"/>
        </w:rPr>
        <w:t>实施差别化住房信贷政策，合理确定贷款首付比例和贷款利率政策下限。鼓励各地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采</w:t>
      </w:r>
      <w:r>
        <w:rPr>
          <w:rFonts w:hint="eastAsia" w:ascii="仿宋" w:hAnsi="仿宋" w:eastAsia="仿宋" w:cs="仿宋"/>
          <w:color w:val="000000"/>
          <w:spacing w:val="-6"/>
          <w:sz w:val="32"/>
          <w:szCs w:val="32"/>
        </w:rPr>
        <w:t>取贷款贴息、发放住房补贴以及与住房消费衔接的家装消费券、</w:t>
      </w:r>
      <w:r>
        <w:rPr>
          <w:rFonts w:hint="eastAsia" w:ascii="仿宋" w:hAnsi="仿宋" w:eastAsia="仿宋" w:cs="仿宋"/>
          <w:color w:val="000000"/>
          <w:sz w:val="32"/>
          <w:szCs w:val="32"/>
        </w:rPr>
        <w:t>家电消费券等措施，促进居民刚性和改善型住房消费。加快建立多主体供给、多渠道保障、租购并举的住房基础性制度，积极稳妥化解房地产风险。加快推进保障性住房建设。稳步推进老旧小区改造，充分利用住宅专项维修资金加快老旧小区改造和老旧住宅电梯更新改造。用好用足住房公积金，执行“认房不认贷”政策，开展“商贷+住房公积金贷款”组合贷款、“商贷转住房公积金贷款”业务，支持住房公积金缴存人提取住房公积金用于既有住宅加装电梯及城镇老旧小区改造中进行自住住房改造。鼓励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探索开展灵活就业人员缴纳住房公积金工作。继续实施农村牧区危房改造，支持7度及以上抗震设防地区农村牧区房屋抗震改造，鼓励同步开展农村牧区房屋节能改造和品质提升。</w:t>
      </w:r>
      <w:r>
        <w:rPr>
          <w:rFonts w:hint="eastAsia" w:ascii="楷体" w:hAnsi="楷体" w:eastAsia="楷体" w:cs="楷体"/>
          <w:b w:val="0"/>
          <w:bCs w:val="0"/>
          <w:color w:val="000000"/>
          <w:sz w:val="32"/>
          <w:szCs w:val="32"/>
        </w:rPr>
        <w:t>（自治区住房城乡建设厅、中国人民银行内蒙古自治区分行等部门单位按职责分工负责）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（五）提升</w:t>
      </w:r>
      <w:r>
        <w:rPr>
          <w:rFonts w:hint="eastAsia" w:ascii="楷体" w:hAnsi="楷体" w:eastAsia="楷体" w:cs="楷体"/>
          <w:b w:val="0"/>
          <w:bCs w:val="0"/>
          <w:color w:val="000000"/>
          <w:spacing w:val="6"/>
          <w:sz w:val="32"/>
          <w:szCs w:val="32"/>
        </w:rPr>
        <w:t>家装家居和电子产品消费。</w:t>
      </w:r>
      <w:r>
        <w:rPr>
          <w:rFonts w:hint="eastAsia" w:ascii="仿宋" w:hAnsi="仿宋" w:eastAsia="仿宋" w:cs="仿宋"/>
          <w:color w:val="000000"/>
          <w:spacing w:val="6"/>
          <w:sz w:val="32"/>
          <w:szCs w:val="32"/>
        </w:rPr>
        <w:t>促进家庭装修消费，</w:t>
      </w:r>
      <w:r>
        <w:rPr>
          <w:rFonts w:hint="eastAsia" w:ascii="仿宋" w:hAnsi="仿宋" w:eastAsia="仿宋" w:cs="仿宋"/>
          <w:color w:val="000000"/>
          <w:sz w:val="32"/>
          <w:szCs w:val="32"/>
        </w:rPr>
        <w:t>鼓励室内全智能装配一体化。推广智能家电、集成家电、功能化家具等产品。加快实施家电售后服务提升行动。开展家电以旧换新，加强废旧家电回收。支持可穿戴设备、智能产品消费，打造电子产品消费应用新场景。</w:t>
      </w:r>
      <w:r>
        <w:rPr>
          <w:rFonts w:hint="eastAsia" w:ascii="楷体" w:hAnsi="楷体" w:eastAsia="楷体" w:cs="楷体"/>
          <w:b w:val="0"/>
          <w:bCs w:val="0"/>
          <w:color w:val="000000"/>
          <w:sz w:val="32"/>
          <w:szCs w:val="32"/>
        </w:rPr>
        <w:t>（自治区住房城乡建设厅、生态环境厅、商务厅等部门单位按职责分工负责）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二、扩大服务消费</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（六）扩大餐饮服务消费。</w:t>
      </w:r>
      <w:r>
        <w:rPr>
          <w:rFonts w:hint="eastAsia" w:ascii="仿宋" w:hAnsi="仿宋" w:eastAsia="仿宋" w:cs="仿宋"/>
          <w:color w:val="000000"/>
          <w:sz w:val="32"/>
          <w:szCs w:val="32"/>
        </w:rPr>
        <w:t>倡导健康餐饮消费，举办“寻味内蒙古”美食嘉年华活动，开展特色餐饮、名菜评选、技能大赛等美食主题活动。优化餐饮场所延长营业时间相关规定。培育“种养殖基地+中央厨房+冷链物流+餐饮门店”模式，挖掘预制菜市场潜力，加快推进预制菜基地建设。强化网上营销监管，支持利用新媒体宣传推广特色餐饮。依托街道（乡镇）养老服务中心和社区养老服务站点，为老年人提供餐食服务，支持符合条件的餐</w:t>
      </w:r>
      <w:r>
        <w:rPr>
          <w:rFonts w:hint="eastAsia" w:ascii="仿宋" w:hAnsi="仿宋" w:eastAsia="仿宋" w:cs="仿宋"/>
          <w:color w:val="000000"/>
          <w:spacing w:val="-6"/>
          <w:sz w:val="32"/>
          <w:szCs w:val="32"/>
        </w:rPr>
        <w:t>饮企业提供为老助餐服务。</w:t>
      </w:r>
      <w:r>
        <w:rPr>
          <w:rFonts w:hint="eastAsia" w:ascii="楷体" w:hAnsi="楷体" w:eastAsia="楷体" w:cs="楷体"/>
          <w:b w:val="0"/>
          <w:bCs w:val="0"/>
          <w:color w:val="000000"/>
          <w:spacing w:val="-6"/>
          <w:sz w:val="32"/>
          <w:szCs w:val="32"/>
        </w:rPr>
        <w:t>（自治区商务厅、民政厅、农牧厅、</w:t>
      </w:r>
      <w:r>
        <w:rPr>
          <w:rFonts w:hint="eastAsia" w:ascii="楷体" w:hAnsi="楷体" w:eastAsia="楷体" w:cs="楷体"/>
          <w:b w:val="0"/>
          <w:bCs w:val="0"/>
          <w:color w:val="000000"/>
          <w:sz w:val="32"/>
          <w:szCs w:val="32"/>
        </w:rPr>
        <w:t>市场监管局等部门单位按职责分工负责）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（七）丰富</w:t>
      </w:r>
      <w:r>
        <w:rPr>
          <w:rFonts w:hint="eastAsia" w:ascii="楷体" w:hAnsi="楷体" w:eastAsia="楷体" w:cs="楷体"/>
          <w:b w:val="0"/>
          <w:bCs w:val="0"/>
          <w:color w:val="000000"/>
          <w:spacing w:val="6"/>
          <w:sz w:val="32"/>
          <w:szCs w:val="32"/>
        </w:rPr>
        <w:t>文旅消费。</w:t>
      </w:r>
      <w:r>
        <w:rPr>
          <w:rFonts w:hint="eastAsia" w:ascii="仿宋" w:hAnsi="仿宋" w:eastAsia="仿宋" w:cs="仿宋"/>
          <w:color w:val="000000"/>
          <w:spacing w:val="6"/>
          <w:sz w:val="32"/>
          <w:szCs w:val="32"/>
        </w:rPr>
        <w:t>落实带薪休假制度，鼓</w:t>
      </w:r>
      <w:r>
        <w:rPr>
          <w:rFonts w:hint="eastAsia" w:ascii="仿宋" w:hAnsi="仿宋" w:eastAsia="仿宋" w:cs="仿宋"/>
          <w:color w:val="000000"/>
          <w:sz w:val="32"/>
          <w:szCs w:val="32"/>
        </w:rPr>
        <w:t>励错峰休假、弹性作息。围绕传统节日和旅游旺季，推出“相约草原”等文化和旅游活动。落实旅游专列、包机定制、游客招徕等专项奖励政策。健全旅游基础设施，强化智慧景区建设。鼓励各地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加强景区联动消费，推行市场化合作联票模式。鼓励生产、销售企业与旅游景区合作，丰富文旅消费产品供给。推动夜间文旅消费规范创新发展，引导博物馆、文化馆、图书馆、游乐园等延长开放时间，支持有条件的地区建设“24小时生活圈”。打造沉浸式演艺新空间，重点培育建设文旅消费集聚区，推进旅游休闲街区建设。强化应急管理保障，做好旅游景区流量管理。</w:t>
      </w:r>
      <w:r>
        <w:rPr>
          <w:rFonts w:hint="eastAsia" w:ascii="楷体" w:hAnsi="楷体" w:eastAsia="楷体" w:cs="楷体"/>
          <w:b w:val="0"/>
          <w:bCs w:val="0"/>
          <w:color w:val="000000"/>
          <w:sz w:val="32"/>
          <w:szCs w:val="32"/>
        </w:rPr>
        <w:t>（自治区人力资源社会保障厅、发展改革委、住房城乡建设厅、文化和旅游厅、应急管理厅等部门单位按职责分工负责）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（八）促进文娱体育会展消费。</w:t>
      </w:r>
      <w:r>
        <w:rPr>
          <w:rFonts w:hint="eastAsia" w:ascii="仿宋" w:hAnsi="仿宋" w:eastAsia="仿宋" w:cs="仿宋"/>
          <w:color w:val="000000"/>
          <w:sz w:val="32"/>
          <w:szCs w:val="32"/>
        </w:rPr>
        <w:t>加快电视剧、网络影视剧等立项审批，丰富演唱会、音乐节等活动供给，提升《千古马颂》、《呼伦贝尔之恋》、《鄂尔多斯婚礼》等演艺项目品牌影响力。承办、举办各类体育赛事活动，办好第十四届全国冬季运动会。实施全民健身场地设施提升行动</w:t>
      </w:r>
      <w:r>
        <w:rPr>
          <w:rFonts w:hint="eastAsia" w:ascii="仿宋" w:hAnsi="仿宋" w:eastAsia="仿宋" w:cs="仿宋"/>
          <w:color w:val="000000"/>
          <w:sz w:val="32"/>
          <w:szCs w:val="32"/>
          <w:u w:val="none"/>
          <w:lang w:eastAsia="zh-CN"/>
        </w:rPr>
        <w:t>，开展全民健身活动</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rPr>
        <w:t>优化公共体育场所开放措施，鼓励体育用品、餐饮等行业企业入驻，满足群众就近就便消费需求。大力发展智能体育装备，提升科学健身智慧化水平。推进国家体育消费试点城市建设工作。加大对商品展销会、博览会等活动的政策支持力度。支持外摆经济、绿色商场创建。研究促进内蒙古老字号创新发展政策举措，推进中华老字号示范创建，培育国货“潮品”等新增长点，促进品牌品质消费。</w:t>
      </w:r>
      <w:r>
        <w:rPr>
          <w:rFonts w:hint="eastAsia" w:ascii="楷体" w:hAnsi="楷体" w:eastAsia="楷体" w:cs="楷体"/>
          <w:b w:val="0"/>
          <w:bCs w:val="0"/>
          <w:color w:val="000000"/>
          <w:sz w:val="32"/>
          <w:szCs w:val="32"/>
        </w:rPr>
        <w:t>（自治区文化和旅游厅、发展改革委、商务厅、体育局、广电局等部门单位按职责分工负责）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（九）提升健康服务消费。</w:t>
      </w:r>
      <w:r>
        <w:rPr>
          <w:rFonts w:hint="eastAsia" w:ascii="仿宋" w:hAnsi="仿宋" w:eastAsia="仿宋" w:cs="仿宋"/>
          <w:color w:val="000000"/>
          <w:sz w:val="32"/>
          <w:szCs w:val="32"/>
        </w:rPr>
        <w:t>坚持中医（蒙医）西医并重，建设国家区域医疗中心、城市医疗集团和县域医共体，推动优质医疗资源下沉，增加高质量的中医（蒙医）医疗、养生保健、康复、健康旅游等服务。发展“互联网+医疗健康”，完善互联网诊疗收费政策，将符合要求的互联网医院纳入医保支付范围。开发面向老年人的健康管理、生活照护、康养疗养等服务和产品。通过政府购买服务和发放老年人消费补贴等方式，适度引导老年人体</w:t>
      </w:r>
      <w:r>
        <w:rPr>
          <w:rFonts w:hint="eastAsia" w:ascii="仿宋" w:hAnsi="仿宋" w:eastAsia="仿宋" w:cs="仿宋"/>
          <w:color w:val="000000"/>
          <w:spacing w:val="-6"/>
          <w:sz w:val="32"/>
          <w:szCs w:val="32"/>
        </w:rPr>
        <w:t>验、购买专业服务和辅具用品，推动老年用品进产业园区、商场、</w:t>
      </w:r>
      <w:r>
        <w:rPr>
          <w:rFonts w:hint="eastAsia" w:ascii="仿宋" w:hAnsi="仿宋" w:eastAsia="仿宋" w:cs="仿宋"/>
          <w:color w:val="000000"/>
          <w:sz w:val="32"/>
          <w:szCs w:val="32"/>
        </w:rPr>
        <w:t>机构、社区。</w:t>
      </w:r>
      <w:r>
        <w:rPr>
          <w:rFonts w:hint="eastAsia" w:ascii="楷体" w:hAnsi="楷体" w:eastAsia="楷体" w:cs="楷体"/>
          <w:b w:val="0"/>
          <w:bCs w:val="0"/>
          <w:color w:val="000000"/>
          <w:sz w:val="32"/>
          <w:szCs w:val="32"/>
        </w:rPr>
        <w:t>（自治区卫生健康委、民政厅、医保局等部门单位按职责分工负责）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三、促进农村牧区消费</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64"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pacing w:val="6"/>
          <w:sz w:val="32"/>
          <w:szCs w:val="32"/>
        </w:rPr>
        <w:t>（十）开展绿色产品下乡。</w:t>
      </w:r>
      <w:r>
        <w:rPr>
          <w:rFonts w:hint="eastAsia" w:ascii="仿宋" w:hAnsi="仿宋" w:eastAsia="仿宋" w:cs="仿宋"/>
          <w:color w:val="000000"/>
          <w:spacing w:val="6"/>
          <w:sz w:val="32"/>
          <w:szCs w:val="32"/>
        </w:rPr>
        <w:t>加大绿色智能家电宣传推广力度，</w:t>
      </w:r>
      <w:r>
        <w:rPr>
          <w:rFonts w:hint="eastAsia" w:ascii="仿宋" w:hAnsi="仿宋" w:eastAsia="仿宋" w:cs="仿宋"/>
          <w:color w:val="000000"/>
          <w:sz w:val="32"/>
          <w:szCs w:val="32"/>
        </w:rPr>
        <w:t>持续开展家电以旧换新、绿色智能家电下乡等促销活动，鼓励按照产品能效、水效等予以差异化政策支持。持续推进农村牧区清洁取暖。深入开展绿色建材下乡活动，推进绿色建材产品认证工作，畅通绿色建材市场供应渠道。</w:t>
      </w:r>
      <w:r>
        <w:rPr>
          <w:rFonts w:hint="eastAsia" w:ascii="楷体" w:hAnsi="楷体" w:eastAsia="楷体" w:cs="楷体"/>
          <w:b w:val="0"/>
          <w:bCs w:val="0"/>
          <w:color w:val="000000"/>
          <w:sz w:val="32"/>
          <w:szCs w:val="32"/>
        </w:rPr>
        <w:t>（自治区商务厅、财政厅、</w:t>
      </w:r>
      <w:r>
        <w:rPr>
          <w:rFonts w:hint="eastAsia" w:ascii="楷体" w:hAnsi="楷体" w:eastAsia="楷体" w:cs="楷体"/>
          <w:b w:val="0"/>
          <w:bCs w:val="0"/>
          <w:color w:val="000000"/>
          <w:spacing w:val="-6"/>
          <w:sz w:val="32"/>
          <w:szCs w:val="32"/>
        </w:rPr>
        <w:t>生态环境厅、住房城乡建设厅、能源局等部门单位按职责分工负责）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（十一）完善农村电子商务和快递物流配送体系。</w:t>
      </w:r>
      <w:r>
        <w:rPr>
          <w:rFonts w:hint="eastAsia" w:ascii="仿宋" w:hAnsi="仿宋" w:eastAsia="仿宋" w:cs="仿宋"/>
          <w:color w:val="000000"/>
          <w:sz w:val="32"/>
          <w:szCs w:val="32"/>
        </w:rPr>
        <w:t>发展农村牧区直播电商，推动电商平台和企业丰富面向农村牧区的产品和服务供给。完善</w:t>
      </w:r>
      <w:r>
        <w:rPr>
          <w:rFonts w:hint="eastAsia" w:ascii="仿宋" w:hAnsi="仿宋" w:eastAsia="仿宋" w:cs="仿宋"/>
          <w:color w:val="000000"/>
          <w:sz w:val="32"/>
          <w:szCs w:val="32"/>
          <w:lang w:eastAsia="zh-CN"/>
        </w:rPr>
        <w:t>旗</w:t>
      </w:r>
      <w:r>
        <w:rPr>
          <w:rFonts w:hint="eastAsia" w:ascii="仿宋" w:hAnsi="仿宋" w:eastAsia="仿宋" w:cs="仿宋"/>
          <w:color w:val="000000"/>
          <w:sz w:val="32"/>
          <w:szCs w:val="32"/>
        </w:rPr>
        <w:t>县</w:t>
      </w:r>
      <w:r>
        <w:rPr>
          <w:rFonts w:hint="eastAsia" w:ascii="仿宋" w:hAnsi="仿宋" w:eastAsia="仿宋" w:cs="仿宋"/>
          <w:color w:val="000000"/>
          <w:sz w:val="32"/>
          <w:szCs w:val="32"/>
          <w:lang w:eastAsia="zh-CN"/>
        </w:rPr>
        <w:t>（市、区）、苏木</w:t>
      </w:r>
      <w:r>
        <w:rPr>
          <w:rFonts w:hint="eastAsia" w:ascii="仿宋" w:hAnsi="仿宋" w:eastAsia="仿宋" w:cs="仿宋"/>
          <w:color w:val="000000"/>
          <w:sz w:val="32"/>
          <w:szCs w:val="32"/>
        </w:rPr>
        <w:t>乡</w:t>
      </w:r>
      <w:r>
        <w:rPr>
          <w:rFonts w:hint="eastAsia" w:ascii="仿宋" w:hAnsi="仿宋" w:eastAsia="仿宋" w:cs="仿宋"/>
          <w:color w:val="000000"/>
          <w:sz w:val="32"/>
          <w:szCs w:val="32"/>
          <w:lang w:eastAsia="zh-CN"/>
        </w:rPr>
        <w:t>镇、嘎查</w:t>
      </w:r>
      <w:r>
        <w:rPr>
          <w:rFonts w:hint="eastAsia" w:ascii="仿宋" w:hAnsi="仿宋" w:eastAsia="仿宋" w:cs="仿宋"/>
          <w:color w:val="000000"/>
          <w:sz w:val="32"/>
          <w:szCs w:val="32"/>
        </w:rPr>
        <w:t>村三级快递物流配送体系，支持建设</w:t>
      </w:r>
      <w:r>
        <w:rPr>
          <w:rFonts w:hint="eastAsia" w:ascii="仿宋" w:hAnsi="仿宋" w:eastAsia="仿宋" w:cs="仿宋"/>
          <w:color w:val="000000"/>
          <w:sz w:val="32"/>
          <w:szCs w:val="32"/>
          <w:lang w:eastAsia="zh-CN"/>
        </w:rPr>
        <w:t>旗</w:t>
      </w:r>
      <w:r>
        <w:rPr>
          <w:rFonts w:hint="eastAsia" w:ascii="仿宋" w:hAnsi="仿宋" w:eastAsia="仿宋" w:cs="仿宋"/>
          <w:color w:val="000000"/>
          <w:sz w:val="32"/>
          <w:szCs w:val="32"/>
        </w:rPr>
        <w:t>县级集散分拨中心和共配中心、</w:t>
      </w:r>
      <w:r>
        <w:rPr>
          <w:rFonts w:hint="eastAsia" w:ascii="仿宋" w:hAnsi="仿宋" w:eastAsia="仿宋" w:cs="仿宋"/>
          <w:color w:val="000000"/>
          <w:sz w:val="32"/>
          <w:szCs w:val="32"/>
          <w:lang w:eastAsia="zh-CN"/>
        </w:rPr>
        <w:t>苏木</w:t>
      </w:r>
      <w:r>
        <w:rPr>
          <w:rFonts w:hint="eastAsia" w:ascii="仿宋" w:hAnsi="仿宋" w:eastAsia="仿宋" w:cs="仿宋"/>
          <w:color w:val="000000"/>
          <w:sz w:val="32"/>
          <w:szCs w:val="32"/>
        </w:rPr>
        <w:t>乡镇级寄递物流综合服务站、</w:t>
      </w:r>
      <w:r>
        <w:rPr>
          <w:rFonts w:hint="eastAsia" w:ascii="仿宋" w:hAnsi="仿宋" w:eastAsia="仿宋" w:cs="仿宋"/>
          <w:color w:val="000000"/>
          <w:sz w:val="32"/>
          <w:szCs w:val="32"/>
          <w:lang w:eastAsia="zh-CN"/>
        </w:rPr>
        <w:t>嘎查</w:t>
      </w:r>
      <w:r>
        <w:rPr>
          <w:rFonts w:hint="eastAsia" w:ascii="仿宋" w:hAnsi="仿宋" w:eastAsia="仿宋" w:cs="仿宋"/>
          <w:color w:val="000000"/>
          <w:sz w:val="32"/>
          <w:szCs w:val="32"/>
        </w:rPr>
        <w:t>村级寄递物流综合服务点。引导</w:t>
      </w:r>
      <w:r>
        <w:rPr>
          <w:rFonts w:hint="eastAsia" w:ascii="仿宋" w:hAnsi="仿宋" w:eastAsia="仿宋" w:cs="仿宋"/>
          <w:color w:val="000000"/>
          <w:spacing w:val="-6"/>
          <w:sz w:val="32"/>
          <w:szCs w:val="32"/>
        </w:rPr>
        <w:t>旗县级供销合作社试点推进“互联网+第四方物流”集配模式，</w:t>
      </w:r>
      <w:r>
        <w:rPr>
          <w:rFonts w:hint="eastAsia" w:ascii="仿宋" w:hAnsi="仿宋" w:eastAsia="仿宋" w:cs="仿宋"/>
          <w:color w:val="000000"/>
          <w:sz w:val="32"/>
          <w:szCs w:val="32"/>
        </w:rPr>
        <w:t>建设县域标准化供销集配中心。推进呼和浩特市、通辽市、巴彦淖尔市国家骨干冷链物流基地布局建设，推动包头市、鄂尔多斯市等承载城市列入国家骨干冷链物流基地。</w:t>
      </w:r>
      <w:r>
        <w:rPr>
          <w:rFonts w:hint="eastAsia" w:ascii="楷体" w:hAnsi="楷体" w:eastAsia="楷体" w:cs="楷体"/>
          <w:b w:val="0"/>
          <w:bCs w:val="0"/>
          <w:color w:val="000000"/>
          <w:sz w:val="32"/>
          <w:szCs w:val="32"/>
        </w:rPr>
        <w:t>（自治区商务厅、发展改革委、交通运输厅、供销合作联社，内蒙古邮政管理局等部门单位按职责分工负责）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（十二）推动特色产品进城。</w:t>
      </w:r>
      <w:r>
        <w:rPr>
          <w:rFonts w:hint="eastAsia" w:ascii="仿宋" w:hAnsi="仿宋" w:eastAsia="仿宋" w:cs="仿宋"/>
          <w:color w:val="000000"/>
          <w:sz w:val="32"/>
          <w:szCs w:val="32"/>
        </w:rPr>
        <w:t>深入推进农牧业生产和农畜产品“三品一标”，开发具有鲜明地域特点、民族特色、乡土特征的产品产业，发展农村牧区电子商务和订单农业，拓宽特色农畜产品上行通道。培育认证绿色有机、名特优新农产品，组织认证企业参加全国绿色食品博览会等产销对接会。引导线上线下各类平台持续加大消费帮扶力度，开设专馆专区专柜促进脱贫地区特色产品顺畅销售，运用好脱贫地区农副产品网络销售平台（“832”平台），组织脱贫地区供应商入驻。</w:t>
      </w:r>
      <w:r>
        <w:rPr>
          <w:rFonts w:hint="eastAsia" w:ascii="楷体" w:hAnsi="楷体" w:eastAsia="楷体" w:cs="楷体"/>
          <w:b w:val="0"/>
          <w:bCs w:val="0"/>
          <w:color w:val="000000"/>
          <w:sz w:val="32"/>
          <w:szCs w:val="32"/>
        </w:rPr>
        <w:t>（自治区农牧厅、商务厅、乡村振兴局、供销合作联社等部门单位按职责分工负责）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（十三）大力发展乡村旅游。</w:t>
      </w:r>
      <w:r>
        <w:rPr>
          <w:rFonts w:hint="eastAsia" w:ascii="仿宋" w:hAnsi="仿宋" w:eastAsia="仿宋" w:cs="仿宋"/>
          <w:color w:val="000000"/>
          <w:sz w:val="32"/>
          <w:szCs w:val="32"/>
        </w:rPr>
        <w:t>开展国家文化产业赋能乡村振兴试点建设工作。持续培育文化和旅游资源富集、具有典型带动和示范引领作用的乡村旅游重点村镇。培育发布一批等级旅游民宿，推动等级民宿与旅游景区、农副产品加工、餐饮服务、休闲养生、文创、研学、康养等相关产业深度融合，打造“民宿+景区”、“民宿+文化”、“民宿+设施观光农业”等休闲乡村旅游模式。</w:t>
      </w:r>
      <w:r>
        <w:rPr>
          <w:rFonts w:hint="eastAsia" w:ascii="楷体" w:hAnsi="楷体" w:eastAsia="楷体" w:cs="楷体"/>
          <w:b w:val="0"/>
          <w:bCs w:val="0"/>
          <w:color w:val="000000"/>
          <w:sz w:val="32"/>
          <w:szCs w:val="32"/>
        </w:rPr>
        <w:t>（自治区文化和旅游厅、农牧厅、商务厅、卫生健康委、乡村振兴局等部门单位按职责分工负责）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四、拓展新型消费</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（十四）发</w:t>
      </w:r>
      <w:r>
        <w:rPr>
          <w:rFonts w:hint="eastAsia" w:ascii="楷体" w:hAnsi="楷体" w:eastAsia="楷体" w:cs="楷体"/>
          <w:b w:val="0"/>
          <w:bCs w:val="0"/>
          <w:color w:val="000000"/>
          <w:spacing w:val="11"/>
          <w:sz w:val="32"/>
          <w:szCs w:val="32"/>
        </w:rPr>
        <w:t>展数字消费。</w:t>
      </w:r>
      <w:r>
        <w:rPr>
          <w:rFonts w:hint="eastAsia" w:ascii="仿宋" w:hAnsi="仿宋" w:eastAsia="仿宋" w:cs="仿宋"/>
          <w:color w:val="000000"/>
          <w:spacing w:val="11"/>
          <w:sz w:val="32"/>
          <w:szCs w:val="32"/>
        </w:rPr>
        <w:t>持续推动传统网</w:t>
      </w:r>
      <w:r>
        <w:rPr>
          <w:rFonts w:hint="eastAsia" w:ascii="仿宋" w:hAnsi="仿宋" w:eastAsia="仿宋" w:cs="仿宋"/>
          <w:color w:val="000000"/>
          <w:sz w:val="32"/>
          <w:szCs w:val="32"/>
        </w:rPr>
        <w:t>络基础设施升级，加快推进物联网等新型数字基础设施建设。实施数字经济领域重点研发和成果转化计划项目，支持各类创新主体开展关键技术研究。支持发展网红经济、社交电商等智能营销新业态。开展“数字供销”试点工作，打造“数字乡村”综合服务平台。整合传统零售和渠道电商资源，推广智能便利店、自助售货机等新零售模式。加快跨境电子商务综合试验区建设，支持传统外贸企业转型发展跨境电商。</w:t>
      </w:r>
      <w:r>
        <w:rPr>
          <w:rFonts w:hint="eastAsia" w:ascii="楷体" w:hAnsi="楷体" w:eastAsia="楷体" w:cs="楷体"/>
          <w:b w:val="0"/>
          <w:bCs w:val="0"/>
          <w:color w:val="000000"/>
          <w:sz w:val="32"/>
          <w:szCs w:val="32"/>
        </w:rPr>
        <w:t>（自治区科技厅、工业和信息化厅、商务厅、供销合作联社，内蒙古通信管理局等部门单位按职责分工负责）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（十五）推广绿色消费。</w:t>
      </w:r>
      <w:r>
        <w:rPr>
          <w:rFonts w:hint="eastAsia" w:ascii="仿宋" w:hAnsi="仿宋" w:eastAsia="仿宋" w:cs="仿宋"/>
          <w:color w:val="000000"/>
          <w:sz w:val="32"/>
          <w:szCs w:val="32"/>
        </w:rPr>
        <w:t>深入开展节能宣传周、创新开展资源节约等系列生态文明宣教活动。健全节能低碳和绿色制造标准</w:t>
      </w:r>
      <w:r>
        <w:rPr>
          <w:rFonts w:hint="eastAsia" w:ascii="仿宋" w:hAnsi="仿宋" w:eastAsia="仿宋" w:cs="仿宋"/>
          <w:color w:val="000000"/>
          <w:spacing w:val="6"/>
          <w:sz w:val="32"/>
          <w:szCs w:val="32"/>
        </w:rPr>
        <w:t>体系，持续实施绿色制造推进工程，建立完善绿色制造名单制度。</w:t>
      </w:r>
      <w:r>
        <w:rPr>
          <w:rFonts w:hint="eastAsia" w:ascii="仿宋" w:hAnsi="仿宋" w:eastAsia="仿宋" w:cs="仿宋"/>
          <w:color w:val="000000"/>
          <w:sz w:val="32"/>
          <w:szCs w:val="32"/>
        </w:rPr>
        <w:t>推广应用绿色纤维制备、节能印染、废旧纤维循环利用等装备和技术，提高绿色纤维使用比例，提供更多绿色低碳服装。开展绿色出行创建行动，推进国家“绿色出行示范城市”和“公交都市”创建工作。</w:t>
      </w:r>
      <w:r>
        <w:rPr>
          <w:rFonts w:hint="eastAsia" w:ascii="楷体" w:hAnsi="楷体" w:eastAsia="楷体" w:cs="楷体"/>
          <w:b w:val="0"/>
          <w:bCs w:val="0"/>
          <w:color w:val="000000"/>
          <w:sz w:val="32"/>
          <w:szCs w:val="32"/>
        </w:rPr>
        <w:t>（自治区发展改革委、工业和信息化厅、生态</w:t>
      </w:r>
      <w:r>
        <w:rPr>
          <w:rFonts w:hint="eastAsia" w:ascii="楷体" w:hAnsi="楷体" w:eastAsia="楷体" w:cs="楷体"/>
          <w:b w:val="0"/>
          <w:bCs w:val="0"/>
          <w:color w:val="000000"/>
          <w:spacing w:val="-6"/>
          <w:sz w:val="32"/>
          <w:szCs w:val="32"/>
        </w:rPr>
        <w:t>环境厅、交通运输厅、机关事务管理局等部门单位按职责分工负责）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五、完善消费设施</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64"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pacing w:val="6"/>
          <w:sz w:val="32"/>
          <w:szCs w:val="32"/>
        </w:rPr>
        <w:t>（十六）加快培育多层级消费中心。</w:t>
      </w:r>
      <w:r>
        <w:rPr>
          <w:rFonts w:hint="eastAsia" w:ascii="仿宋" w:hAnsi="仿宋" w:eastAsia="仿宋" w:cs="仿宋"/>
          <w:color w:val="000000"/>
          <w:spacing w:val="6"/>
          <w:sz w:val="32"/>
          <w:szCs w:val="32"/>
        </w:rPr>
        <w:t>加强城市商业体系建设，</w:t>
      </w:r>
      <w:r>
        <w:rPr>
          <w:rFonts w:hint="eastAsia" w:ascii="仿宋" w:hAnsi="仿宋" w:eastAsia="仿宋" w:cs="仿宋"/>
          <w:color w:val="000000"/>
          <w:sz w:val="32"/>
          <w:szCs w:val="32"/>
        </w:rPr>
        <w:t>发展智慧商圈、智慧商店，优先配齐家政、邮政快递、维修</w:t>
      </w:r>
      <w:r>
        <w:rPr>
          <w:rFonts w:hint="eastAsia" w:ascii="仿宋" w:hAnsi="仿宋" w:eastAsia="仿宋" w:cs="仿宋"/>
          <w:color w:val="000000"/>
          <w:spacing w:val="-6"/>
          <w:sz w:val="32"/>
          <w:szCs w:val="32"/>
        </w:rPr>
        <w:t>等基本保障类业态，发展文化、康养、健身等品质提升类业态。</w:t>
      </w:r>
      <w:r>
        <w:rPr>
          <w:rFonts w:hint="eastAsia" w:ascii="仿宋" w:hAnsi="仿宋" w:eastAsia="仿宋" w:cs="仿宋"/>
          <w:color w:val="000000"/>
          <w:sz w:val="32"/>
          <w:szCs w:val="32"/>
        </w:rPr>
        <w:t>持续深化呼和浩特市等消费中心城市建设，积极培育区域消费中心和地方特色消费中心。组织包头市、鄂尔多斯市、乌海市等参评消费品工业“三品”战略示范城市。推动多种类型的“一刻钟”便民生活圈建设，指导呼伦贝尔市、兴安盟、通辽市等做好全国城市“一刻钟”便民生活圈试点工作。</w:t>
      </w:r>
      <w:r>
        <w:rPr>
          <w:rFonts w:hint="eastAsia" w:ascii="楷体" w:hAnsi="楷体" w:eastAsia="楷体" w:cs="楷体"/>
          <w:b w:val="0"/>
          <w:bCs w:val="0"/>
          <w:color w:val="000000"/>
          <w:sz w:val="32"/>
          <w:szCs w:val="32"/>
        </w:rPr>
        <w:t>（自治区发展改革委、工</w:t>
      </w:r>
      <w:r>
        <w:rPr>
          <w:rFonts w:hint="eastAsia" w:ascii="楷体" w:hAnsi="楷体" w:eastAsia="楷体" w:cs="楷体"/>
          <w:b w:val="0"/>
          <w:bCs w:val="0"/>
          <w:color w:val="000000"/>
          <w:spacing w:val="-6"/>
          <w:sz w:val="32"/>
          <w:szCs w:val="32"/>
        </w:rPr>
        <w:t>业和信息化厅、民政厅、商务厅、卫生健康委、供销合作联社，</w:t>
      </w:r>
      <w:r>
        <w:rPr>
          <w:rFonts w:hint="eastAsia" w:ascii="楷体" w:hAnsi="楷体" w:eastAsia="楷体" w:cs="楷体"/>
          <w:b w:val="0"/>
          <w:bCs w:val="0"/>
          <w:color w:val="000000"/>
          <w:sz w:val="32"/>
          <w:szCs w:val="32"/>
        </w:rPr>
        <w:t>内蒙古邮政管理局等部门单位按职责分工负责）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（十七）着</w:t>
      </w:r>
      <w:r>
        <w:rPr>
          <w:rFonts w:hint="eastAsia" w:ascii="楷体" w:hAnsi="楷体" w:eastAsia="楷体" w:cs="楷体"/>
          <w:b w:val="0"/>
          <w:bCs w:val="0"/>
          <w:color w:val="000000"/>
          <w:spacing w:val="6"/>
          <w:sz w:val="32"/>
          <w:szCs w:val="32"/>
        </w:rPr>
        <w:t>力补齐消费基础设施短板。</w:t>
      </w:r>
      <w:r>
        <w:rPr>
          <w:rFonts w:hint="eastAsia" w:ascii="仿宋" w:hAnsi="仿宋" w:eastAsia="仿宋" w:cs="仿宋"/>
          <w:color w:val="000000"/>
          <w:spacing w:val="6"/>
          <w:sz w:val="32"/>
          <w:szCs w:val="32"/>
        </w:rPr>
        <w:t>加大政府投入力度，</w:t>
      </w:r>
      <w:r>
        <w:rPr>
          <w:rFonts w:hint="eastAsia" w:ascii="仿宋" w:hAnsi="仿宋" w:eastAsia="仿宋" w:cs="仿宋"/>
          <w:color w:val="000000"/>
          <w:sz w:val="32"/>
          <w:szCs w:val="32"/>
        </w:rPr>
        <w:t>鼓励引导社会资本参与，补齐消费设施短板，特别是医疗、旅游等公共服务设施，推进消费新场景、新业态、新热点建设。结合推进城市更新，强化存量片区改造与支持消费新场景发展的硬件功能衔接。加强县域商业体系建设，推动重点商贸街巷改造升级，建设苏木乡镇商贸中心、集贸市场和农村牧区新型便民商店。到2025年，建成以县域为中心、苏木乡镇为重点、嘎查村为基础的县域商业网络体系，有条件的苏木乡镇实现商贸中心、农村牧区便利商店全覆盖。</w:t>
      </w:r>
      <w:r>
        <w:rPr>
          <w:rFonts w:hint="eastAsia" w:ascii="楷体" w:hAnsi="楷体" w:eastAsia="楷体" w:cs="楷体"/>
          <w:b w:val="0"/>
          <w:bCs w:val="0"/>
          <w:color w:val="000000"/>
          <w:sz w:val="32"/>
          <w:szCs w:val="32"/>
        </w:rPr>
        <w:t>（自治区发展改革委、住房城乡建设厅、商务厅、文化和旅游厅、卫生健康委等部门单位按职责分工负责）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（十八）完善消费基础设施建设支持政策。</w:t>
      </w:r>
      <w:r>
        <w:rPr>
          <w:rFonts w:hint="eastAsia" w:ascii="仿宋" w:hAnsi="仿宋" w:eastAsia="仿宋" w:cs="仿宋"/>
          <w:color w:val="000000"/>
          <w:sz w:val="32"/>
          <w:szCs w:val="32"/>
        </w:rPr>
        <w:t>实施消费促进专项投资政策，支持消费基础设施建设、设备更新改造和关键生产线改造升级，及时遴选推荐符合条件的消费基础设施发行不动产投资信托基金（REITs）。支持各地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保障消费基础设施建设合理用地需求。编制和修改盟市、旗县（市、区）国土空间总体规划，优化公共空间和公共服务功能，明确医疗、康养、文体、社区商业等服务设施和公共开敞空间的配置标准和布局要求。允许企业在符合国土空间规划、不改变用地结构和性质、确保安全的前提下，严格按照文明城市规范要求和所在地临时建设、规划管理相关规定，在建设用地上搭建临时简易建筑，拓展消费新场景。</w:t>
      </w:r>
      <w:r>
        <w:rPr>
          <w:rFonts w:hint="eastAsia" w:ascii="楷体" w:hAnsi="楷体" w:eastAsia="楷体" w:cs="楷体"/>
          <w:b w:val="0"/>
          <w:bCs w:val="0"/>
          <w:color w:val="000000"/>
          <w:sz w:val="32"/>
          <w:szCs w:val="32"/>
        </w:rPr>
        <w:t>（自治区财政厅、发展改革委、民政厅、自然资源厅、商务厅、文化和旅游厅、</w:t>
      </w:r>
      <w:r>
        <w:rPr>
          <w:rFonts w:hint="eastAsia" w:ascii="楷体" w:hAnsi="楷体" w:eastAsia="楷体" w:cs="楷体"/>
          <w:b w:val="0"/>
          <w:bCs w:val="0"/>
          <w:color w:val="000000"/>
          <w:spacing w:val="-6"/>
          <w:sz w:val="32"/>
          <w:szCs w:val="32"/>
        </w:rPr>
        <w:t>卫生健康委，内蒙古证监局等部门单位按职责分工负责）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六、优化消费环境</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（十九）加强金融支持。</w:t>
      </w:r>
      <w:r>
        <w:rPr>
          <w:rFonts w:hint="eastAsia" w:ascii="仿宋" w:hAnsi="仿宋" w:eastAsia="仿宋" w:cs="仿宋"/>
          <w:color w:val="000000"/>
          <w:sz w:val="32"/>
          <w:szCs w:val="32"/>
        </w:rPr>
        <w:t>引导金融机构按市场化方式，加强对文化旅游、体育健康、养老托育、家政服务等领域的综合金融支持力度。加强消费信贷用途和流向监管，规范创新金融服务和产品。加强金融消费者教育宣传，提高消费者风险防范意识和风险识别能力。加强征信体系建设，合理优化小额消费信贷和信用卡利率、还款期限、授信额度。</w:t>
      </w:r>
      <w:r>
        <w:rPr>
          <w:rFonts w:hint="eastAsia" w:ascii="楷体" w:hAnsi="楷体" w:eastAsia="楷体" w:cs="楷体"/>
          <w:b w:val="0"/>
          <w:bCs w:val="0"/>
          <w:color w:val="000000"/>
          <w:sz w:val="32"/>
          <w:szCs w:val="32"/>
        </w:rPr>
        <w:t>（中国人民银行内蒙古自治区分行、国家金融监督管理总局内蒙古监管局等部门单位按职责分工负责）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（二十）推动就业增收。</w:t>
      </w:r>
      <w:r>
        <w:rPr>
          <w:rFonts w:hint="eastAsia" w:ascii="仿宋" w:hAnsi="仿宋" w:eastAsia="仿宋" w:cs="仿宋"/>
          <w:color w:val="000000"/>
          <w:sz w:val="32"/>
          <w:szCs w:val="32"/>
        </w:rPr>
        <w:t>围绕“春风行动”、“民营企业招聘月”等系列公共就业服务活动，为农村牧区劳动力和用工单位搭建供需平台。加大劳务品牌建设力度，多渠道促进农村牧区劳动力跨地域转移就业，提升劳务输出组织化程度，稳定和扩大农村牧区劳动力就业增收。深入实施“技能内蒙古行动”，加大职业技能培训力度，提升劳动者就业创业能力。引导企业建立健全各类生产要素由市场决定报酬的机制，合理确定职工工资水平和工资关系，调节劳动力市场价格。</w:t>
      </w:r>
      <w:r>
        <w:rPr>
          <w:rFonts w:hint="eastAsia" w:ascii="楷体" w:hAnsi="楷体" w:eastAsia="楷体" w:cs="楷体"/>
          <w:b w:val="0"/>
          <w:bCs w:val="0"/>
          <w:color w:val="000000"/>
          <w:sz w:val="32"/>
          <w:szCs w:val="32"/>
        </w:rPr>
        <w:t>(自治区人力资源社会保障厅等部门单位按职责分工负责）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（二十一）强化</w:t>
      </w:r>
      <w:r>
        <w:rPr>
          <w:rFonts w:hint="eastAsia" w:ascii="楷体" w:hAnsi="楷体" w:eastAsia="楷体" w:cs="楷体"/>
          <w:b w:val="0"/>
          <w:bCs w:val="0"/>
          <w:color w:val="000000"/>
          <w:spacing w:val="-6"/>
          <w:sz w:val="32"/>
          <w:szCs w:val="32"/>
        </w:rPr>
        <w:t>消费保障。</w:t>
      </w:r>
      <w:r>
        <w:rPr>
          <w:rFonts w:hint="eastAsia" w:ascii="仿宋" w:hAnsi="仿宋" w:eastAsia="仿宋" w:cs="仿宋"/>
          <w:color w:val="000000"/>
          <w:spacing w:val="-6"/>
          <w:sz w:val="32"/>
          <w:szCs w:val="32"/>
        </w:rPr>
        <w:t>各地</w:t>
      </w:r>
      <w:r>
        <w:rPr>
          <w:rFonts w:hint="eastAsia" w:ascii="仿宋" w:hAnsi="仿宋" w:eastAsia="仿宋" w:cs="仿宋"/>
          <w:color w:val="000000"/>
          <w:spacing w:val="-6"/>
          <w:sz w:val="32"/>
          <w:szCs w:val="32"/>
          <w:lang w:eastAsia="zh-CN"/>
        </w:rPr>
        <w:t>区</w:t>
      </w:r>
      <w:r>
        <w:rPr>
          <w:rFonts w:hint="eastAsia" w:ascii="仿宋" w:hAnsi="仿宋" w:eastAsia="仿宋" w:cs="仿宋"/>
          <w:color w:val="000000"/>
          <w:spacing w:val="-6"/>
          <w:sz w:val="32"/>
          <w:szCs w:val="32"/>
        </w:rPr>
        <w:t>要研究制定“</w:t>
      </w:r>
      <w:r>
        <w:rPr>
          <w:rFonts w:hint="eastAsia" w:ascii="仿宋" w:hAnsi="仿宋" w:eastAsia="仿宋" w:cs="仿宋"/>
          <w:color w:val="000000"/>
          <w:sz w:val="32"/>
          <w:szCs w:val="32"/>
        </w:rPr>
        <w:t>商家让利、政府补贴”常态化激励措施，组织开展惠民让利促消费活动，提振居民消费信心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研究制定支持实体店和网络电商发展措施，壮大消费供应主体，扩大市场有效供给。鼓励各地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与苏宁、京东等电商企业加强合作，支持电商企业在</w:t>
      </w:r>
      <w:r>
        <w:rPr>
          <w:rFonts w:hint="eastAsia" w:ascii="仿宋" w:hAnsi="仿宋" w:eastAsia="仿宋" w:cs="仿宋"/>
          <w:color w:val="000000"/>
          <w:sz w:val="32"/>
          <w:szCs w:val="32"/>
          <w:lang w:eastAsia="zh-CN"/>
        </w:rPr>
        <w:t>自治区</w:t>
      </w:r>
      <w:r>
        <w:rPr>
          <w:rFonts w:hint="eastAsia" w:ascii="仿宋" w:hAnsi="仿宋" w:eastAsia="仿宋" w:cs="仿宋"/>
          <w:color w:val="000000"/>
          <w:sz w:val="32"/>
          <w:szCs w:val="32"/>
        </w:rPr>
        <w:t>开设具有独立法人资格的子公司，建立本地结算平台。开展放心消费行动，依法打击假冒伪劣行为，营造放心消费环境。</w:t>
      </w:r>
      <w:r>
        <w:rPr>
          <w:rFonts w:hint="eastAsia" w:ascii="楷体" w:hAnsi="楷体" w:eastAsia="楷体" w:cs="楷体"/>
          <w:b w:val="0"/>
          <w:bCs w:val="0"/>
          <w:color w:val="000000"/>
          <w:sz w:val="32"/>
          <w:szCs w:val="32"/>
        </w:rPr>
        <w:t>（自治区发展改革委、商务厅、市场监管局等部门单位按职责分工负责）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default" w:ascii="仿宋_GB2312" w:hAnsi="宋体" w:eastAsia="仿宋_GB2312"/>
          <w:bCs w:val="0"/>
          <w:sz w:val="32"/>
          <w:szCs w:val="32"/>
        </w:rPr>
      </w:pPr>
      <w:r>
        <w:rPr>
          <w:rFonts w:hint="eastAsia" w:ascii="仿宋" w:hAnsi="仿宋" w:eastAsia="仿宋" w:cs="仿宋"/>
          <w:color w:val="000000"/>
          <w:sz w:val="32"/>
          <w:szCs w:val="32"/>
        </w:rPr>
        <w:t>各有关部门要发挥好现有部门间协作机制作用，强化协同联动，采取有效措施，加强督促落实，综合施策释放消费潜力，促进消费持续恢复和扩大。各盟市要压实属地责任，完善工作机制，</w:t>
      </w:r>
      <w:r>
        <w:rPr>
          <w:rFonts w:hint="eastAsia" w:ascii="仿宋" w:hAnsi="仿宋" w:eastAsia="仿宋" w:cs="仿宋"/>
          <w:color w:val="000000"/>
          <w:spacing w:val="6"/>
          <w:sz w:val="32"/>
          <w:szCs w:val="32"/>
        </w:rPr>
        <w:t>因地制宜采取有效措施精心组织实施，切实推动各项任务落地见效。</w:t>
      </w:r>
      <w:bookmarkStart w:id="1" w:name="B0034"/>
      <w:bookmarkEnd w:id="1"/>
    </w:p>
    <w:bookmarkEnd w:id="4"/>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0" w:firstLineChars="0"/>
        <w:jc w:val="both"/>
        <w:textAlignment w:val="auto"/>
        <w:outlineLvl w:val="9"/>
        <w:rPr>
          <w:rFonts w:hint="default" w:ascii="仿宋_GB2312" w:hAnsi="宋体" w:eastAsia="仿宋_GB2312"/>
          <w:bCs w:val="0"/>
          <w:sz w:val="32"/>
          <w:szCs w:val="32"/>
        </w:rPr>
      </w:pPr>
    </w:p>
    <w:p>
      <w:pPr>
        <w:keepNext w:val="0"/>
        <w:keepLines w:val="0"/>
        <w:pageBreakBefore w:val="0"/>
        <w:widowControl w:val="0"/>
        <w:kinsoku/>
        <w:wordWrap/>
        <w:overflowPunct/>
        <w:topLinePunct/>
        <w:autoSpaceDE/>
        <w:autoSpaceDN/>
        <w:bidi w:val="0"/>
        <w:spacing w:line="580" w:lineRule="exact"/>
        <w:textAlignment w:val="auto"/>
        <w:rPr>
          <w:rFonts w:hint="eastAsia" w:ascii="方正仿宋_GBK" w:hAnsi="方正仿宋_GBK" w:eastAsia="方正仿宋_GBK" w:cs="方正仿宋_GBK"/>
          <w:b w:val="0"/>
          <w:bCs w:val="0"/>
        </w:rPr>
      </w:pPr>
    </w:p>
    <w:p>
      <w:pPr>
        <w:keepNext w:val="0"/>
        <w:keepLines w:val="0"/>
        <w:pageBreakBefore w:val="0"/>
        <w:widowControl w:val="0"/>
        <w:kinsoku/>
        <w:wordWrap/>
        <w:overflowPunct/>
        <w:topLinePunct/>
        <w:autoSpaceDE/>
        <w:autoSpaceDN/>
        <w:bidi w:val="0"/>
        <w:spacing w:line="580" w:lineRule="exact"/>
        <w:textAlignment w:val="auto"/>
        <w:rPr>
          <w:rFonts w:hint="eastAsia" w:ascii="方正仿宋_GBK" w:hAnsi="方正仿宋_GBK" w:eastAsia="方正仿宋_GBK" w:cs="方正仿宋_GBK"/>
          <w:b w:val="0"/>
          <w:bCs w:val="0"/>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tbl>
      <w:tblPr>
        <w:tblStyle w:val="9"/>
        <w:tblpPr w:leftFromText="180" w:rightFromText="180" w:vertAnchor="text" w:horzAnchor="page" w:tblpX="1592" w:tblpY="979"/>
        <w:tblOverlap w:val="never"/>
        <w:tblW w:w="8941"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41"/>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8941" w:type="dxa"/>
            <w:tcBorders>
              <w:tl2br w:val="nil"/>
              <w:tr2bl w:val="nil"/>
            </w:tcBorders>
            <w:noWrap w:val="0"/>
            <w:vAlign w:val="top"/>
          </w:tcPr>
          <w:p>
            <w:pPr>
              <w:keepNext w:val="0"/>
              <w:keepLines w:val="0"/>
              <w:pageBreakBefore w:val="0"/>
              <w:widowControl w:val="0"/>
              <w:kinsoku/>
              <w:wordWrap/>
              <w:overflowPunct/>
              <w:topLinePunct/>
              <w:autoSpaceDE/>
              <w:autoSpaceDN/>
              <w:bidi w:val="0"/>
              <w:adjustRightInd/>
              <w:snapToGrid/>
              <w:spacing w:line="40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1105" w:leftChars="526" w:right="210" w:rightChars="100" w:firstLine="14" w:firstLineChars="5"/>
              <w:textAlignment w:val="auto"/>
              <w:rPr>
                <w:rFonts w:hint="eastAsia" w:ascii="仿宋" w:hAnsi="仿宋" w:eastAsia="仿宋" w:cs="仿宋"/>
                <w:sz w:val="28"/>
                <w:szCs w:val="28"/>
              </w:rPr>
            </w:pPr>
            <w:r>
              <w:rPr>
                <w:rFonts w:hint="eastAsia" w:ascii="仿宋" w:hAnsi="仿宋" w:eastAsia="仿宋" w:cs="仿宋"/>
                <w:sz w:val="28"/>
                <w:szCs w:val="28"/>
              </w:rPr>
              <w:t>自治区人大常委会办公厅</w:t>
            </w:r>
            <w:r>
              <w:rPr>
                <w:rFonts w:hint="eastAsia" w:ascii="仿宋" w:hAnsi="仿宋" w:eastAsia="仿宋" w:cs="仿宋"/>
                <w:spacing w:val="-6"/>
                <w:sz w:val="28"/>
                <w:szCs w:val="28"/>
              </w:rPr>
              <w:t>、政协办公厅，</w:t>
            </w:r>
            <w:r>
              <w:rPr>
                <w:rFonts w:hint="eastAsia" w:ascii="仿宋" w:hAnsi="仿宋" w:eastAsia="仿宋" w:cs="仿宋"/>
                <w:spacing w:val="-6"/>
                <w:sz w:val="28"/>
                <w:szCs w:val="28"/>
                <w:lang w:eastAsia="zh-CN"/>
              </w:rPr>
              <w:t>自</w:t>
            </w:r>
            <w:r>
              <w:rPr>
                <w:rFonts w:hint="eastAsia" w:ascii="仿宋" w:hAnsi="仿宋" w:eastAsia="仿宋" w:cs="仿宋"/>
                <w:sz w:val="28"/>
                <w:szCs w:val="28"/>
                <w:lang w:eastAsia="zh-CN"/>
              </w:rPr>
              <w:t>治区监委，自治区</w:t>
            </w: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autoSpaceDE/>
              <w:autoSpaceDN/>
              <w:bidi w:val="0"/>
              <w:adjustRightInd/>
              <w:snapToGrid/>
              <w:spacing w:line="400" w:lineRule="exact"/>
              <w:ind w:left="0" w:leftChars="0" w:firstLine="1097" w:firstLineChars="392"/>
              <w:textAlignment w:val="auto"/>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8941" w:type="dxa"/>
            <w:tcBorders>
              <w:tl2br w:val="nil"/>
              <w:tr2bl w:val="nil"/>
            </w:tcBorders>
            <w:noWrap w:val="0"/>
            <w:vAlign w:val="top"/>
          </w:tcPr>
          <w:p>
            <w:pPr>
              <w:keepNext w:val="0"/>
              <w:keepLines w:val="0"/>
              <w:pageBreakBefore w:val="0"/>
              <w:widowControl w:val="0"/>
              <w:kinsoku/>
              <w:wordWrap/>
              <w:overflowPunct/>
              <w:topLinePunct/>
              <w:autoSpaceDE/>
              <w:autoSpaceDN/>
              <w:bidi w:val="0"/>
              <w:adjustRightInd/>
              <w:snapToGrid/>
              <w:spacing w:line="400" w:lineRule="exact"/>
              <w:ind w:right="210" w:rightChars="10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内蒙古自治区人民政府办公厅文电处       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日印发</w:t>
            </w:r>
          </w:p>
        </w:tc>
      </w:tr>
    </w:tbl>
    <w:p>
      <w:pPr>
        <w:pStyle w:val="5"/>
        <w:keepNext w:val="0"/>
        <w:keepLines w:val="0"/>
        <w:pageBreakBefore w:val="0"/>
        <w:widowControl w:val="0"/>
        <w:tabs>
          <w:tab w:val="left" w:pos="7560"/>
        </w:tabs>
        <w:kinsoku/>
        <w:wordWrap/>
        <w:overflowPunct/>
        <w:topLinePunct/>
        <w:autoSpaceDE/>
        <w:autoSpaceDN/>
        <w:bidi w:val="0"/>
        <w:adjustRightInd/>
        <w:snapToGrid/>
        <w:spacing w:line="240" w:lineRule="auto"/>
        <w:ind w:left="0" w:leftChars="0" w:firstLine="0" w:firstLineChars="0"/>
        <w:jc w:val="both"/>
        <w:textAlignment w:val="auto"/>
        <w:rPr>
          <w:rFonts w:hint="eastAsia"/>
        </w:rPr>
      </w:pPr>
      <w:bookmarkStart w:id="2" w:name="成文日期"/>
      <w:bookmarkEnd w:id="2"/>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3" w:name="二维条码"/>
                            <w:bookmarkEnd w:id="3"/>
                            <w:r>
                              <w:rPr>
                                <w:rFonts w:hint="eastAsia" w:eastAsia="宋体"/>
                                <w:sz w:val="52"/>
                                <w:szCs w:val="52"/>
                                <w:lang w:eastAsia="zh-CN"/>
                              </w:rPr>
                              <w:drawing>
                                <wp:inline distT="0" distB="0" distL="114300" distR="114300">
                                  <wp:extent cx="1691640" cy="436880"/>
                                  <wp:effectExtent l="0" t="0" r="3810" b="1270"/>
                                  <wp:docPr id="2" name="图片 3" descr="20240102103704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40102103704_5335"/>
                                          <pic:cNvPicPr>
                                            <a:picLocks noChangeAspect="1"/>
                                          </pic:cNvPicPr>
                                        </pic:nvPicPr>
                                        <pic:blipFill>
                                          <a:blip r:embed="rId8"/>
                                          <a:stretch>
                                            <a:fillRect/>
                                          </a:stretch>
                                        </pic:blipFill>
                                        <pic:spPr>
                                          <a:xfrm>
                                            <a:off x="0" y="0"/>
                                            <a:ext cx="1691640" cy="43688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3" w:name="二维条码"/>
                      <w:bookmarkEnd w:id="3"/>
                      <w:r>
                        <w:rPr>
                          <w:rFonts w:hint="eastAsia" w:eastAsia="宋体"/>
                          <w:sz w:val="52"/>
                          <w:szCs w:val="52"/>
                          <w:lang w:eastAsia="zh-CN"/>
                        </w:rPr>
                        <w:drawing>
                          <wp:inline distT="0" distB="0" distL="114300" distR="114300">
                            <wp:extent cx="1691640" cy="436880"/>
                            <wp:effectExtent l="0" t="0" r="3810" b="1270"/>
                            <wp:docPr id="2" name="图片 3" descr="20240102103704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40102103704_5335"/>
                                    <pic:cNvPicPr>
                                      <a:picLocks noChangeAspect="1"/>
                                    </pic:cNvPicPr>
                                  </pic:nvPicPr>
                                  <pic:blipFill>
                                    <a:blip r:embed="rId8"/>
                                    <a:stretch>
                                      <a:fillRect/>
                                    </a:stretch>
                                  </pic:blipFill>
                                  <pic:spPr>
                                    <a:xfrm>
                                      <a:off x="0" y="0"/>
                                      <a:ext cx="1691640" cy="43688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F3513"/>
    <w:rsid w:val="0000053B"/>
    <w:rsid w:val="00000BC8"/>
    <w:rsid w:val="00000D35"/>
    <w:rsid w:val="00000DA3"/>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6A27"/>
    <w:rsid w:val="000F7B4B"/>
    <w:rsid w:val="000F7DFD"/>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0B9"/>
    <w:rsid w:val="002973C7"/>
    <w:rsid w:val="002A0CAD"/>
    <w:rsid w:val="002A32E1"/>
    <w:rsid w:val="002A3E00"/>
    <w:rsid w:val="002A5246"/>
    <w:rsid w:val="002A64B4"/>
    <w:rsid w:val="002A67EB"/>
    <w:rsid w:val="002A7BF8"/>
    <w:rsid w:val="002B0F91"/>
    <w:rsid w:val="002B29B9"/>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367"/>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177C"/>
    <w:rsid w:val="0039202C"/>
    <w:rsid w:val="00392B94"/>
    <w:rsid w:val="00393F4B"/>
    <w:rsid w:val="00394377"/>
    <w:rsid w:val="003948FC"/>
    <w:rsid w:val="00396618"/>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6A0B"/>
    <w:rsid w:val="004178C8"/>
    <w:rsid w:val="00423C35"/>
    <w:rsid w:val="004278D4"/>
    <w:rsid w:val="00430D45"/>
    <w:rsid w:val="00431DA3"/>
    <w:rsid w:val="00432A0C"/>
    <w:rsid w:val="00433DE5"/>
    <w:rsid w:val="00437A54"/>
    <w:rsid w:val="00442031"/>
    <w:rsid w:val="0044339D"/>
    <w:rsid w:val="004443C8"/>
    <w:rsid w:val="0044481F"/>
    <w:rsid w:val="004454F7"/>
    <w:rsid w:val="00450079"/>
    <w:rsid w:val="004504E7"/>
    <w:rsid w:val="0045373C"/>
    <w:rsid w:val="00453C0B"/>
    <w:rsid w:val="00455973"/>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A5BD5"/>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1DF"/>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27E88"/>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397"/>
    <w:rsid w:val="005C79E2"/>
    <w:rsid w:val="005D07B3"/>
    <w:rsid w:val="005D1611"/>
    <w:rsid w:val="005E0DCD"/>
    <w:rsid w:val="005E5234"/>
    <w:rsid w:val="005E7F3F"/>
    <w:rsid w:val="005F38E6"/>
    <w:rsid w:val="005F6CAA"/>
    <w:rsid w:val="006013A0"/>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2C65"/>
    <w:rsid w:val="006A3076"/>
    <w:rsid w:val="006A3B57"/>
    <w:rsid w:val="006A4BE5"/>
    <w:rsid w:val="006A55AD"/>
    <w:rsid w:val="006A65EF"/>
    <w:rsid w:val="006C492D"/>
    <w:rsid w:val="006C6369"/>
    <w:rsid w:val="006C713C"/>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2D9"/>
    <w:rsid w:val="0075198B"/>
    <w:rsid w:val="007543DE"/>
    <w:rsid w:val="007566F0"/>
    <w:rsid w:val="00760780"/>
    <w:rsid w:val="00763624"/>
    <w:rsid w:val="0076441E"/>
    <w:rsid w:val="0076657F"/>
    <w:rsid w:val="00773C5D"/>
    <w:rsid w:val="00774B22"/>
    <w:rsid w:val="0077781A"/>
    <w:rsid w:val="00777A09"/>
    <w:rsid w:val="007837F3"/>
    <w:rsid w:val="007904A7"/>
    <w:rsid w:val="00794C4E"/>
    <w:rsid w:val="007963A2"/>
    <w:rsid w:val="007A6F05"/>
    <w:rsid w:val="007B097B"/>
    <w:rsid w:val="007B6642"/>
    <w:rsid w:val="007C5CDC"/>
    <w:rsid w:val="007C6807"/>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06E28"/>
    <w:rsid w:val="00810805"/>
    <w:rsid w:val="00810F55"/>
    <w:rsid w:val="00811A91"/>
    <w:rsid w:val="00814958"/>
    <w:rsid w:val="008149CF"/>
    <w:rsid w:val="00816CA5"/>
    <w:rsid w:val="00817FC3"/>
    <w:rsid w:val="00823E54"/>
    <w:rsid w:val="00824A4E"/>
    <w:rsid w:val="008254E7"/>
    <w:rsid w:val="008321A8"/>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96DF6"/>
    <w:rsid w:val="008A0590"/>
    <w:rsid w:val="008B063A"/>
    <w:rsid w:val="008B066F"/>
    <w:rsid w:val="008B2878"/>
    <w:rsid w:val="008B2A80"/>
    <w:rsid w:val="008B4122"/>
    <w:rsid w:val="008B534E"/>
    <w:rsid w:val="008B536E"/>
    <w:rsid w:val="008B5F79"/>
    <w:rsid w:val="008B61CE"/>
    <w:rsid w:val="008C2242"/>
    <w:rsid w:val="008C2FFC"/>
    <w:rsid w:val="008C3D85"/>
    <w:rsid w:val="008D075D"/>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885"/>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6EB"/>
    <w:rsid w:val="00960DBD"/>
    <w:rsid w:val="00960E8B"/>
    <w:rsid w:val="009618C6"/>
    <w:rsid w:val="0096652B"/>
    <w:rsid w:val="00967743"/>
    <w:rsid w:val="009700AC"/>
    <w:rsid w:val="00970E4B"/>
    <w:rsid w:val="0097162D"/>
    <w:rsid w:val="009721B9"/>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AED"/>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68C"/>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5E50"/>
    <w:rsid w:val="00D96622"/>
    <w:rsid w:val="00D9708A"/>
    <w:rsid w:val="00D97AB1"/>
    <w:rsid w:val="00DA1925"/>
    <w:rsid w:val="00DA35CA"/>
    <w:rsid w:val="00DA70FF"/>
    <w:rsid w:val="00DB0CCF"/>
    <w:rsid w:val="00DB1EE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D0D"/>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616"/>
    <w:rsid w:val="00F5173D"/>
    <w:rsid w:val="00F52276"/>
    <w:rsid w:val="00F565B8"/>
    <w:rsid w:val="00F575A7"/>
    <w:rsid w:val="00F60831"/>
    <w:rsid w:val="00F651C3"/>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B760A"/>
    <w:rsid w:val="00FC097D"/>
    <w:rsid w:val="00FC0A54"/>
    <w:rsid w:val="00FC2F2E"/>
    <w:rsid w:val="00FC3A41"/>
    <w:rsid w:val="00FD314F"/>
    <w:rsid w:val="00FD3F68"/>
    <w:rsid w:val="00FD6099"/>
    <w:rsid w:val="00FD668C"/>
    <w:rsid w:val="00FD6BBF"/>
    <w:rsid w:val="00FD707C"/>
    <w:rsid w:val="00FE2B87"/>
    <w:rsid w:val="00FE51BD"/>
    <w:rsid w:val="00FE5DC3"/>
    <w:rsid w:val="00FF1779"/>
    <w:rsid w:val="00FF1981"/>
    <w:rsid w:val="00FF2340"/>
    <w:rsid w:val="00FF60C7"/>
    <w:rsid w:val="00FF7392"/>
    <w:rsid w:val="011B684E"/>
    <w:rsid w:val="01715CEB"/>
    <w:rsid w:val="020A5573"/>
    <w:rsid w:val="023B43DC"/>
    <w:rsid w:val="027163F5"/>
    <w:rsid w:val="03130023"/>
    <w:rsid w:val="06DC3C4A"/>
    <w:rsid w:val="074D26E8"/>
    <w:rsid w:val="07DB7F7C"/>
    <w:rsid w:val="0AE879CD"/>
    <w:rsid w:val="0BF50002"/>
    <w:rsid w:val="0C0D3EAF"/>
    <w:rsid w:val="0C9D102A"/>
    <w:rsid w:val="0F380010"/>
    <w:rsid w:val="0F8F3712"/>
    <w:rsid w:val="0FA6032B"/>
    <w:rsid w:val="10A62BEA"/>
    <w:rsid w:val="110F26B1"/>
    <w:rsid w:val="11A9203E"/>
    <w:rsid w:val="12026270"/>
    <w:rsid w:val="13404ED0"/>
    <w:rsid w:val="17FB24AC"/>
    <w:rsid w:val="180C2802"/>
    <w:rsid w:val="1A7D41CF"/>
    <w:rsid w:val="1B8F6631"/>
    <w:rsid w:val="1BA7556B"/>
    <w:rsid w:val="1E785972"/>
    <w:rsid w:val="1F0F06E9"/>
    <w:rsid w:val="1F6C47FF"/>
    <w:rsid w:val="1FD3237E"/>
    <w:rsid w:val="20B5562B"/>
    <w:rsid w:val="21CE0EBF"/>
    <w:rsid w:val="23764D9D"/>
    <w:rsid w:val="23C42EE0"/>
    <w:rsid w:val="24485B15"/>
    <w:rsid w:val="26154A57"/>
    <w:rsid w:val="27054714"/>
    <w:rsid w:val="27B7431E"/>
    <w:rsid w:val="28EA36BF"/>
    <w:rsid w:val="29A62830"/>
    <w:rsid w:val="2A3A0933"/>
    <w:rsid w:val="2AF61794"/>
    <w:rsid w:val="2BBC4266"/>
    <w:rsid w:val="2BFB5AF7"/>
    <w:rsid w:val="2D73499D"/>
    <w:rsid w:val="2F4B453A"/>
    <w:rsid w:val="2FD696B5"/>
    <w:rsid w:val="30CD6C9E"/>
    <w:rsid w:val="317B493D"/>
    <w:rsid w:val="326822C2"/>
    <w:rsid w:val="3337B492"/>
    <w:rsid w:val="351D2CFA"/>
    <w:rsid w:val="3665379B"/>
    <w:rsid w:val="37FD02DF"/>
    <w:rsid w:val="39C84E9E"/>
    <w:rsid w:val="3AF834CA"/>
    <w:rsid w:val="3B0C717F"/>
    <w:rsid w:val="3B75801D"/>
    <w:rsid w:val="3BB75E87"/>
    <w:rsid w:val="3BEB3FA3"/>
    <w:rsid w:val="3C6B6EA5"/>
    <w:rsid w:val="3CBEE435"/>
    <w:rsid w:val="3DB93D7E"/>
    <w:rsid w:val="3EAEA0C7"/>
    <w:rsid w:val="3EFFC566"/>
    <w:rsid w:val="3F6ADD88"/>
    <w:rsid w:val="3F9F405D"/>
    <w:rsid w:val="401D72F5"/>
    <w:rsid w:val="41386A17"/>
    <w:rsid w:val="42B61283"/>
    <w:rsid w:val="43B6C41B"/>
    <w:rsid w:val="455967A9"/>
    <w:rsid w:val="455F3977"/>
    <w:rsid w:val="456E4695"/>
    <w:rsid w:val="478C3379"/>
    <w:rsid w:val="4814620B"/>
    <w:rsid w:val="487A4700"/>
    <w:rsid w:val="4BB12688"/>
    <w:rsid w:val="4CAC4573"/>
    <w:rsid w:val="4E7D8153"/>
    <w:rsid w:val="4FCF3513"/>
    <w:rsid w:val="4FD817BC"/>
    <w:rsid w:val="500B2151"/>
    <w:rsid w:val="50591497"/>
    <w:rsid w:val="513B7C42"/>
    <w:rsid w:val="51650C56"/>
    <w:rsid w:val="51942682"/>
    <w:rsid w:val="5232472D"/>
    <w:rsid w:val="54020F64"/>
    <w:rsid w:val="556E4ED2"/>
    <w:rsid w:val="57351534"/>
    <w:rsid w:val="573792B1"/>
    <w:rsid w:val="579144D5"/>
    <w:rsid w:val="57DAFDAA"/>
    <w:rsid w:val="57EB50F1"/>
    <w:rsid w:val="57FC58B8"/>
    <w:rsid w:val="581234E4"/>
    <w:rsid w:val="5A9E268E"/>
    <w:rsid w:val="5ABF37D8"/>
    <w:rsid w:val="5AFB7DE6"/>
    <w:rsid w:val="5B971740"/>
    <w:rsid w:val="5BA5123A"/>
    <w:rsid w:val="5BAE3879"/>
    <w:rsid w:val="5D182B8A"/>
    <w:rsid w:val="5E9241CC"/>
    <w:rsid w:val="5EBE6860"/>
    <w:rsid w:val="5FBDA858"/>
    <w:rsid w:val="5FBE9225"/>
    <w:rsid w:val="5FD794EB"/>
    <w:rsid w:val="5FF9749A"/>
    <w:rsid w:val="613F6195"/>
    <w:rsid w:val="6188231B"/>
    <w:rsid w:val="64663F88"/>
    <w:rsid w:val="648D579B"/>
    <w:rsid w:val="64B86B45"/>
    <w:rsid w:val="650E2E84"/>
    <w:rsid w:val="651313E3"/>
    <w:rsid w:val="65555F8A"/>
    <w:rsid w:val="671D4AA2"/>
    <w:rsid w:val="67BF19E4"/>
    <w:rsid w:val="69957DEC"/>
    <w:rsid w:val="6C564AE8"/>
    <w:rsid w:val="6DBF0EF9"/>
    <w:rsid w:val="6DF72075"/>
    <w:rsid w:val="6F2C465B"/>
    <w:rsid w:val="72295B70"/>
    <w:rsid w:val="72C964AE"/>
    <w:rsid w:val="731829DE"/>
    <w:rsid w:val="74022FCB"/>
    <w:rsid w:val="76EB43E4"/>
    <w:rsid w:val="78C91A76"/>
    <w:rsid w:val="7A0176CA"/>
    <w:rsid w:val="7B3C8A17"/>
    <w:rsid w:val="7BEDB4BD"/>
    <w:rsid w:val="7CB7819E"/>
    <w:rsid w:val="7D164783"/>
    <w:rsid w:val="7DA83E82"/>
    <w:rsid w:val="7DB7D7A8"/>
    <w:rsid w:val="7DCCD92C"/>
    <w:rsid w:val="7E960D71"/>
    <w:rsid w:val="7ED8CBED"/>
    <w:rsid w:val="7EDC2E8F"/>
    <w:rsid w:val="7F30A132"/>
    <w:rsid w:val="7FADA263"/>
    <w:rsid w:val="7FB35296"/>
    <w:rsid w:val="7FB6DFB5"/>
    <w:rsid w:val="7FC796EC"/>
    <w:rsid w:val="7FEF8FCC"/>
    <w:rsid w:val="7FF24225"/>
    <w:rsid w:val="877C2464"/>
    <w:rsid w:val="8C7E368F"/>
    <w:rsid w:val="A4EA480B"/>
    <w:rsid w:val="B7DE85C9"/>
    <w:rsid w:val="BF5E6A41"/>
    <w:rsid w:val="BFCB72DA"/>
    <w:rsid w:val="D71DB9DB"/>
    <w:rsid w:val="D78FBE84"/>
    <w:rsid w:val="D7EED836"/>
    <w:rsid w:val="DFC764D7"/>
    <w:rsid w:val="DFD67A62"/>
    <w:rsid w:val="E5BF3620"/>
    <w:rsid w:val="E8DFEAE2"/>
    <w:rsid w:val="EE99A394"/>
    <w:rsid w:val="EF59FDE6"/>
    <w:rsid w:val="EF750EEA"/>
    <w:rsid w:val="F1BFE710"/>
    <w:rsid w:val="F5E35EE0"/>
    <w:rsid w:val="F63E835D"/>
    <w:rsid w:val="F6BF7340"/>
    <w:rsid w:val="F7F7F602"/>
    <w:rsid w:val="FA55556E"/>
    <w:rsid w:val="FB573566"/>
    <w:rsid w:val="FB7DF256"/>
    <w:rsid w:val="FBB7E49C"/>
    <w:rsid w:val="FBFF4EBC"/>
    <w:rsid w:val="FC77D987"/>
    <w:rsid w:val="FEED0286"/>
    <w:rsid w:val="FF17FAF6"/>
    <w:rsid w:val="FF7F95BB"/>
    <w:rsid w:val="FF8783C1"/>
    <w:rsid w:val="FFBBF67E"/>
    <w:rsid w:val="FFDF8637"/>
    <w:rsid w:val="FFE6545E"/>
    <w:rsid w:val="FFFA2C9E"/>
    <w:rsid w:val="FFFF247C"/>
    <w:rsid w:val="FFFFC3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uiPriority w:val="0"/>
    <w:pPr>
      <w:spacing w:after="120"/>
    </w:pPr>
    <w:rPr>
      <w:rFonts w:ascii="Calibri" w:hAnsi="Calibri" w:eastAsia="宋体" w:cs="Times New Roman"/>
      <w:szCs w:val="22"/>
      <w:lang w:bidi="ar-SA"/>
    </w:rPr>
  </w:style>
  <w:style w:type="paragraph" w:styleId="4">
    <w:name w:val="Plain Text"/>
    <w:basedOn w:val="1"/>
    <w:qFormat/>
    <w:uiPriority w:val="0"/>
    <w:rPr>
      <w:rFonts w:ascii="宋体" w:hAnsi="Courier New" w:eastAsia="宋体" w:cs="Times New Roman"/>
      <w:szCs w:val="24"/>
      <w:lang w:bidi="ar-SA"/>
    </w:rPr>
  </w:style>
  <w:style w:type="paragraph" w:styleId="5">
    <w:name w:val="Date"/>
    <w:basedOn w:val="1"/>
    <w:next w:val="1"/>
    <w:link w:val="13"/>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4"/>
    <w:uiPriority w:val="0"/>
    <w:pPr>
      <w:tabs>
        <w:tab w:val="center" w:pos="4153"/>
        <w:tab w:val="right" w:pos="8306"/>
      </w:tabs>
      <w:snapToGrid w:val="0"/>
      <w:jc w:val="left"/>
    </w:pPr>
    <w:rPr>
      <w:sz w:val="18"/>
      <w:szCs w:val="18"/>
    </w:rPr>
  </w:style>
  <w:style w:type="paragraph" w:styleId="8">
    <w:name w:val="header"/>
    <w:basedOn w:val="1"/>
    <w:link w:val="15"/>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character" w:customStyle="1" w:styleId="13">
    <w:name w:val=" Char Char2"/>
    <w:basedOn w:val="11"/>
    <w:link w:val="5"/>
    <w:uiPriority w:val="0"/>
    <w:rPr>
      <w:rFonts w:ascii="仿宋_GB2312" w:hAnsi="Times New Roman" w:eastAsia="仿宋_GB2312" w:cs="Times New Roman"/>
      <w:kern w:val="2"/>
      <w:sz w:val="32"/>
      <w:szCs w:val="24"/>
      <w:lang w:bidi="ar-SA"/>
    </w:rPr>
  </w:style>
  <w:style w:type="character" w:customStyle="1" w:styleId="14">
    <w:name w:val=" Char Char"/>
    <w:basedOn w:val="11"/>
    <w:link w:val="7"/>
    <w:semiHidden/>
    <w:uiPriority w:val="99"/>
    <w:rPr>
      <w:rFonts w:ascii="Calibri" w:hAnsi="Calibri" w:eastAsia="宋体" w:cs="Mongolian Baiti"/>
      <w:kern w:val="2"/>
      <w:sz w:val="18"/>
      <w:szCs w:val="22"/>
    </w:rPr>
  </w:style>
  <w:style w:type="character" w:customStyle="1" w:styleId="15">
    <w:name w:val=" Char Char1"/>
    <w:basedOn w:val="11"/>
    <w:link w:val="8"/>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6</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2024-01-05T02:32:05Z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