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40" w:lineRule="exact"/>
        <w:ind w:right="0" w:firstLine="150" w:firstLineChars="50"/>
        <w:jc w:val="left"/>
        <w:textAlignment w:val="auto"/>
        <w:rPr>
          <w:rFonts w:hint="eastAsia"/>
          <w:sz w:val="30"/>
        </w:rPr>
      </w:pPr>
      <w:bookmarkStart w:id="0" w:name="文号"/>
      <w:bookmarkEnd w:id="0"/>
      <w:bookmarkStart w:id="1" w:name="标题"/>
      <w:bookmarkEnd w:id="1"/>
    </w:p>
    <w:p>
      <w:pPr>
        <w:keepNext w:val="0"/>
        <w:keepLines w:val="0"/>
        <w:pageBreakBefore w:val="0"/>
        <w:widowControl w:val="0"/>
        <w:kinsoku/>
        <w:wordWrap/>
        <w:overflowPunct/>
        <w:topLinePunct/>
        <w:autoSpaceDE/>
        <w:autoSpaceDN/>
        <w:bidi w:val="0"/>
        <w:adjustRightInd/>
        <w:snapToGrid/>
        <w:spacing w:line="460" w:lineRule="exact"/>
        <w:ind w:right="0"/>
        <w:jc w:val="center"/>
        <w:textAlignment w:val="auto"/>
        <w:rPr>
          <w:rFonts w:hint="eastAsia" w:ascii="方正小标宋简体" w:eastAsia="方正小标宋简体"/>
          <w:sz w:val="44"/>
          <w:szCs w:val="44"/>
          <w:lang w:eastAsia="zh-CN"/>
        </w:rPr>
      </w:pPr>
      <w:bookmarkStart w:id="2" w:name="主送单位"/>
      <w:bookmarkEnd w:id="2"/>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460" w:lineRule="exact"/>
        <w:ind w:right="0"/>
        <w:jc w:val="center"/>
        <w:textAlignment w:val="auto"/>
        <w:rPr>
          <w:rFonts w:hint="eastAsia" w:ascii="方正小标宋简体" w:eastAsia="方正小标宋简体"/>
          <w:spacing w:val="-17"/>
          <w:sz w:val="44"/>
          <w:szCs w:val="44"/>
          <w:lang w:eastAsia="zh-CN"/>
        </w:rPr>
      </w:pPr>
      <w:r>
        <w:rPr>
          <w:rFonts w:hint="eastAsia" w:ascii="方正小标宋简体" w:eastAsia="方正小标宋简体"/>
          <w:sz w:val="44"/>
          <w:szCs w:val="44"/>
          <w:lang w:eastAsia="zh-CN"/>
        </w:rPr>
        <w:t>《内</w:t>
      </w:r>
      <w:r>
        <w:rPr>
          <w:rFonts w:hint="eastAsia" w:ascii="方正小标宋简体" w:eastAsia="方正小标宋简体"/>
          <w:spacing w:val="-17"/>
          <w:sz w:val="44"/>
          <w:szCs w:val="44"/>
          <w:lang w:eastAsia="zh-CN"/>
        </w:rPr>
        <w:t>蒙古自治区营商环境评估实施办法》的通知</w:t>
      </w:r>
    </w:p>
    <w:p>
      <w:pPr>
        <w:keepNext w:val="0"/>
        <w:keepLines w:val="0"/>
        <w:pageBreakBefore w:val="0"/>
        <w:widowControl w:val="0"/>
        <w:kinsoku/>
        <w:wordWrap/>
        <w:overflowPunct/>
        <w:topLinePunct/>
        <w:autoSpaceDE/>
        <w:autoSpaceDN/>
        <w:bidi w:val="0"/>
        <w:adjustRightInd/>
        <w:snapToGrid/>
        <w:spacing w:line="460" w:lineRule="exact"/>
        <w:ind w:right="0"/>
        <w:jc w:val="center"/>
        <w:textAlignment w:val="auto"/>
        <w:rPr>
          <w:rFonts w:hint="eastAsia" w:ascii="方正小标宋简体" w:eastAsia="方正小标宋简体"/>
          <w:spacing w:val="-17"/>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ind w:right="0"/>
        <w:jc w:val="center"/>
        <w:textAlignment w:val="auto"/>
        <w:rPr>
          <w:rFonts w:hint="default" w:ascii="方正小标宋简体" w:eastAsia="方正小标宋简体"/>
          <w:spacing w:val="-17"/>
          <w:sz w:val="44"/>
          <w:szCs w:val="44"/>
          <w:lang w:val="en-US" w:eastAsia="zh-CN"/>
        </w:rPr>
      </w:pPr>
      <w:r>
        <w:rPr>
          <w:rFonts w:hint="eastAsia" w:ascii="仿宋_GB2312" w:hAnsi="华文仿宋" w:eastAsia="仿宋_GB2312"/>
          <w:sz w:val="32"/>
          <w:lang w:eastAsia="zh-CN"/>
        </w:rPr>
        <w:t>内政办发〔2023〕65号</w:t>
      </w:r>
    </w:p>
    <w:p>
      <w:pPr>
        <w:keepNext w:val="0"/>
        <w:keepLines w:val="0"/>
        <w:pageBreakBefore w:val="0"/>
        <w:widowControl w:val="0"/>
        <w:kinsoku/>
        <w:wordWrap/>
        <w:overflowPunct/>
        <w:topLinePunct/>
        <w:autoSpaceDE/>
        <w:autoSpaceDN/>
        <w:bidi w:val="0"/>
        <w:spacing w:line="580" w:lineRule="exact"/>
        <w:ind w:right="0"/>
        <w:jc w:val="center"/>
        <w:textAlignment w:val="auto"/>
        <w:rPr>
          <w:rFonts w:hint="eastAsia" w:ascii="方正楷体_GBK" w:hAnsi="方正楷体_GBK" w:eastAsia="方正楷体_GBK" w:cs="方正楷体_GBK"/>
          <w:sz w:val="30"/>
        </w:rPr>
      </w:pPr>
    </w:p>
    <w:p>
      <w:pPr>
        <w:keepNext w:val="0"/>
        <w:keepLines w:val="0"/>
        <w:pageBreakBefore w:val="0"/>
        <w:widowControl w:val="0"/>
        <w:kinsoku/>
        <w:wordWrap/>
        <w:overflowPunct/>
        <w:topLinePunct/>
        <w:autoSpaceDE/>
        <w:autoSpaceDN/>
        <w:bidi w:val="0"/>
        <w:adjustRightInd/>
        <w:snapToGrid/>
        <w:spacing w:line="400" w:lineRule="exact"/>
        <w:ind w:right="0"/>
        <w:textAlignment w:val="auto"/>
        <w:rPr>
          <w:rFonts w:hint="eastAsia" w:ascii="方正楷体_GBK" w:hAnsi="方正楷体_GBK" w:eastAsia="方正楷体_GBK" w:cs="方正楷体_GBK"/>
          <w:sz w:val="32"/>
          <w:lang w:eastAsia="zh-CN"/>
        </w:rPr>
      </w:pPr>
      <w:bookmarkStart w:id="6" w:name="_GoBack"/>
      <w:r>
        <w:rPr>
          <w:rFonts w:hint="eastAsia" w:ascii="方正楷体_GBK" w:hAnsi="方正楷体_GBK" w:eastAsia="方正楷体_GBK" w:cs="方正楷体_GBK"/>
          <w:sz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lang w:eastAsia="zh-CN"/>
        </w:rPr>
        <w:t>经自治区人民政府同意，现将《内蒙古自治区营商环境评估实施办法》印发给你们，请结合实际，认真贯彻落实。</w:t>
      </w:r>
    </w:p>
    <w:p>
      <w:pPr>
        <w:keepNext w:val="0"/>
        <w:keepLines w:val="0"/>
        <w:pageBreakBefore w:val="0"/>
        <w:widowControl w:val="0"/>
        <w:kinsoku/>
        <w:wordWrap/>
        <w:overflowPunct/>
        <w:topLinePunct/>
        <w:autoSpaceDE/>
        <w:autoSpaceDN/>
        <w:bidi w:val="0"/>
        <w:spacing w:line="580" w:lineRule="exact"/>
        <w:ind w:right="0" w:firstLine="640" w:firstLineChars="200"/>
        <w:textAlignment w:val="auto"/>
        <w:rPr>
          <w:rFonts w:hint="eastAsia" w:ascii="方正楷体_GBK" w:hAnsi="方正楷体_GBK" w:eastAsia="方正楷体_GBK" w:cs="方正楷体_GBK"/>
          <w:sz w:val="32"/>
          <w:lang w:eastAsia="zh-CN"/>
        </w:rPr>
      </w:pPr>
    </w:p>
    <w:p>
      <w:pPr>
        <w:keepNext w:val="0"/>
        <w:keepLines w:val="0"/>
        <w:pageBreakBefore w:val="0"/>
        <w:widowControl w:val="0"/>
        <w:kinsoku/>
        <w:wordWrap/>
        <w:overflowPunct/>
        <w:topLinePunct/>
        <w:autoSpaceDE/>
        <w:autoSpaceDN/>
        <w:bidi w:val="0"/>
        <w:spacing w:line="580" w:lineRule="exact"/>
        <w:ind w:right="0" w:firstLine="640" w:firstLineChars="200"/>
        <w:textAlignment w:val="auto"/>
        <w:rPr>
          <w:rFonts w:hint="eastAsia" w:ascii="方正楷体_GBK" w:hAnsi="方正楷体_GBK" w:eastAsia="方正楷体_GBK" w:cs="方正楷体_GBK"/>
          <w:sz w:val="32"/>
          <w:lang w:eastAsia="zh-CN"/>
        </w:rPr>
      </w:pPr>
    </w:p>
    <w:p>
      <w:pPr>
        <w:keepNext w:val="0"/>
        <w:keepLines w:val="0"/>
        <w:pageBreakBefore w:val="0"/>
        <w:widowControl w:val="0"/>
        <w:kinsoku/>
        <w:wordWrap/>
        <w:overflowPunct/>
        <w:topLinePunct/>
        <w:autoSpaceDE/>
        <w:autoSpaceDN/>
        <w:bidi w:val="0"/>
        <w:spacing w:line="580" w:lineRule="exact"/>
        <w:ind w:right="0" w:firstLine="640" w:firstLineChars="200"/>
        <w:textAlignment w:val="auto"/>
        <w:rPr>
          <w:rFonts w:hint="eastAsia" w:ascii="方正楷体_GBK" w:hAnsi="方正楷体_GBK" w:eastAsia="方正楷体_GBK" w:cs="方正楷体_GBK"/>
          <w:sz w:val="32"/>
          <w:lang w:eastAsia="zh-CN"/>
        </w:rPr>
      </w:pPr>
    </w:p>
    <w:p>
      <w:pPr>
        <w:keepNext w:val="0"/>
        <w:keepLines w:val="0"/>
        <w:pageBreakBefore w:val="0"/>
        <w:widowControl w:val="0"/>
        <w:kinsoku/>
        <w:wordWrap/>
        <w:overflowPunct/>
        <w:topLinePunct/>
        <w:autoSpaceDE/>
        <w:autoSpaceDN/>
        <w:bidi w:val="0"/>
        <w:adjustRightInd/>
        <w:snapToGrid/>
        <w:spacing w:line="100" w:lineRule="exact"/>
        <w:ind w:right="0" w:firstLine="640" w:firstLineChars="200"/>
        <w:textAlignment w:val="auto"/>
        <w:rPr>
          <w:rFonts w:hint="eastAsia" w:ascii="方正楷体_GBK" w:hAnsi="方正楷体_GBK" w:eastAsia="方正楷体_GBK" w:cs="方正楷体_GBK"/>
          <w:sz w:val="32"/>
          <w:lang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2023年10月16日</w:t>
      </w: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right="0" w:firstLine="640" w:firstLineChars="200"/>
        <w:textAlignment w:val="auto"/>
        <w:rPr>
          <w:rFonts w:hint="eastAsia" w:ascii="方正楷体_GBK" w:hAnsi="方正楷体_GBK" w:eastAsia="方正楷体_GBK" w:cs="方正楷体_GBK"/>
          <w:sz w:val="32"/>
          <w:lang w:val="en-US" w:eastAsia="zh-CN"/>
        </w:rPr>
      </w:pPr>
    </w:p>
    <w:p>
      <w:pPr>
        <w:pStyle w:val="8"/>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right="0"/>
        <w:jc w:val="center"/>
        <w:textAlignment w:val="auto"/>
        <w:outlineLvl w:val="0"/>
        <w:rPr>
          <w:rFonts w:hint="default" w:ascii="Times New Roman" w:hAnsi="Times New Roman" w:eastAsia="方正小标宋简体" w:cs="Times New Roman"/>
          <w:color w:val="auto"/>
          <w:sz w:val="44"/>
          <w:szCs w:val="44"/>
          <w:shd w:val="clear" w:color="auto" w:fill="FFFFFF"/>
        </w:rPr>
      </w:pPr>
    </w:p>
    <w:p>
      <w:pPr>
        <w:pStyle w:val="8"/>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right="0"/>
        <w:jc w:val="center"/>
        <w:textAlignment w:val="auto"/>
        <w:outlineLvl w:val="0"/>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shd w:val="clear" w:color="auto" w:fill="FFFFFF"/>
        </w:rPr>
        <w:t>内蒙古自治区营商环境评估实施办法</w:t>
      </w:r>
    </w:p>
    <w:p>
      <w:pPr>
        <w:pStyle w:val="8"/>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200" w:lineRule="exact"/>
        <w:ind w:right="0"/>
        <w:jc w:val="center"/>
        <w:textAlignment w:val="auto"/>
        <w:outlineLvl w:val="0"/>
        <w:rPr>
          <w:rStyle w:val="14"/>
          <w:rFonts w:hint="eastAsia" w:ascii="方正黑体_GBK" w:hAnsi="方正黑体_GBK" w:eastAsia="方正黑体_GBK" w:cs="方正黑体_GBK"/>
          <w:b w:val="0"/>
          <w:bCs/>
          <w:color w:val="auto"/>
          <w:sz w:val="32"/>
          <w:szCs w:val="32"/>
          <w:shd w:val="clear" w:color="auto" w:fill="FFFFFF"/>
        </w:rPr>
      </w:pPr>
    </w:p>
    <w:p>
      <w:pPr>
        <w:pStyle w:val="8"/>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right="0"/>
        <w:jc w:val="center"/>
        <w:textAlignment w:val="auto"/>
        <w:outlineLvl w:val="0"/>
        <w:rPr>
          <w:rFonts w:hint="eastAsia" w:ascii="方正仿宋_GBK" w:hAnsi="方正仿宋_GBK" w:eastAsia="方正仿宋_GBK" w:cs="方正仿宋_GBK"/>
          <w:bCs/>
          <w:color w:val="auto"/>
          <w:sz w:val="32"/>
          <w:szCs w:val="32"/>
        </w:rPr>
      </w:pPr>
      <w:r>
        <w:rPr>
          <w:rStyle w:val="14"/>
          <w:rFonts w:hint="eastAsia" w:ascii="方正黑体_GBK" w:hAnsi="方正黑体_GBK" w:eastAsia="方正黑体_GBK" w:cs="方正黑体_GBK"/>
          <w:b w:val="0"/>
          <w:bCs/>
          <w:color w:val="auto"/>
          <w:sz w:val="32"/>
          <w:szCs w:val="32"/>
          <w:shd w:val="clear" w:color="auto" w:fill="FFFFFF"/>
        </w:rPr>
        <w:t xml:space="preserve">第一章 </w:t>
      </w:r>
      <w:r>
        <w:rPr>
          <w:rStyle w:val="14"/>
          <w:rFonts w:hint="eastAsia" w:ascii="方正黑体_GBK" w:hAnsi="方正黑体_GBK" w:eastAsia="方正黑体_GBK" w:cs="方正黑体_GBK"/>
          <w:b w:val="0"/>
          <w:bCs/>
          <w:color w:val="auto"/>
          <w:sz w:val="32"/>
          <w:szCs w:val="32"/>
          <w:shd w:val="clear" w:color="auto" w:fill="FFFFFF"/>
          <w:lang w:val="en-US" w:eastAsia="zh-CN"/>
        </w:rPr>
        <w:t xml:space="preserve"> </w:t>
      </w:r>
      <w:r>
        <w:rPr>
          <w:rStyle w:val="14"/>
          <w:rFonts w:hint="eastAsia" w:ascii="方正黑体_GBK" w:hAnsi="方正黑体_GBK" w:eastAsia="方正黑体_GBK" w:cs="方正黑体_GBK"/>
          <w:b w:val="0"/>
          <w:bCs/>
          <w:color w:val="auto"/>
          <w:sz w:val="32"/>
          <w:szCs w:val="32"/>
          <w:shd w:val="clear" w:color="auto" w:fill="FFFFFF"/>
        </w:rPr>
        <w:t>总</w:t>
      </w:r>
      <w:r>
        <w:rPr>
          <w:rStyle w:val="14"/>
          <w:rFonts w:hint="eastAsia" w:ascii="方正黑体_GBK" w:hAnsi="方正黑体_GBK" w:eastAsia="方正黑体_GBK" w:cs="方正黑体_GBK"/>
          <w:b w:val="0"/>
          <w:bCs/>
          <w:color w:val="auto"/>
          <w:sz w:val="32"/>
          <w:szCs w:val="32"/>
          <w:shd w:val="clear" w:color="auto" w:fill="FFFFFF"/>
          <w:lang w:val="en-US" w:eastAsia="zh-CN"/>
        </w:rPr>
        <w:t xml:space="preserve">    </w:t>
      </w:r>
      <w:r>
        <w:rPr>
          <w:rStyle w:val="14"/>
          <w:rFonts w:hint="eastAsia" w:ascii="方正黑体_GBK" w:hAnsi="方正黑体_GBK" w:eastAsia="方正黑体_GBK" w:cs="方正黑体_GBK"/>
          <w:b w:val="0"/>
          <w:bCs/>
          <w:color w:val="auto"/>
          <w:sz w:val="32"/>
          <w:szCs w:val="32"/>
          <w:shd w:val="clear" w:color="auto" w:fill="FFFFFF"/>
        </w:rPr>
        <w:t>则</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shd w:val="clear" w:color="auto" w:fill="FFFFFF"/>
        </w:rPr>
        <w:t>第一条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kern w:val="2"/>
          <w:sz w:val="32"/>
          <w:szCs w:val="32"/>
          <w:lang w:eastAsia="zh-CN"/>
        </w:rPr>
        <w:t>为全面贯彻</w:t>
      </w:r>
      <w:r>
        <w:rPr>
          <w:rFonts w:hint="eastAsia" w:ascii="方正仿宋_GBK" w:hAnsi="方正仿宋_GBK" w:eastAsia="方正仿宋_GBK" w:cs="方正仿宋_GBK"/>
          <w:b w:val="0"/>
          <w:bCs w:val="0"/>
          <w:color w:val="auto"/>
          <w:kern w:val="2"/>
          <w:sz w:val="32"/>
          <w:szCs w:val="32"/>
        </w:rPr>
        <w:t>习近平新时代中国特色社会主义思想，</w:t>
      </w:r>
      <w:r>
        <w:rPr>
          <w:rFonts w:hint="eastAsia" w:ascii="方正仿宋_GBK" w:hAnsi="方正仿宋_GBK" w:eastAsia="方正仿宋_GBK" w:cs="方正仿宋_GBK"/>
          <w:b w:val="0"/>
          <w:bCs w:val="0"/>
          <w:color w:val="auto"/>
          <w:kern w:val="2"/>
          <w:sz w:val="32"/>
          <w:szCs w:val="32"/>
          <w:lang w:eastAsia="zh-CN"/>
        </w:rPr>
        <w:t>深入</w:t>
      </w:r>
      <w:r>
        <w:rPr>
          <w:rFonts w:hint="eastAsia" w:ascii="方正仿宋_GBK" w:hAnsi="方正仿宋_GBK" w:eastAsia="方正仿宋_GBK" w:cs="方正仿宋_GBK"/>
          <w:b w:val="0"/>
          <w:bCs w:val="0"/>
          <w:color w:val="auto"/>
          <w:kern w:val="2"/>
          <w:sz w:val="32"/>
          <w:szCs w:val="32"/>
        </w:rPr>
        <w:t>贯彻党的二十大精神</w:t>
      </w:r>
      <w:r>
        <w:rPr>
          <w:rFonts w:hint="eastAsia" w:ascii="方正仿宋_GBK" w:hAnsi="方正仿宋_GBK" w:eastAsia="方正仿宋_GBK" w:cs="方正仿宋_GBK"/>
          <w:b w:val="0"/>
          <w:bCs w:val="0"/>
          <w:color w:val="auto"/>
          <w:kern w:val="2"/>
          <w:sz w:val="32"/>
          <w:szCs w:val="32"/>
          <w:lang w:eastAsia="zh-CN"/>
        </w:rPr>
        <w:t>和习近平总书记对内蒙古的重要指示精神</w:t>
      </w:r>
      <w:r>
        <w:rPr>
          <w:rFonts w:hint="eastAsia" w:ascii="方正仿宋_GBK" w:hAnsi="方正仿宋_GBK" w:eastAsia="方正仿宋_GBK" w:cs="方正仿宋_GBK"/>
          <w:b w:val="0"/>
          <w:bCs w:val="0"/>
          <w:color w:val="auto"/>
          <w:kern w:val="2"/>
          <w:sz w:val="32"/>
          <w:szCs w:val="32"/>
        </w:rPr>
        <w:t>，深入实施《优化营商环境条例》，</w:t>
      </w:r>
      <w:r>
        <w:rPr>
          <w:rFonts w:hint="eastAsia" w:ascii="方正仿宋_GBK" w:hAnsi="方正仿宋_GBK" w:eastAsia="方正仿宋_GBK" w:cs="方正仿宋_GBK"/>
          <w:b w:val="0"/>
          <w:bCs w:val="0"/>
          <w:color w:val="auto"/>
          <w:kern w:val="2"/>
          <w:sz w:val="32"/>
          <w:szCs w:val="32"/>
          <w:lang w:eastAsia="zh-CN"/>
        </w:rPr>
        <w:t>认真</w:t>
      </w:r>
      <w:r>
        <w:rPr>
          <w:rFonts w:hint="eastAsia" w:ascii="方正仿宋_GBK" w:hAnsi="方正仿宋_GBK" w:eastAsia="方正仿宋_GBK" w:cs="方正仿宋_GBK"/>
          <w:b w:val="0"/>
          <w:bCs w:val="0"/>
          <w:color w:val="auto"/>
          <w:kern w:val="2"/>
          <w:sz w:val="32"/>
          <w:szCs w:val="32"/>
        </w:rPr>
        <w:t>落实自治区</w:t>
      </w:r>
      <w:r>
        <w:rPr>
          <w:rFonts w:hint="eastAsia" w:ascii="方正仿宋_GBK" w:hAnsi="方正仿宋_GBK" w:eastAsia="方正仿宋_GBK" w:cs="方正仿宋_GBK"/>
          <w:b w:val="0"/>
          <w:bCs w:val="0"/>
          <w:color w:val="auto"/>
          <w:kern w:val="2"/>
          <w:sz w:val="32"/>
          <w:szCs w:val="32"/>
          <w:lang w:eastAsia="zh-CN"/>
        </w:rPr>
        <w:t>党委和政府</w:t>
      </w:r>
      <w:r>
        <w:rPr>
          <w:rFonts w:hint="eastAsia" w:ascii="方正仿宋_GBK" w:hAnsi="方正仿宋_GBK" w:eastAsia="方正仿宋_GBK" w:cs="方正仿宋_GBK"/>
          <w:b w:val="0"/>
          <w:bCs w:val="0"/>
          <w:color w:val="auto"/>
          <w:kern w:val="2"/>
          <w:sz w:val="32"/>
          <w:szCs w:val="32"/>
          <w:lang w:val="en-US" w:eastAsia="zh-CN"/>
        </w:rPr>
        <w:t>关于优化营商环境的</w:t>
      </w:r>
      <w:r>
        <w:rPr>
          <w:rFonts w:hint="eastAsia" w:ascii="方正仿宋_GBK" w:hAnsi="方正仿宋_GBK" w:eastAsia="方正仿宋_GBK" w:cs="方正仿宋_GBK"/>
          <w:b w:val="0"/>
          <w:bCs w:val="0"/>
          <w:color w:val="auto"/>
          <w:kern w:val="2"/>
          <w:sz w:val="32"/>
          <w:szCs w:val="32"/>
          <w:lang w:eastAsia="zh-CN"/>
        </w:rPr>
        <w:t>工作</w:t>
      </w:r>
      <w:r>
        <w:rPr>
          <w:rFonts w:hint="eastAsia" w:ascii="方正仿宋_GBK" w:hAnsi="方正仿宋_GBK" w:eastAsia="方正仿宋_GBK" w:cs="方正仿宋_GBK"/>
          <w:b w:val="0"/>
          <w:bCs w:val="0"/>
          <w:color w:val="auto"/>
          <w:kern w:val="2"/>
          <w:sz w:val="32"/>
          <w:szCs w:val="32"/>
        </w:rPr>
        <w:t>部署，</w:t>
      </w:r>
      <w:r>
        <w:rPr>
          <w:rFonts w:hint="eastAsia" w:ascii="方正仿宋_GBK" w:hAnsi="方正仿宋_GBK" w:eastAsia="方正仿宋_GBK" w:cs="方正仿宋_GBK"/>
          <w:b w:val="0"/>
          <w:bCs w:val="0"/>
          <w:color w:val="auto"/>
          <w:kern w:val="2"/>
          <w:sz w:val="32"/>
          <w:szCs w:val="32"/>
          <w:lang w:eastAsia="zh-CN"/>
        </w:rPr>
        <w:t>紧紧围绕完成好习近平总书记交给内蒙古的五大任务和全方位建设“模范自治区”两件大事，</w:t>
      </w:r>
      <w:r>
        <w:rPr>
          <w:rFonts w:hint="eastAsia" w:ascii="方正仿宋_GBK" w:hAnsi="方正仿宋_GBK" w:eastAsia="方正仿宋_GBK" w:cs="方正仿宋_GBK"/>
          <w:b w:val="0"/>
          <w:bCs w:val="0"/>
          <w:color w:val="auto"/>
          <w:kern w:val="2"/>
          <w:sz w:val="32"/>
          <w:szCs w:val="32"/>
          <w:lang w:val="en-US" w:eastAsia="zh-CN"/>
        </w:rPr>
        <w:t>巩固提升“优化职能职责、优化工作流程”专项行动成果，</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rPr>
        <w:t>充分发挥营商环境评</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lang w:val="en-US" w:eastAsia="zh-CN"/>
        </w:rPr>
        <w:t>估</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rPr>
        <w:t>对优化营商环境的引领和督促作用，建立健全激励约束机制，</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lang w:val="en-US" w:eastAsia="zh-CN"/>
        </w:rPr>
        <w:t>加快</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rPr>
        <w:t>营造稳定公平透明、可预期的营商环境</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lang w:eastAsia="zh-CN"/>
        </w:rPr>
        <w:t>，</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rPr>
        <w:t>最大限度激发</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lang w:eastAsia="zh-CN"/>
        </w:rPr>
        <w:t>经营</w:t>
      </w:r>
      <w:r>
        <w:rPr>
          <w:rFonts w:hint="eastAsia" w:ascii="方正仿宋_GBK" w:hAnsi="方正仿宋_GBK" w:eastAsia="方正仿宋_GBK" w:cs="方正仿宋_GBK"/>
          <w:b w:val="0"/>
          <w:bCs w:val="0"/>
          <w:i w:val="0"/>
          <w:iCs w:val="0"/>
          <w:caps w:val="0"/>
          <w:color w:val="auto"/>
          <w:spacing w:val="0"/>
          <w:kern w:val="2"/>
          <w:sz w:val="32"/>
          <w:szCs w:val="32"/>
          <w:shd w:val="clear" w:color="auto" w:fill="auto"/>
        </w:rPr>
        <w:t>主体活力，</w:t>
      </w:r>
      <w:r>
        <w:rPr>
          <w:rFonts w:hint="eastAsia" w:ascii="方正仿宋_GBK" w:hAnsi="方正仿宋_GBK" w:eastAsia="方正仿宋_GBK" w:cs="方正仿宋_GBK"/>
          <w:b w:val="0"/>
          <w:bCs w:val="0"/>
          <w:color w:val="auto"/>
          <w:kern w:val="2"/>
          <w:sz w:val="32"/>
          <w:szCs w:val="32"/>
          <w:shd w:val="clear" w:color="auto" w:fill="auto"/>
        </w:rPr>
        <w:t>结合自治区实际，</w:t>
      </w:r>
      <w:r>
        <w:rPr>
          <w:rFonts w:hint="eastAsia" w:ascii="方正仿宋_GBK" w:hAnsi="方正仿宋_GBK" w:eastAsia="方正仿宋_GBK" w:cs="方正仿宋_GBK"/>
          <w:b w:val="0"/>
          <w:bCs w:val="0"/>
          <w:color w:val="auto"/>
          <w:sz w:val="32"/>
          <w:szCs w:val="32"/>
          <w:shd w:val="clear" w:color="auto" w:fill="FFFFFF"/>
        </w:rPr>
        <w:t>制定本办法。</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第二条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开展营商环境评估，应当坚持市场化、法治化、国际化</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lang w:val="en-US" w:eastAsia="zh-CN"/>
        </w:rPr>
        <w:t>便利化</w:t>
      </w:r>
      <w:r>
        <w:rPr>
          <w:rFonts w:hint="eastAsia" w:ascii="方正仿宋_GBK" w:hAnsi="方正仿宋_GBK" w:eastAsia="方正仿宋_GBK" w:cs="方正仿宋_GBK"/>
          <w:b w:val="0"/>
          <w:bCs w:val="0"/>
          <w:color w:val="auto"/>
          <w:sz w:val="32"/>
          <w:szCs w:val="32"/>
          <w:shd w:val="clear" w:color="auto" w:fill="FFFFFF"/>
        </w:rPr>
        <w:t>原则，以</w:t>
      </w:r>
      <w:r>
        <w:rPr>
          <w:rFonts w:hint="eastAsia" w:ascii="方正仿宋_GBK" w:hAnsi="方正仿宋_GBK" w:eastAsia="方正仿宋_GBK" w:cs="方正仿宋_GBK"/>
          <w:b w:val="0"/>
          <w:bCs w:val="0"/>
          <w:color w:val="auto"/>
          <w:sz w:val="32"/>
          <w:szCs w:val="32"/>
          <w:shd w:val="clear" w:color="auto" w:fill="FFFFFF"/>
          <w:lang w:eastAsia="zh-CN"/>
        </w:rPr>
        <w:t>经营</w:t>
      </w:r>
      <w:r>
        <w:rPr>
          <w:rFonts w:hint="eastAsia" w:ascii="方正仿宋_GBK" w:hAnsi="方正仿宋_GBK" w:eastAsia="方正仿宋_GBK" w:cs="方正仿宋_GBK"/>
          <w:b w:val="0"/>
          <w:bCs w:val="0"/>
          <w:color w:val="auto"/>
          <w:sz w:val="32"/>
          <w:szCs w:val="32"/>
          <w:shd w:val="clear" w:color="auto" w:fill="FFFFFF"/>
        </w:rPr>
        <w:t>主体</w:t>
      </w:r>
      <w:r>
        <w:rPr>
          <w:rFonts w:hint="eastAsia" w:ascii="方正仿宋_GBK" w:hAnsi="方正仿宋_GBK" w:eastAsia="方正仿宋_GBK" w:cs="方正仿宋_GBK"/>
          <w:b w:val="0"/>
          <w:bCs w:val="0"/>
          <w:color w:val="auto"/>
          <w:sz w:val="32"/>
          <w:szCs w:val="32"/>
          <w:shd w:val="clear" w:color="auto" w:fill="FFFFFF"/>
          <w:lang w:val="en-US" w:eastAsia="zh-CN"/>
        </w:rPr>
        <w:t>和社会公众的</w:t>
      </w:r>
      <w:r>
        <w:rPr>
          <w:rFonts w:hint="eastAsia" w:ascii="方正仿宋_GBK" w:hAnsi="方正仿宋_GBK" w:eastAsia="方正仿宋_GBK" w:cs="方正仿宋_GBK"/>
          <w:b w:val="0"/>
          <w:bCs w:val="0"/>
          <w:color w:val="auto"/>
          <w:sz w:val="32"/>
          <w:szCs w:val="32"/>
          <w:shd w:val="clear" w:color="auto" w:fill="FFFFFF"/>
        </w:rPr>
        <w:t>需求</w:t>
      </w:r>
      <w:r>
        <w:rPr>
          <w:rFonts w:hint="eastAsia" w:ascii="方正仿宋_GBK" w:hAnsi="方正仿宋_GBK" w:eastAsia="方正仿宋_GBK" w:cs="方正仿宋_GBK"/>
          <w:b w:val="0"/>
          <w:bCs w:val="0"/>
          <w:color w:val="auto"/>
          <w:sz w:val="32"/>
          <w:szCs w:val="32"/>
          <w:shd w:val="clear" w:color="auto" w:fill="FFFFFF"/>
          <w:lang w:val="en-US" w:eastAsia="zh-CN"/>
        </w:rPr>
        <w:t>及</w:t>
      </w:r>
      <w:r>
        <w:rPr>
          <w:rFonts w:hint="eastAsia" w:ascii="方正仿宋_GBK" w:hAnsi="方正仿宋_GBK" w:eastAsia="方正仿宋_GBK" w:cs="方正仿宋_GBK"/>
          <w:b w:val="0"/>
          <w:bCs w:val="0"/>
          <w:color w:val="auto"/>
          <w:sz w:val="32"/>
          <w:szCs w:val="32"/>
          <w:shd w:val="clear" w:color="auto" w:fill="FFFFFF"/>
        </w:rPr>
        <w:t>实际感受为导向，以深刻转变政府职能为核心，借鉴国际国内先进经验，建立具有内蒙古特色的营商环境评估指标体系和评估机制，实现以评促改、</w:t>
      </w:r>
      <w:r>
        <w:rPr>
          <w:rFonts w:hint="eastAsia" w:ascii="方正仿宋_GBK" w:hAnsi="方正仿宋_GBK" w:eastAsia="方正仿宋_GBK" w:cs="方正仿宋_GBK"/>
          <w:b w:val="0"/>
          <w:bCs w:val="0"/>
          <w:color w:val="auto"/>
          <w:sz w:val="32"/>
          <w:szCs w:val="32"/>
          <w:shd w:val="clear" w:color="auto" w:fill="FFFFFF"/>
          <w:lang w:val="en-US" w:eastAsia="zh-CN"/>
        </w:rPr>
        <w:t>以评促建、</w:t>
      </w:r>
      <w:r>
        <w:rPr>
          <w:rFonts w:hint="eastAsia" w:ascii="方正仿宋_GBK" w:hAnsi="方正仿宋_GBK" w:eastAsia="方正仿宋_GBK" w:cs="方正仿宋_GBK"/>
          <w:b w:val="0"/>
          <w:bCs w:val="0"/>
          <w:color w:val="auto"/>
          <w:sz w:val="32"/>
          <w:szCs w:val="32"/>
          <w:shd w:val="clear" w:color="auto" w:fill="FFFFFF"/>
        </w:rPr>
        <w:t>以评促优，促进自治区营商环境加速改善，打造</w:t>
      </w:r>
      <w:r>
        <w:rPr>
          <w:rFonts w:hint="eastAsia" w:ascii="方正仿宋_GBK" w:hAnsi="方正仿宋_GBK" w:eastAsia="方正仿宋_GBK" w:cs="方正仿宋_GBK"/>
          <w:b w:val="0"/>
          <w:bCs w:val="0"/>
          <w:color w:val="auto"/>
          <w:sz w:val="32"/>
          <w:szCs w:val="32"/>
          <w:shd w:val="clear" w:color="auto" w:fill="FFFFFF"/>
          <w:lang w:val="en-US" w:eastAsia="zh-CN"/>
        </w:rPr>
        <w:t>经营主体和社会公众</w:t>
      </w:r>
      <w:r>
        <w:rPr>
          <w:rFonts w:hint="eastAsia" w:ascii="方正仿宋_GBK" w:hAnsi="方正仿宋_GBK" w:eastAsia="方正仿宋_GBK" w:cs="方正仿宋_GBK"/>
          <w:b w:val="0"/>
          <w:bCs w:val="0"/>
          <w:color w:val="auto"/>
          <w:sz w:val="32"/>
          <w:szCs w:val="32"/>
          <w:shd w:val="clear" w:color="auto" w:fill="FFFFFF"/>
        </w:rPr>
        <w:t>满意的一流环境。</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第三条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000000"/>
          <w:sz w:val="32"/>
          <w:szCs w:val="32"/>
          <w:shd w:val="clear" w:color="auto" w:fill="FFFFFF"/>
          <w:lang w:val="en-US" w:eastAsia="zh-CN"/>
        </w:rPr>
        <w:t>本办法适用于自治区对各盟市、旗县（市、区）优化营商环境</w:t>
      </w:r>
      <w:r>
        <w:rPr>
          <w:rFonts w:hint="eastAsia" w:ascii="方正仿宋_GBK" w:hAnsi="方正仿宋_GBK" w:eastAsia="方正仿宋_GBK" w:cs="方正仿宋_GBK"/>
          <w:b w:val="0"/>
          <w:bCs w:val="0"/>
          <w:color w:val="000000"/>
          <w:sz w:val="32"/>
          <w:szCs w:val="32"/>
          <w:shd w:val="clear" w:color="auto" w:fill="FFFFFF"/>
          <w:lang w:eastAsia="zh-CN"/>
        </w:rPr>
        <w:t>工作情况的</w:t>
      </w:r>
      <w:r>
        <w:rPr>
          <w:rFonts w:hint="eastAsia" w:ascii="方正仿宋_GBK" w:hAnsi="方正仿宋_GBK" w:eastAsia="方正仿宋_GBK" w:cs="方正仿宋_GBK"/>
          <w:b w:val="0"/>
          <w:bCs w:val="0"/>
          <w:color w:val="000000"/>
          <w:sz w:val="32"/>
          <w:szCs w:val="32"/>
          <w:shd w:val="clear" w:color="auto" w:fill="FFFFFF"/>
        </w:rPr>
        <w:t>评估。</w:t>
      </w:r>
    </w:p>
    <w:p>
      <w:pPr>
        <w:pStyle w:val="8"/>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100" w:lineRule="exact"/>
        <w:ind w:right="0"/>
        <w:jc w:val="center"/>
        <w:textAlignment w:val="auto"/>
        <w:outlineLvl w:val="0"/>
        <w:rPr>
          <w:rStyle w:val="14"/>
          <w:rFonts w:hint="eastAsia" w:ascii="方正黑体_GBK" w:hAnsi="方正黑体_GBK" w:eastAsia="方正黑体_GBK" w:cs="方正黑体_GBK"/>
          <w:b w:val="0"/>
          <w:bCs/>
          <w:color w:val="auto"/>
          <w:sz w:val="32"/>
          <w:szCs w:val="32"/>
          <w:shd w:val="clear" w:color="auto" w:fill="FFFFFF"/>
        </w:rPr>
      </w:pPr>
    </w:p>
    <w:p>
      <w:pPr>
        <w:pStyle w:val="8"/>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right="0"/>
        <w:jc w:val="center"/>
        <w:textAlignment w:val="auto"/>
        <w:outlineLvl w:val="0"/>
        <w:rPr>
          <w:rStyle w:val="14"/>
          <w:rFonts w:hint="eastAsia" w:ascii="方正黑体_GBK" w:hAnsi="方正黑体_GBK" w:eastAsia="方正黑体_GBK" w:cs="方正黑体_GBK"/>
          <w:b w:val="0"/>
          <w:bCs/>
          <w:color w:val="auto"/>
          <w:sz w:val="32"/>
          <w:szCs w:val="32"/>
          <w:shd w:val="clear" w:color="auto" w:fill="FFFFFF"/>
        </w:rPr>
      </w:pPr>
      <w:r>
        <w:rPr>
          <w:rStyle w:val="14"/>
          <w:rFonts w:hint="eastAsia" w:ascii="方正黑体_GBK" w:hAnsi="方正黑体_GBK" w:eastAsia="方正黑体_GBK" w:cs="方正黑体_GBK"/>
          <w:b w:val="0"/>
          <w:bCs/>
          <w:color w:val="auto"/>
          <w:sz w:val="32"/>
          <w:szCs w:val="32"/>
          <w:shd w:val="clear" w:color="auto" w:fill="FFFFFF"/>
        </w:rPr>
        <w:t xml:space="preserve">第二章 </w:t>
      </w:r>
      <w:r>
        <w:rPr>
          <w:rStyle w:val="14"/>
          <w:rFonts w:hint="eastAsia" w:ascii="方正黑体_GBK" w:hAnsi="方正黑体_GBK" w:eastAsia="方正黑体_GBK" w:cs="方正黑体_GBK"/>
          <w:b w:val="0"/>
          <w:bCs/>
          <w:color w:val="auto"/>
          <w:sz w:val="32"/>
          <w:szCs w:val="32"/>
          <w:shd w:val="clear" w:color="auto" w:fill="FFFFFF"/>
          <w:lang w:val="en-US" w:eastAsia="zh-CN"/>
        </w:rPr>
        <w:t xml:space="preserve"> </w:t>
      </w:r>
      <w:r>
        <w:rPr>
          <w:rStyle w:val="14"/>
          <w:rFonts w:hint="eastAsia" w:ascii="方正黑体_GBK" w:hAnsi="方正黑体_GBK" w:eastAsia="方正黑体_GBK" w:cs="方正黑体_GBK"/>
          <w:b w:val="0"/>
          <w:bCs/>
          <w:color w:val="auto"/>
          <w:sz w:val="32"/>
          <w:szCs w:val="32"/>
          <w:shd w:val="clear" w:color="auto" w:fill="FFFFFF"/>
        </w:rPr>
        <w:t>评估对象和内容</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rPr>
      </w:pPr>
      <w:r>
        <w:rPr>
          <w:rFonts w:hint="eastAsia" w:ascii="方正黑体_GBK" w:hAnsi="方正黑体_GBK" w:eastAsia="方正黑体_GBK" w:cs="方正黑体_GBK"/>
          <w:b w:val="0"/>
          <w:bCs w:val="0"/>
          <w:color w:val="000000"/>
          <w:sz w:val="32"/>
          <w:szCs w:val="32"/>
          <w:shd w:val="clear" w:color="auto" w:fill="FFFFFF"/>
        </w:rPr>
        <w:t>第</w:t>
      </w:r>
      <w:r>
        <w:rPr>
          <w:rFonts w:hint="eastAsia" w:ascii="方正黑体_GBK" w:hAnsi="方正黑体_GBK" w:eastAsia="方正黑体_GBK" w:cs="方正黑体_GBK"/>
          <w:b w:val="0"/>
          <w:bCs w:val="0"/>
          <w:color w:val="000000"/>
          <w:sz w:val="32"/>
          <w:szCs w:val="32"/>
          <w:shd w:val="clear" w:color="auto" w:fill="FFFFFF"/>
          <w:lang w:val="en-US" w:eastAsia="zh-CN"/>
        </w:rPr>
        <w:t>四</w:t>
      </w:r>
      <w:r>
        <w:rPr>
          <w:rFonts w:hint="eastAsia" w:ascii="方正黑体_GBK" w:hAnsi="方正黑体_GBK" w:eastAsia="方正黑体_GBK" w:cs="方正黑体_GBK"/>
          <w:b w:val="0"/>
          <w:bCs w:val="0"/>
          <w:color w:val="000000"/>
          <w:sz w:val="32"/>
          <w:szCs w:val="32"/>
          <w:shd w:val="clear" w:color="auto" w:fill="FFFFFF"/>
        </w:rPr>
        <w:t>条</w:t>
      </w:r>
      <w:r>
        <w:rPr>
          <w:rFonts w:hint="eastAsia" w:ascii="方正仿宋_GBK" w:hAnsi="方正仿宋_GBK" w:eastAsia="方正仿宋_GBK" w:cs="方正仿宋_GBK"/>
          <w:b w:val="0"/>
          <w:bCs w:val="0"/>
          <w:color w:val="000000"/>
          <w:sz w:val="32"/>
          <w:szCs w:val="32"/>
          <w:shd w:val="clear" w:color="auto" w:fill="FFFFFF"/>
          <w:lang w:val="en-US" w:eastAsia="zh-CN"/>
        </w:rPr>
        <w:t xml:space="preserve"> </w:t>
      </w:r>
      <w:r>
        <w:rPr>
          <w:rFonts w:hint="eastAsia" w:ascii="方正仿宋_GBK" w:hAnsi="方正仿宋_GBK" w:eastAsia="方正仿宋_GBK" w:cs="方正仿宋_GBK"/>
          <w:b w:val="0"/>
          <w:bCs w:val="0"/>
          <w:color w:val="000000"/>
          <w:sz w:val="32"/>
          <w:szCs w:val="32"/>
          <w:shd w:val="clear" w:color="auto" w:fill="FFFFFF"/>
        </w:rPr>
        <w:t xml:space="preserve"> 营商环境评估工作在自治区党委和政府的领导下，由自治区发展改革委具体组织实施。</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000000"/>
          <w:sz w:val="32"/>
          <w:szCs w:val="32"/>
          <w:shd w:val="clear" w:color="auto" w:fill="FFFFFF"/>
        </w:rPr>
      </w:pPr>
      <w:r>
        <w:rPr>
          <w:rFonts w:hint="eastAsia" w:ascii="方正黑体_GBK" w:hAnsi="方正黑体_GBK" w:eastAsia="方正黑体_GBK" w:cs="方正黑体_GBK"/>
          <w:b w:val="0"/>
          <w:bCs w:val="0"/>
          <w:color w:val="000000"/>
          <w:sz w:val="32"/>
          <w:szCs w:val="32"/>
          <w:shd w:val="clear" w:color="auto" w:fill="FFFFFF"/>
        </w:rPr>
        <w:t>第</w:t>
      </w:r>
      <w:r>
        <w:rPr>
          <w:rFonts w:hint="eastAsia" w:ascii="方正黑体_GBK" w:hAnsi="方正黑体_GBK" w:eastAsia="方正黑体_GBK" w:cs="方正黑体_GBK"/>
          <w:b w:val="0"/>
          <w:bCs w:val="0"/>
          <w:color w:val="000000"/>
          <w:sz w:val="32"/>
          <w:szCs w:val="32"/>
          <w:shd w:val="clear" w:color="auto" w:fill="FFFFFF"/>
          <w:lang w:val="en-US" w:eastAsia="zh-CN"/>
        </w:rPr>
        <w:t>五</w:t>
      </w:r>
      <w:r>
        <w:rPr>
          <w:rFonts w:hint="eastAsia" w:ascii="方正黑体_GBK" w:hAnsi="方正黑体_GBK" w:eastAsia="方正黑体_GBK" w:cs="方正黑体_GBK"/>
          <w:b w:val="0"/>
          <w:bCs w:val="0"/>
          <w:color w:val="000000"/>
          <w:sz w:val="32"/>
          <w:szCs w:val="32"/>
          <w:shd w:val="clear" w:color="auto" w:fill="FFFFFF"/>
        </w:rPr>
        <w:t>条</w:t>
      </w:r>
      <w:r>
        <w:rPr>
          <w:rFonts w:hint="eastAsia" w:ascii="方正仿宋_GBK" w:hAnsi="方正仿宋_GBK" w:eastAsia="方正仿宋_GBK" w:cs="方正仿宋_GBK"/>
          <w:b w:val="0"/>
          <w:bCs w:val="0"/>
          <w:color w:val="000000"/>
          <w:sz w:val="32"/>
          <w:szCs w:val="32"/>
          <w:shd w:val="clear" w:color="auto" w:fill="FFFFFF"/>
        </w:rPr>
        <w:t xml:space="preserve"> </w:t>
      </w:r>
      <w:r>
        <w:rPr>
          <w:rFonts w:hint="eastAsia" w:ascii="方正仿宋_GBK" w:hAnsi="方正仿宋_GBK" w:eastAsia="方正仿宋_GBK" w:cs="方正仿宋_GBK"/>
          <w:b w:val="0"/>
          <w:bCs w:val="0"/>
          <w:color w:val="000000"/>
          <w:sz w:val="32"/>
          <w:szCs w:val="32"/>
          <w:shd w:val="clear" w:color="auto" w:fill="FFFFFF"/>
          <w:lang w:val="en-US" w:eastAsia="zh-CN"/>
        </w:rPr>
        <w:t xml:space="preserve"> </w:t>
      </w:r>
      <w:r>
        <w:rPr>
          <w:rFonts w:hint="eastAsia" w:ascii="方正仿宋_GBK" w:hAnsi="方正仿宋_GBK" w:eastAsia="方正仿宋_GBK" w:cs="方正仿宋_GBK"/>
          <w:b w:val="0"/>
          <w:bCs w:val="0"/>
          <w:color w:val="000000"/>
          <w:sz w:val="32"/>
          <w:szCs w:val="32"/>
          <w:shd w:val="clear" w:color="auto" w:fill="FFFFFF"/>
        </w:rPr>
        <w:t>营商环境评估对象为</w:t>
      </w:r>
      <w:r>
        <w:rPr>
          <w:rFonts w:hint="eastAsia" w:ascii="方正仿宋_GBK" w:hAnsi="方正仿宋_GBK" w:eastAsia="方正仿宋_GBK" w:cs="方正仿宋_GBK"/>
          <w:b w:val="0"/>
          <w:bCs w:val="0"/>
          <w:color w:val="000000"/>
          <w:sz w:val="32"/>
          <w:szCs w:val="32"/>
          <w:shd w:val="clear" w:color="auto" w:fill="FFFFFF"/>
          <w:lang w:val="en-US" w:eastAsia="zh-CN"/>
        </w:rPr>
        <w:t>各</w:t>
      </w:r>
      <w:r>
        <w:rPr>
          <w:rFonts w:hint="eastAsia" w:ascii="方正仿宋_GBK" w:hAnsi="方正仿宋_GBK" w:eastAsia="方正仿宋_GBK" w:cs="方正仿宋_GBK"/>
          <w:b w:val="0"/>
          <w:bCs w:val="0"/>
          <w:color w:val="000000"/>
          <w:sz w:val="32"/>
          <w:szCs w:val="32"/>
          <w:shd w:val="clear" w:color="auto" w:fill="FFFFFF"/>
        </w:rPr>
        <w:t>盟</w:t>
      </w:r>
      <w:r>
        <w:rPr>
          <w:rFonts w:hint="eastAsia" w:ascii="方正仿宋_GBK" w:hAnsi="方正仿宋_GBK" w:eastAsia="方正仿宋_GBK" w:cs="方正仿宋_GBK"/>
          <w:b w:val="0"/>
          <w:bCs w:val="0"/>
          <w:color w:val="000000"/>
          <w:sz w:val="32"/>
          <w:szCs w:val="32"/>
          <w:shd w:val="clear" w:color="auto" w:fill="FFFFFF"/>
          <w:lang w:val="en-US" w:eastAsia="zh-CN"/>
        </w:rPr>
        <w:t>市</w:t>
      </w:r>
      <w:r>
        <w:rPr>
          <w:rFonts w:hint="eastAsia" w:ascii="方正仿宋_GBK" w:hAnsi="方正仿宋_GBK" w:eastAsia="方正仿宋_GBK" w:cs="方正仿宋_GBK"/>
          <w:b w:val="0"/>
          <w:bCs w:val="0"/>
          <w:color w:val="000000"/>
          <w:sz w:val="32"/>
          <w:szCs w:val="32"/>
          <w:shd w:val="clear" w:color="auto" w:fill="FFFFFF"/>
        </w:rPr>
        <w:t>、</w:t>
      </w:r>
      <w:r>
        <w:rPr>
          <w:rFonts w:hint="eastAsia" w:ascii="方正仿宋_GBK" w:hAnsi="方正仿宋_GBK" w:eastAsia="方正仿宋_GBK" w:cs="方正仿宋_GBK"/>
          <w:b w:val="0"/>
          <w:bCs w:val="0"/>
          <w:color w:val="000000"/>
          <w:sz w:val="32"/>
          <w:szCs w:val="32"/>
          <w:shd w:val="clear" w:color="auto" w:fill="FFFFFF"/>
          <w:lang w:val="en-US" w:eastAsia="zh-CN"/>
        </w:rPr>
        <w:t>旗县（市、区）等承担优化营商环境任务的地方和单位。</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000000"/>
          <w:sz w:val="32"/>
          <w:szCs w:val="32"/>
          <w:shd w:val="clear" w:color="auto" w:fill="FFFFFF"/>
        </w:rPr>
        <w:t>第</w:t>
      </w:r>
      <w:r>
        <w:rPr>
          <w:rFonts w:hint="eastAsia" w:ascii="方正黑体_GBK" w:hAnsi="方正黑体_GBK" w:eastAsia="方正黑体_GBK" w:cs="方正黑体_GBK"/>
          <w:b w:val="0"/>
          <w:bCs w:val="0"/>
          <w:color w:val="000000"/>
          <w:sz w:val="32"/>
          <w:szCs w:val="32"/>
          <w:shd w:val="clear" w:color="auto" w:fill="FFFFFF"/>
          <w:lang w:val="en-US" w:eastAsia="zh-CN"/>
        </w:rPr>
        <w:t>六</w:t>
      </w:r>
      <w:r>
        <w:rPr>
          <w:rFonts w:hint="eastAsia" w:ascii="方正黑体_GBK" w:hAnsi="方正黑体_GBK" w:eastAsia="方正黑体_GBK" w:cs="方正黑体_GBK"/>
          <w:b w:val="0"/>
          <w:bCs w:val="0"/>
          <w:color w:val="000000"/>
          <w:sz w:val="32"/>
          <w:szCs w:val="32"/>
          <w:shd w:val="clear" w:color="auto" w:fill="FFFFFF"/>
        </w:rPr>
        <w:t>条</w:t>
      </w:r>
      <w:r>
        <w:rPr>
          <w:rFonts w:hint="eastAsia" w:ascii="方正仿宋_GBK" w:hAnsi="方正仿宋_GBK" w:eastAsia="方正仿宋_GBK" w:cs="方正仿宋_GBK"/>
          <w:b w:val="0"/>
          <w:bCs w:val="0"/>
          <w:color w:val="000000"/>
          <w:sz w:val="32"/>
          <w:szCs w:val="32"/>
          <w:shd w:val="clear" w:color="auto" w:fill="FFFFFF"/>
        </w:rPr>
        <w:t xml:space="preserve"> </w:t>
      </w:r>
      <w:r>
        <w:rPr>
          <w:rFonts w:hint="eastAsia" w:ascii="方正仿宋_GBK" w:hAnsi="方正仿宋_GBK" w:eastAsia="方正仿宋_GBK" w:cs="方正仿宋_GBK"/>
          <w:b w:val="0"/>
          <w:bCs w:val="0"/>
          <w:color w:val="000000"/>
          <w:sz w:val="32"/>
          <w:szCs w:val="32"/>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000000"/>
          <w:spacing w:val="0"/>
          <w:sz w:val="32"/>
          <w:szCs w:val="32"/>
          <w:shd w:val="clear" w:color="auto" w:fill="auto"/>
        </w:rPr>
        <w:t>营商环境评</w:t>
      </w:r>
      <w:r>
        <w:rPr>
          <w:rFonts w:hint="eastAsia" w:ascii="方正仿宋_GBK" w:hAnsi="方正仿宋_GBK" w:eastAsia="方正仿宋_GBK" w:cs="方正仿宋_GBK"/>
          <w:b w:val="0"/>
          <w:bCs w:val="0"/>
          <w:i w:val="0"/>
          <w:iCs w:val="0"/>
          <w:caps w:val="0"/>
          <w:color w:val="000000"/>
          <w:spacing w:val="0"/>
          <w:sz w:val="32"/>
          <w:szCs w:val="32"/>
          <w:shd w:val="clear" w:color="auto" w:fill="auto"/>
          <w:lang w:val="en-US" w:eastAsia="zh-CN"/>
        </w:rPr>
        <w:t>估</w:t>
      </w:r>
      <w:r>
        <w:rPr>
          <w:rFonts w:hint="eastAsia" w:ascii="方正仿宋_GBK" w:hAnsi="方正仿宋_GBK" w:eastAsia="方正仿宋_GBK" w:cs="方正仿宋_GBK"/>
          <w:b w:val="0"/>
          <w:bCs w:val="0"/>
          <w:i w:val="0"/>
          <w:iCs w:val="0"/>
          <w:caps w:val="0"/>
          <w:color w:val="000000"/>
          <w:spacing w:val="0"/>
          <w:sz w:val="32"/>
          <w:szCs w:val="32"/>
          <w:shd w:val="clear" w:color="auto" w:fill="auto"/>
        </w:rPr>
        <w:t>指标体系</w:t>
      </w:r>
      <w:r>
        <w:rPr>
          <w:rFonts w:hint="eastAsia" w:ascii="方正仿宋_GBK" w:hAnsi="方正仿宋_GBK" w:eastAsia="方正仿宋_GBK" w:cs="方正仿宋_GBK"/>
          <w:b w:val="0"/>
          <w:bCs w:val="0"/>
          <w:color w:val="000000"/>
          <w:sz w:val="32"/>
          <w:szCs w:val="32"/>
          <w:shd w:val="clear" w:color="auto" w:fill="auto"/>
          <w:lang w:val="en-US" w:eastAsia="zh-CN"/>
        </w:rPr>
        <w:t>应当</w:t>
      </w:r>
      <w:r>
        <w:rPr>
          <w:rFonts w:hint="eastAsia" w:ascii="方正仿宋_GBK" w:hAnsi="方正仿宋_GBK" w:eastAsia="方正仿宋_GBK" w:cs="方正仿宋_GBK"/>
          <w:b w:val="0"/>
          <w:bCs w:val="0"/>
          <w:color w:val="000000"/>
          <w:sz w:val="32"/>
          <w:szCs w:val="32"/>
          <w:shd w:val="clear" w:color="auto" w:fill="auto"/>
        </w:rPr>
        <w:t>根据</w:t>
      </w:r>
      <w:r>
        <w:rPr>
          <w:rFonts w:hint="eastAsia" w:ascii="方正仿宋_GBK" w:hAnsi="方正仿宋_GBK" w:eastAsia="方正仿宋_GBK" w:cs="方正仿宋_GBK"/>
          <w:b w:val="0"/>
          <w:bCs w:val="0"/>
          <w:color w:val="auto"/>
          <w:sz w:val="32"/>
          <w:szCs w:val="32"/>
          <w:shd w:val="clear" w:color="auto" w:fill="auto"/>
        </w:rPr>
        <w:t>中国营商环境评价指标体系</w:t>
      </w:r>
      <w:r>
        <w:rPr>
          <w:rFonts w:hint="eastAsia" w:ascii="方正仿宋_GBK" w:hAnsi="方正仿宋_GBK" w:eastAsia="方正仿宋_GBK" w:cs="方正仿宋_GBK"/>
          <w:b w:val="0"/>
          <w:bCs w:val="0"/>
          <w:color w:val="auto"/>
          <w:sz w:val="32"/>
          <w:szCs w:val="32"/>
          <w:shd w:val="clear" w:color="auto" w:fill="auto"/>
          <w:lang w:eastAsia="zh-CN"/>
        </w:rPr>
        <w:t>，参考有关国际经验，</w:t>
      </w:r>
      <w:r>
        <w:rPr>
          <w:rFonts w:hint="eastAsia" w:ascii="方正仿宋_GBK" w:hAnsi="方正仿宋_GBK" w:eastAsia="方正仿宋_GBK" w:cs="方正仿宋_GBK"/>
          <w:b w:val="0"/>
          <w:bCs w:val="0"/>
          <w:color w:val="auto"/>
          <w:sz w:val="32"/>
          <w:szCs w:val="32"/>
          <w:shd w:val="clear" w:color="auto" w:fill="auto"/>
          <w:lang w:val="en-US" w:eastAsia="zh-CN"/>
        </w:rPr>
        <w:t>结合自治区特色和实际，</w:t>
      </w:r>
      <w:r>
        <w:rPr>
          <w:rFonts w:hint="eastAsia" w:ascii="方正仿宋_GBK" w:hAnsi="方正仿宋_GBK" w:eastAsia="方正仿宋_GBK" w:cs="方正仿宋_GBK"/>
          <w:b w:val="0"/>
          <w:bCs w:val="0"/>
          <w:color w:val="auto"/>
          <w:sz w:val="32"/>
          <w:szCs w:val="32"/>
          <w:shd w:val="clear" w:color="auto" w:fill="auto"/>
          <w:lang w:eastAsia="zh-CN"/>
        </w:rPr>
        <w:t>按照</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“普遍适用、精细考量、综合评价”的要求，紧密围绕各参评对象的事权，突出简便易行、操作性强</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、创新升级</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的原则</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制定</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lang w:val="en-US" w:eastAsia="zh-CN"/>
        </w:rPr>
        <w:t>并</w:t>
      </w:r>
      <w:r>
        <w:rPr>
          <w:rFonts w:hint="eastAsia" w:ascii="方正仿宋_GBK" w:hAnsi="方正仿宋_GBK" w:eastAsia="方正仿宋_GBK" w:cs="方正仿宋_GBK"/>
          <w:b w:val="0"/>
          <w:bCs w:val="0"/>
          <w:color w:val="auto"/>
          <w:sz w:val="32"/>
          <w:szCs w:val="32"/>
          <w:shd w:val="clear" w:color="auto" w:fill="FFFFFF"/>
        </w:rPr>
        <w:t>根据</w:t>
      </w:r>
      <w:r>
        <w:rPr>
          <w:rFonts w:hint="eastAsia" w:ascii="方正仿宋_GBK" w:hAnsi="方正仿宋_GBK" w:eastAsia="方正仿宋_GBK" w:cs="方正仿宋_GBK"/>
          <w:b w:val="0"/>
          <w:bCs w:val="0"/>
          <w:color w:val="auto"/>
          <w:sz w:val="32"/>
          <w:szCs w:val="32"/>
          <w:shd w:val="clear" w:color="auto" w:fill="FFFFFF"/>
          <w:lang w:val="en-US" w:eastAsia="zh-CN"/>
        </w:rPr>
        <w:t>实际</w:t>
      </w:r>
      <w:r>
        <w:rPr>
          <w:rFonts w:hint="eastAsia" w:ascii="方正仿宋_GBK" w:hAnsi="方正仿宋_GBK" w:eastAsia="方正仿宋_GBK" w:cs="方正仿宋_GBK"/>
          <w:b w:val="0"/>
          <w:bCs w:val="0"/>
          <w:color w:val="auto"/>
          <w:sz w:val="32"/>
          <w:szCs w:val="32"/>
          <w:shd w:val="clear" w:color="auto" w:fill="FFFFFF"/>
        </w:rPr>
        <w:t>情况</w:t>
      </w:r>
      <w:r>
        <w:rPr>
          <w:rFonts w:hint="eastAsia" w:ascii="方正仿宋_GBK" w:hAnsi="方正仿宋_GBK" w:eastAsia="方正仿宋_GBK" w:cs="方正仿宋_GBK"/>
          <w:b w:val="0"/>
          <w:bCs w:val="0"/>
          <w:color w:val="auto"/>
          <w:sz w:val="32"/>
          <w:szCs w:val="32"/>
          <w:shd w:val="clear" w:color="auto" w:fill="FFFFFF"/>
          <w:lang w:val="en-US" w:eastAsia="zh-CN"/>
        </w:rPr>
        <w:t>按年度</w:t>
      </w:r>
      <w:r>
        <w:rPr>
          <w:rFonts w:hint="eastAsia" w:ascii="方正仿宋_GBK" w:hAnsi="方正仿宋_GBK" w:eastAsia="方正仿宋_GBK" w:cs="方正仿宋_GBK"/>
          <w:b w:val="0"/>
          <w:bCs w:val="0"/>
          <w:color w:val="auto"/>
          <w:sz w:val="32"/>
          <w:szCs w:val="32"/>
          <w:shd w:val="clear" w:color="auto" w:fill="FFFFFF"/>
        </w:rPr>
        <w:t>动态调整。</w:t>
      </w:r>
    </w:p>
    <w:p>
      <w:pPr>
        <w:pStyle w:val="8"/>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right="0"/>
        <w:jc w:val="center"/>
        <w:textAlignment w:val="auto"/>
        <w:outlineLvl w:val="0"/>
        <w:rPr>
          <w:rStyle w:val="14"/>
          <w:rFonts w:hint="eastAsia" w:ascii="方正黑体_GBK" w:hAnsi="方正黑体_GBK" w:eastAsia="方正黑体_GBK" w:cs="方正黑体_GBK"/>
          <w:b w:val="0"/>
          <w:bCs/>
          <w:color w:val="auto"/>
          <w:sz w:val="32"/>
          <w:szCs w:val="32"/>
          <w:shd w:val="clear" w:color="auto" w:fill="FFFFFF"/>
        </w:rPr>
      </w:pPr>
      <w:r>
        <w:rPr>
          <w:rStyle w:val="14"/>
          <w:rFonts w:hint="eastAsia" w:ascii="方正黑体_GBK" w:hAnsi="方正黑体_GBK" w:eastAsia="方正黑体_GBK" w:cs="方正黑体_GBK"/>
          <w:b w:val="0"/>
          <w:bCs/>
          <w:color w:val="auto"/>
          <w:sz w:val="32"/>
          <w:szCs w:val="32"/>
          <w:shd w:val="clear" w:color="auto" w:fill="FFFFFF"/>
        </w:rPr>
        <w:t>第三章</w:t>
      </w:r>
      <w:r>
        <w:rPr>
          <w:rStyle w:val="14"/>
          <w:rFonts w:hint="eastAsia" w:ascii="方正黑体_GBK" w:hAnsi="方正黑体_GBK" w:eastAsia="方正黑体_GBK" w:cs="方正黑体_GBK"/>
          <w:b w:val="0"/>
          <w:bCs/>
          <w:color w:val="auto"/>
          <w:sz w:val="32"/>
          <w:szCs w:val="32"/>
          <w:shd w:val="clear" w:color="auto" w:fill="FFFFFF"/>
          <w:lang w:val="en-US" w:eastAsia="zh-CN"/>
        </w:rPr>
        <w:t xml:space="preserve">  </w:t>
      </w:r>
      <w:r>
        <w:rPr>
          <w:rStyle w:val="14"/>
          <w:rFonts w:hint="eastAsia" w:ascii="方正黑体_GBK" w:hAnsi="方正黑体_GBK" w:eastAsia="方正黑体_GBK" w:cs="方正黑体_GBK"/>
          <w:b w:val="0"/>
          <w:bCs/>
          <w:color w:val="auto"/>
          <w:sz w:val="32"/>
          <w:szCs w:val="32"/>
          <w:shd w:val="clear" w:color="auto" w:fill="FFFFFF"/>
        </w:rPr>
        <w:t>评估方法</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w:t>
      </w:r>
      <w:r>
        <w:rPr>
          <w:rFonts w:hint="eastAsia" w:ascii="方正黑体_GBK" w:hAnsi="方正黑体_GBK" w:eastAsia="方正黑体_GBK" w:cs="方正黑体_GBK"/>
          <w:b w:val="0"/>
          <w:bCs w:val="0"/>
          <w:color w:val="auto"/>
          <w:sz w:val="32"/>
          <w:szCs w:val="32"/>
          <w:shd w:val="clear" w:color="auto" w:fill="FFFFFF"/>
          <w:lang w:val="en-US" w:eastAsia="zh-CN"/>
        </w:rPr>
        <w:t>七</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营商环境评估应当以国家发展改革委组织实施的中国营商环境评价方法为基础，</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通过公开招标方式择优选择第三方机构独立开展评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，并确保评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工作的公开、公平、公正。</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lang w:val="en-US" w:eastAsia="zh-CN"/>
        </w:rPr>
        <w:t>第八条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营商环境评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工作于每年</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第四</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季度启动开展，评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周期为</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当</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年度，反映各地</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区当</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年度的营商环境建设水平。</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自治区发展改革委</w:t>
      </w:r>
      <w:r>
        <w:rPr>
          <w:rFonts w:hint="eastAsia" w:ascii="方正仿宋_GBK" w:hAnsi="方正仿宋_GBK" w:eastAsia="方正仿宋_GBK" w:cs="方正仿宋_GBK"/>
          <w:b w:val="0"/>
          <w:bCs w:val="0"/>
          <w:color w:val="auto"/>
          <w:sz w:val="32"/>
          <w:szCs w:val="32"/>
          <w:shd w:val="clear" w:color="auto" w:fill="FFFFFF"/>
          <w:lang w:eastAsia="zh-CN"/>
        </w:rPr>
        <w:t>会同各相关单位</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研究制定评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指标体系和评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标准，并及时向</w:t>
      </w:r>
      <w:r>
        <w:rPr>
          <w:rFonts w:hint="eastAsia" w:ascii="方正仿宋_GBK" w:hAnsi="方正仿宋_GBK" w:eastAsia="方正仿宋_GBK" w:cs="方正仿宋_GBK"/>
          <w:b w:val="0"/>
          <w:bCs w:val="0"/>
          <w:color w:val="auto"/>
          <w:sz w:val="32"/>
          <w:szCs w:val="32"/>
          <w:shd w:val="clear" w:color="auto" w:fill="FFFFFF"/>
          <w:lang w:val="en-US" w:eastAsia="zh-CN"/>
        </w:rPr>
        <w:t>承担优化营商环境任务的地方和单位</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公布。</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lang w:val="en-US" w:eastAsia="zh-CN"/>
        </w:rPr>
        <w:t>第九条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营商环境评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工作</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应当</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强化与国家营商环境</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建设要求</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的衔接</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参</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加国家营商环境评价</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的区内</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城市各项指标评价结果作为</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全区营商环境评估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结果的重要</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参考</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w:t>
      </w:r>
      <w:r>
        <w:rPr>
          <w:rFonts w:hint="eastAsia" w:ascii="方正黑体_GBK" w:hAnsi="方正黑体_GBK" w:eastAsia="方正黑体_GBK" w:cs="方正黑体_GBK"/>
          <w:b w:val="0"/>
          <w:bCs w:val="0"/>
          <w:color w:val="auto"/>
          <w:sz w:val="32"/>
          <w:szCs w:val="32"/>
          <w:shd w:val="clear" w:color="auto" w:fill="FFFFFF"/>
          <w:lang w:val="en-US" w:eastAsia="zh-CN"/>
        </w:rPr>
        <w:t>十</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营商环境评估数据应当包括</w:t>
      </w:r>
      <w:r>
        <w:rPr>
          <w:rFonts w:hint="eastAsia" w:ascii="方正仿宋_GBK" w:hAnsi="方正仿宋_GBK" w:eastAsia="方正仿宋_GBK" w:cs="方正仿宋_GBK"/>
          <w:b w:val="0"/>
          <w:bCs w:val="0"/>
          <w:color w:val="auto"/>
          <w:sz w:val="32"/>
          <w:szCs w:val="32"/>
          <w:shd w:val="clear" w:color="auto" w:fill="FFFFFF"/>
          <w:lang w:eastAsia="zh-CN"/>
        </w:rPr>
        <w:t>各</w:t>
      </w:r>
      <w:r>
        <w:rPr>
          <w:rFonts w:hint="eastAsia" w:ascii="方正仿宋_GBK" w:hAnsi="方正仿宋_GBK" w:eastAsia="方正仿宋_GBK" w:cs="方正仿宋_GBK"/>
          <w:b w:val="0"/>
          <w:bCs w:val="0"/>
          <w:color w:val="auto"/>
          <w:sz w:val="32"/>
          <w:szCs w:val="32"/>
          <w:shd w:val="clear" w:color="auto" w:fill="FFFFFF"/>
        </w:rPr>
        <w:t>盟行政公署、市人民政府</w:t>
      </w:r>
      <w:r>
        <w:rPr>
          <w:rFonts w:hint="eastAsia" w:ascii="方正仿宋_GBK" w:hAnsi="方正仿宋_GBK" w:eastAsia="方正仿宋_GBK" w:cs="方正仿宋_GBK"/>
          <w:b w:val="0"/>
          <w:bCs w:val="0"/>
          <w:color w:val="auto"/>
          <w:sz w:val="32"/>
          <w:szCs w:val="32"/>
          <w:shd w:val="clear" w:color="auto" w:fill="FFFFFF"/>
          <w:lang w:eastAsia="zh-CN"/>
        </w:rPr>
        <w:t>，旗县（市、区）人民政府</w:t>
      </w:r>
      <w:r>
        <w:rPr>
          <w:rFonts w:hint="eastAsia" w:ascii="方正仿宋_GBK" w:hAnsi="方正仿宋_GBK" w:eastAsia="方正仿宋_GBK" w:cs="方正仿宋_GBK"/>
          <w:b w:val="0"/>
          <w:bCs w:val="0"/>
          <w:color w:val="auto"/>
          <w:sz w:val="32"/>
          <w:szCs w:val="32"/>
          <w:shd w:val="clear" w:color="auto" w:fill="FFFFFF"/>
        </w:rPr>
        <w:t>及其部门数据和满意度调查数据。</w:t>
      </w:r>
      <w:r>
        <w:rPr>
          <w:rFonts w:hint="eastAsia" w:ascii="方正仿宋_GBK" w:hAnsi="方正仿宋_GBK" w:eastAsia="方正仿宋_GBK" w:cs="方正仿宋_GBK"/>
          <w:b w:val="0"/>
          <w:bCs w:val="0"/>
          <w:color w:val="auto"/>
          <w:sz w:val="32"/>
          <w:szCs w:val="32"/>
          <w:shd w:val="clear" w:color="auto" w:fill="FFFFFF"/>
          <w:lang w:val="en-US" w:eastAsia="zh-CN"/>
        </w:rPr>
        <w:t>评估</w:t>
      </w:r>
      <w:r>
        <w:rPr>
          <w:rFonts w:hint="eastAsia" w:ascii="方正仿宋_GBK" w:hAnsi="方正仿宋_GBK" w:eastAsia="方正仿宋_GBK" w:cs="方正仿宋_GBK"/>
          <w:b w:val="0"/>
          <w:bCs w:val="0"/>
          <w:color w:val="auto"/>
          <w:sz w:val="32"/>
          <w:szCs w:val="32"/>
          <w:shd w:val="clear" w:color="auto" w:fill="FFFFFF"/>
        </w:rPr>
        <w:t>数据</w:t>
      </w:r>
      <w:r>
        <w:rPr>
          <w:rFonts w:hint="eastAsia" w:ascii="方正仿宋_GBK" w:hAnsi="方正仿宋_GBK" w:eastAsia="方正仿宋_GBK" w:cs="方正仿宋_GBK"/>
          <w:b w:val="0"/>
          <w:bCs w:val="0"/>
          <w:color w:val="auto"/>
          <w:sz w:val="32"/>
          <w:szCs w:val="32"/>
          <w:shd w:val="clear" w:color="auto" w:fill="FFFFFF"/>
          <w:lang w:val="en-US" w:eastAsia="zh-CN"/>
        </w:rPr>
        <w:t>可以通过</w:t>
      </w:r>
      <w:r>
        <w:rPr>
          <w:rFonts w:hint="eastAsia" w:ascii="方正仿宋_GBK" w:hAnsi="方正仿宋_GBK" w:eastAsia="方正仿宋_GBK" w:cs="方正仿宋_GBK"/>
          <w:b w:val="0"/>
          <w:bCs w:val="0"/>
          <w:color w:val="auto"/>
          <w:sz w:val="32"/>
          <w:szCs w:val="32"/>
          <w:shd w:val="clear" w:color="auto" w:fill="FFFFFF"/>
        </w:rPr>
        <w:t>公开数据</w:t>
      </w:r>
      <w:r>
        <w:rPr>
          <w:rFonts w:hint="eastAsia" w:ascii="方正仿宋_GBK" w:hAnsi="方正仿宋_GBK" w:eastAsia="方正仿宋_GBK" w:cs="方正仿宋_GBK"/>
          <w:b w:val="0"/>
          <w:bCs w:val="0"/>
          <w:color w:val="auto"/>
          <w:sz w:val="32"/>
          <w:szCs w:val="32"/>
          <w:shd w:val="clear" w:color="auto" w:fill="FFFFFF"/>
          <w:lang w:val="en-US" w:eastAsia="zh-CN"/>
        </w:rPr>
        <w:t>抓取</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业务</w:t>
      </w:r>
      <w:r>
        <w:rPr>
          <w:rFonts w:hint="eastAsia" w:ascii="方正仿宋_GBK" w:hAnsi="方正仿宋_GBK" w:eastAsia="方正仿宋_GBK" w:cs="方正仿宋_GBK"/>
          <w:b w:val="0"/>
          <w:bCs w:val="0"/>
          <w:color w:val="auto"/>
          <w:sz w:val="32"/>
          <w:szCs w:val="32"/>
          <w:shd w:val="clear" w:color="auto" w:fill="FFFFFF"/>
        </w:rPr>
        <w:t>系统数据调取、</w:t>
      </w:r>
      <w:r>
        <w:rPr>
          <w:rFonts w:hint="eastAsia" w:ascii="方正仿宋_GBK" w:hAnsi="方正仿宋_GBK" w:eastAsia="方正仿宋_GBK" w:cs="方正仿宋_GBK"/>
          <w:b w:val="0"/>
          <w:bCs w:val="0"/>
          <w:color w:val="auto"/>
          <w:sz w:val="32"/>
          <w:szCs w:val="32"/>
          <w:shd w:val="clear" w:color="auto" w:fill="FFFFFF"/>
          <w:lang w:val="en-US" w:eastAsia="zh-CN"/>
        </w:rPr>
        <w:t>部门线上填报</w:t>
      </w:r>
      <w:r>
        <w:rPr>
          <w:rFonts w:hint="eastAsia" w:ascii="方正仿宋_GBK" w:hAnsi="方正仿宋_GBK" w:eastAsia="方正仿宋_GBK" w:cs="方正仿宋_GBK"/>
          <w:b w:val="0"/>
          <w:bCs w:val="0"/>
          <w:color w:val="auto"/>
          <w:sz w:val="32"/>
          <w:szCs w:val="32"/>
          <w:shd w:val="clear" w:color="auto" w:fill="FFFFFF"/>
        </w:rPr>
        <w:t>等方式获取</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lang w:val="en-US" w:eastAsia="zh-CN"/>
        </w:rPr>
        <w:t>尤其应当加强与区直部门业务系统的对接，直接调取参评盟市的数据，以减轻地方数据填报压力。满意度调查数据应当通过12345政务服务便民热线、96888内蒙古民营企业服务热线、蒙企通民营企业综合服务平台、内蒙古中小企业公共服务平台等渠道获取，并</w:t>
      </w:r>
      <w:r>
        <w:rPr>
          <w:rFonts w:hint="eastAsia" w:ascii="方正仿宋_GBK" w:hAnsi="方正仿宋_GBK" w:eastAsia="方正仿宋_GBK" w:cs="方正仿宋_GBK"/>
          <w:b w:val="0"/>
          <w:bCs w:val="0"/>
          <w:color w:val="auto"/>
          <w:sz w:val="32"/>
          <w:szCs w:val="32"/>
          <w:shd w:val="clear" w:color="auto" w:fill="FFFFFF"/>
          <w:lang w:eastAsia="zh-CN"/>
        </w:rPr>
        <w:t>结合</w:t>
      </w:r>
      <w:r>
        <w:rPr>
          <w:rFonts w:hint="eastAsia" w:ascii="方正仿宋_GBK" w:hAnsi="方正仿宋_GBK" w:eastAsia="方正仿宋_GBK" w:cs="方正仿宋_GBK"/>
          <w:b w:val="0"/>
          <w:bCs w:val="0"/>
          <w:color w:val="auto"/>
          <w:sz w:val="32"/>
          <w:szCs w:val="32"/>
          <w:shd w:val="clear" w:color="auto" w:fill="FFFFFF"/>
        </w:rPr>
        <w:t>问卷调查、</w:t>
      </w:r>
      <w:r>
        <w:rPr>
          <w:rFonts w:hint="eastAsia" w:ascii="方正仿宋_GBK" w:hAnsi="方正仿宋_GBK" w:eastAsia="方正仿宋_GBK" w:cs="方正仿宋_GBK"/>
          <w:b w:val="0"/>
          <w:bCs w:val="0"/>
          <w:color w:val="auto"/>
          <w:sz w:val="32"/>
          <w:szCs w:val="32"/>
          <w:shd w:val="clear" w:color="auto" w:fill="FFFFFF"/>
          <w:lang w:val="en-US" w:eastAsia="zh-CN"/>
        </w:rPr>
        <w:t>电话回访、企业访谈、明察暗访</w:t>
      </w:r>
      <w:r>
        <w:rPr>
          <w:rFonts w:hint="eastAsia" w:ascii="方正仿宋_GBK" w:hAnsi="方正仿宋_GBK" w:eastAsia="方正仿宋_GBK" w:cs="方正仿宋_GBK"/>
          <w:b w:val="0"/>
          <w:bCs w:val="0"/>
          <w:color w:val="auto"/>
          <w:sz w:val="32"/>
          <w:szCs w:val="32"/>
          <w:shd w:val="clear" w:color="auto" w:fill="FFFFFF"/>
        </w:rPr>
        <w:t>等方式</w:t>
      </w:r>
      <w:r>
        <w:rPr>
          <w:rFonts w:hint="eastAsia" w:ascii="方正仿宋_GBK" w:hAnsi="方正仿宋_GBK" w:eastAsia="方正仿宋_GBK" w:cs="方正仿宋_GBK"/>
          <w:b w:val="0"/>
          <w:bCs w:val="0"/>
          <w:color w:val="auto"/>
          <w:sz w:val="32"/>
          <w:szCs w:val="32"/>
          <w:shd w:val="clear" w:color="auto" w:fill="FFFFFF"/>
          <w:lang w:val="en-US" w:eastAsia="zh-CN"/>
        </w:rPr>
        <w:t>多方位</w:t>
      </w:r>
      <w:r>
        <w:rPr>
          <w:rFonts w:hint="eastAsia" w:ascii="方正仿宋_GBK" w:hAnsi="方正仿宋_GBK" w:eastAsia="方正仿宋_GBK" w:cs="方正仿宋_GBK"/>
          <w:b w:val="0"/>
          <w:bCs w:val="0"/>
          <w:color w:val="auto"/>
          <w:sz w:val="32"/>
          <w:szCs w:val="32"/>
          <w:shd w:val="clear" w:color="auto" w:fill="FFFFFF"/>
        </w:rPr>
        <w:t>获取</w:t>
      </w:r>
      <w:r>
        <w:rPr>
          <w:rFonts w:hint="eastAsia" w:ascii="方正仿宋_GBK" w:hAnsi="方正仿宋_GBK" w:eastAsia="方正仿宋_GBK" w:cs="方正仿宋_GBK"/>
          <w:b w:val="0"/>
          <w:bCs w:val="0"/>
          <w:color w:val="auto"/>
          <w:sz w:val="32"/>
          <w:szCs w:val="32"/>
          <w:shd w:val="clear" w:color="auto" w:fill="FFFFFF"/>
          <w:lang w:val="en-US" w:eastAsia="zh-CN"/>
        </w:rPr>
        <w:t>企业、群众真实感受</w:t>
      </w:r>
      <w:r>
        <w:rPr>
          <w:rFonts w:hint="eastAsia" w:ascii="方正仿宋_GBK" w:hAnsi="方正仿宋_GBK" w:eastAsia="方正仿宋_GBK" w:cs="方正仿宋_GBK"/>
          <w:b w:val="0"/>
          <w:bCs w:val="0"/>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shd w:val="clear" w:color="auto" w:fill="auto"/>
        </w:rPr>
      </w:pPr>
      <w:r>
        <w:rPr>
          <w:rFonts w:hint="eastAsia" w:ascii="方正黑体_GBK" w:hAnsi="方正黑体_GBK" w:eastAsia="方正黑体_GBK" w:cs="方正黑体_GBK"/>
          <w:b w:val="0"/>
          <w:bCs w:val="0"/>
          <w:color w:val="auto"/>
          <w:sz w:val="32"/>
          <w:szCs w:val="32"/>
          <w:shd w:val="clear" w:color="auto" w:fill="FFFFFF"/>
        </w:rPr>
        <w:t>第</w:t>
      </w:r>
      <w:r>
        <w:rPr>
          <w:rFonts w:hint="eastAsia" w:ascii="方正黑体_GBK" w:hAnsi="方正黑体_GBK" w:eastAsia="方正黑体_GBK" w:cs="方正黑体_GBK"/>
          <w:b w:val="0"/>
          <w:bCs w:val="0"/>
          <w:color w:val="auto"/>
          <w:sz w:val="32"/>
          <w:szCs w:val="32"/>
          <w:shd w:val="clear" w:color="auto" w:fill="FFFFFF"/>
          <w:lang w:val="en-US" w:eastAsia="zh-CN"/>
        </w:rPr>
        <w:t>十一</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 xml:space="preserve"> 满意度调查不得影响</w:t>
      </w:r>
      <w:r>
        <w:rPr>
          <w:rFonts w:hint="eastAsia" w:ascii="方正仿宋_GBK" w:hAnsi="方正仿宋_GBK" w:eastAsia="方正仿宋_GBK" w:cs="方正仿宋_GBK"/>
          <w:b w:val="0"/>
          <w:bCs w:val="0"/>
          <w:color w:val="auto"/>
          <w:sz w:val="32"/>
          <w:szCs w:val="32"/>
          <w:shd w:val="clear" w:color="auto" w:fill="FFFFFF"/>
          <w:lang w:eastAsia="zh-CN"/>
        </w:rPr>
        <w:t>经营</w:t>
      </w:r>
      <w:r>
        <w:rPr>
          <w:rFonts w:hint="eastAsia" w:ascii="方正仿宋_GBK" w:hAnsi="方正仿宋_GBK" w:eastAsia="方正仿宋_GBK" w:cs="方正仿宋_GBK"/>
          <w:b w:val="0"/>
          <w:bCs w:val="0"/>
          <w:color w:val="auto"/>
          <w:sz w:val="32"/>
          <w:szCs w:val="32"/>
          <w:shd w:val="clear" w:color="auto" w:fill="FFFFFF"/>
        </w:rPr>
        <w:t>主体</w:t>
      </w:r>
      <w:r>
        <w:rPr>
          <w:rFonts w:hint="eastAsia" w:ascii="方正仿宋_GBK" w:hAnsi="方正仿宋_GBK" w:eastAsia="方正仿宋_GBK" w:cs="方正仿宋_GBK"/>
          <w:b w:val="0"/>
          <w:bCs w:val="0"/>
          <w:color w:val="auto"/>
          <w:sz w:val="32"/>
          <w:szCs w:val="32"/>
          <w:shd w:val="clear" w:color="auto" w:fill="FFFFFF"/>
          <w:lang w:eastAsia="zh-CN"/>
        </w:rPr>
        <w:t>的</w:t>
      </w:r>
      <w:r>
        <w:rPr>
          <w:rFonts w:hint="eastAsia" w:ascii="方正仿宋_GBK" w:hAnsi="方正仿宋_GBK" w:eastAsia="方正仿宋_GBK" w:cs="方正仿宋_GBK"/>
          <w:b w:val="0"/>
          <w:bCs w:val="0"/>
          <w:color w:val="auto"/>
          <w:sz w:val="32"/>
          <w:szCs w:val="32"/>
          <w:shd w:val="clear" w:color="auto" w:fill="FFFFFF"/>
        </w:rPr>
        <w:t>正常生产经营</w:t>
      </w:r>
      <w:r>
        <w:rPr>
          <w:rFonts w:hint="eastAsia" w:ascii="方正仿宋_GBK" w:hAnsi="方正仿宋_GBK" w:eastAsia="方正仿宋_GBK" w:cs="方正仿宋_GBK"/>
          <w:b w:val="0"/>
          <w:bCs w:val="0"/>
          <w:color w:val="auto"/>
          <w:sz w:val="32"/>
          <w:szCs w:val="32"/>
          <w:shd w:val="clear" w:color="auto" w:fill="FFFFFF"/>
          <w:lang w:eastAsia="zh-CN"/>
        </w:rPr>
        <w:t>。经营</w:t>
      </w:r>
      <w:r>
        <w:rPr>
          <w:rFonts w:hint="eastAsia" w:ascii="方正仿宋_GBK" w:hAnsi="方正仿宋_GBK" w:eastAsia="方正仿宋_GBK" w:cs="方正仿宋_GBK"/>
          <w:b w:val="0"/>
          <w:bCs w:val="0"/>
          <w:color w:val="auto"/>
          <w:sz w:val="32"/>
          <w:szCs w:val="32"/>
          <w:shd w:val="clear" w:color="auto" w:fill="FFFFFF"/>
        </w:rPr>
        <w:t>主体自主参与评估调查和反映情况</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参评地方不得干预。</w:t>
      </w:r>
      <w:r>
        <w:rPr>
          <w:rFonts w:hint="eastAsia" w:ascii="方正仿宋_GBK" w:hAnsi="方正仿宋_GBK" w:eastAsia="方正仿宋_GBK" w:cs="方正仿宋_GBK"/>
          <w:b w:val="0"/>
          <w:bCs w:val="0"/>
          <w:i w:val="0"/>
          <w:iCs w:val="0"/>
          <w:caps w:val="0"/>
          <w:color w:val="auto"/>
          <w:spacing w:val="0"/>
          <w:sz w:val="32"/>
          <w:szCs w:val="32"/>
          <w:shd w:val="clear" w:color="auto" w:fill="auto"/>
        </w:rPr>
        <w:t>对不同所有制、不同行业、不同规模、不同开办时间的企业，按相应比例分层随机抽取样本企业，从政策落实、优化成效、服务质量、工作作风等方面对各地</w:t>
      </w:r>
      <w:r>
        <w:rPr>
          <w:rFonts w:hint="eastAsia" w:ascii="方正仿宋_GBK" w:hAnsi="方正仿宋_GBK" w:eastAsia="方正仿宋_GBK" w:cs="方正仿宋_GBK"/>
          <w:b w:val="0"/>
          <w:bCs w:val="0"/>
          <w:i w:val="0"/>
          <w:iCs w:val="0"/>
          <w:caps w:val="0"/>
          <w:color w:val="auto"/>
          <w:spacing w:val="0"/>
          <w:sz w:val="32"/>
          <w:szCs w:val="32"/>
          <w:shd w:val="clear" w:color="auto" w:fill="auto"/>
          <w:lang w:eastAsia="zh-CN"/>
        </w:rPr>
        <w:t>区</w:t>
      </w:r>
      <w:r>
        <w:rPr>
          <w:rFonts w:hint="eastAsia" w:ascii="方正仿宋_GBK" w:hAnsi="方正仿宋_GBK" w:eastAsia="方正仿宋_GBK" w:cs="方正仿宋_GBK"/>
          <w:b w:val="0"/>
          <w:bCs w:val="0"/>
          <w:i w:val="0"/>
          <w:iCs w:val="0"/>
          <w:caps w:val="0"/>
          <w:color w:val="auto"/>
          <w:spacing w:val="0"/>
          <w:sz w:val="32"/>
          <w:szCs w:val="32"/>
          <w:shd w:val="clear" w:color="auto" w:fill="auto"/>
        </w:rPr>
        <w:t>营商环境进行满意度评价。</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shd w:val="clear" w:color="auto" w:fill="FFFFFF"/>
        </w:rPr>
        <w:t>第</w:t>
      </w:r>
      <w:r>
        <w:rPr>
          <w:rFonts w:hint="eastAsia" w:ascii="方正黑体_GBK" w:hAnsi="方正黑体_GBK" w:eastAsia="方正黑体_GBK" w:cs="方正黑体_GBK"/>
          <w:b w:val="0"/>
          <w:bCs w:val="0"/>
          <w:color w:val="auto"/>
          <w:sz w:val="32"/>
          <w:szCs w:val="32"/>
          <w:shd w:val="clear" w:color="auto" w:fill="FFFFFF"/>
          <w:lang w:val="en-US" w:eastAsia="zh-CN"/>
        </w:rPr>
        <w:t>十二</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 xml:space="preserve"> 营商环境评估获取的数据采用</w:t>
      </w:r>
      <w:r>
        <w:rPr>
          <w:rFonts w:hint="eastAsia" w:ascii="方正仿宋_GBK" w:hAnsi="方正仿宋_GBK" w:eastAsia="方正仿宋_GBK" w:cs="方正仿宋_GBK"/>
          <w:b w:val="0"/>
          <w:bCs w:val="0"/>
          <w:color w:val="auto"/>
          <w:sz w:val="32"/>
          <w:szCs w:val="32"/>
          <w:shd w:val="clear" w:color="auto" w:fill="FFFFFF"/>
          <w:lang w:val="en-US" w:eastAsia="zh-CN"/>
        </w:rPr>
        <w:t>营商环境监测</w:t>
      </w:r>
      <w:r>
        <w:rPr>
          <w:rFonts w:hint="eastAsia" w:ascii="方正仿宋_GBK" w:hAnsi="方正仿宋_GBK" w:eastAsia="方正仿宋_GBK" w:cs="方正仿宋_GBK"/>
          <w:b w:val="0"/>
          <w:bCs w:val="0"/>
          <w:color w:val="auto"/>
          <w:sz w:val="32"/>
          <w:szCs w:val="32"/>
          <w:shd w:val="clear" w:color="auto" w:fill="FFFFFF"/>
        </w:rPr>
        <w:t>分析系统进行校验，对办理环节、时间、成本等情况进行全链条复核校对，交叉印证部门和企业填报数据，剔除异常数据，补充缺失数据，确保调查数据真实完整客观、评估结果实事求是。</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4"/>
          <w:rFonts w:hint="eastAsia" w:ascii="方正仿宋_GBK" w:hAnsi="方正仿宋_GBK" w:eastAsia="方正仿宋_GBK" w:cs="方正仿宋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第十</w:t>
      </w:r>
      <w:r>
        <w:rPr>
          <w:rFonts w:hint="eastAsia" w:ascii="方正黑体_GBK" w:hAnsi="方正黑体_GBK" w:eastAsia="方正黑体_GBK" w:cs="方正黑体_GBK"/>
          <w:b w:val="0"/>
          <w:bCs w:val="0"/>
          <w:color w:val="auto"/>
          <w:sz w:val="32"/>
          <w:szCs w:val="32"/>
          <w:shd w:val="clear" w:color="auto" w:fill="FFFFFF"/>
          <w:lang w:val="en-US" w:eastAsia="zh-CN"/>
        </w:rPr>
        <w:t>三</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营商环境</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估方法</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采用国际通用的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前沿距离</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法，测算参评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盟</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市</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lang w:eastAsia="zh-CN"/>
        </w:rPr>
        <w:t>旗县（市、区）</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各项指标得分</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。营商环境评估最终得分采用百分制，由</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指标得分和满意度得分组成。其中，一级指标总计得分按70%权重纳入最终得分</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满意度测算</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得分</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按照</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3</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0%权重纳入最终得分。</w:t>
      </w:r>
    </w:p>
    <w:p>
      <w:pPr>
        <w:pStyle w:val="8"/>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right="0"/>
        <w:jc w:val="center"/>
        <w:textAlignment w:val="auto"/>
        <w:outlineLvl w:val="0"/>
        <w:rPr>
          <w:rStyle w:val="14"/>
          <w:rFonts w:hint="eastAsia" w:ascii="方正黑体_GBK" w:hAnsi="方正黑体_GBK" w:eastAsia="方正黑体_GBK" w:cs="方正黑体_GBK"/>
          <w:b w:val="0"/>
          <w:bCs/>
          <w:color w:val="auto"/>
          <w:sz w:val="32"/>
          <w:szCs w:val="32"/>
          <w:shd w:val="clear" w:color="auto" w:fill="FFFFFF"/>
        </w:rPr>
      </w:pPr>
      <w:r>
        <w:rPr>
          <w:rStyle w:val="14"/>
          <w:rFonts w:hint="eastAsia" w:ascii="方正黑体_GBK" w:hAnsi="方正黑体_GBK" w:eastAsia="方正黑体_GBK" w:cs="方正黑体_GBK"/>
          <w:b w:val="0"/>
          <w:bCs/>
          <w:color w:val="auto"/>
          <w:sz w:val="32"/>
          <w:szCs w:val="32"/>
          <w:shd w:val="clear" w:color="auto" w:fill="FFFFFF"/>
        </w:rPr>
        <w:t xml:space="preserve">第四章 </w:t>
      </w:r>
      <w:r>
        <w:rPr>
          <w:rStyle w:val="14"/>
          <w:rFonts w:hint="eastAsia" w:ascii="方正黑体_GBK" w:hAnsi="方正黑体_GBK" w:eastAsia="方正黑体_GBK" w:cs="方正黑体_GBK"/>
          <w:b w:val="0"/>
          <w:bCs/>
          <w:color w:val="auto"/>
          <w:sz w:val="32"/>
          <w:szCs w:val="32"/>
          <w:shd w:val="clear" w:color="auto" w:fill="FFFFFF"/>
          <w:lang w:val="en-US" w:eastAsia="zh-CN"/>
        </w:rPr>
        <w:t xml:space="preserve"> </w:t>
      </w:r>
      <w:r>
        <w:rPr>
          <w:rStyle w:val="14"/>
          <w:rFonts w:hint="eastAsia" w:ascii="方正黑体_GBK" w:hAnsi="方正黑体_GBK" w:eastAsia="方正黑体_GBK" w:cs="方正黑体_GBK"/>
          <w:b w:val="0"/>
          <w:bCs/>
          <w:color w:val="auto"/>
          <w:sz w:val="32"/>
          <w:szCs w:val="32"/>
          <w:shd w:val="clear" w:color="auto" w:fill="FFFFFF"/>
        </w:rPr>
        <w:t>结果运用</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第十</w:t>
      </w:r>
      <w:r>
        <w:rPr>
          <w:rFonts w:hint="eastAsia" w:ascii="方正黑体_GBK" w:hAnsi="方正黑体_GBK" w:eastAsia="方正黑体_GBK" w:cs="方正黑体_GBK"/>
          <w:b w:val="0"/>
          <w:bCs w:val="0"/>
          <w:color w:val="auto"/>
          <w:sz w:val="32"/>
          <w:szCs w:val="32"/>
          <w:shd w:val="clear" w:color="auto" w:fill="FFFFFF"/>
          <w:lang w:val="en-US" w:eastAsia="zh-CN"/>
        </w:rPr>
        <w:t>四</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营商环境评估纳入自治区对盟市绩效考核</w:t>
      </w:r>
      <w:r>
        <w:rPr>
          <w:rFonts w:hint="eastAsia" w:ascii="方正仿宋_GBK" w:hAnsi="方正仿宋_GBK" w:eastAsia="方正仿宋_GBK" w:cs="方正仿宋_GBK"/>
          <w:b w:val="0"/>
          <w:bCs w:val="0"/>
          <w:color w:val="auto"/>
          <w:sz w:val="32"/>
          <w:szCs w:val="32"/>
          <w:shd w:val="clear" w:color="auto" w:fill="FFFFFF"/>
          <w:lang w:eastAsia="zh-CN"/>
        </w:rPr>
        <w:t>指标</w:t>
      </w:r>
      <w:r>
        <w:rPr>
          <w:rFonts w:hint="eastAsia" w:ascii="方正仿宋_GBK" w:hAnsi="方正仿宋_GBK" w:eastAsia="方正仿宋_GBK" w:cs="方正仿宋_GBK"/>
          <w:b w:val="0"/>
          <w:bCs w:val="0"/>
          <w:color w:val="auto"/>
          <w:sz w:val="32"/>
          <w:szCs w:val="32"/>
          <w:shd w:val="clear" w:color="auto" w:fill="FFFFFF"/>
        </w:rPr>
        <w:t>体系，结果</w:t>
      </w:r>
      <w:r>
        <w:rPr>
          <w:rFonts w:hint="eastAsia" w:ascii="方正仿宋_GBK" w:hAnsi="方正仿宋_GBK" w:eastAsia="方正仿宋_GBK" w:cs="方正仿宋_GBK"/>
          <w:b w:val="0"/>
          <w:bCs w:val="0"/>
          <w:color w:val="auto"/>
          <w:sz w:val="32"/>
          <w:szCs w:val="32"/>
          <w:shd w:val="clear" w:color="auto" w:fill="FFFFFF"/>
          <w:lang w:val="en-US" w:eastAsia="zh-CN"/>
        </w:rPr>
        <w:t>即为盟市</w:t>
      </w:r>
      <w:r>
        <w:rPr>
          <w:rFonts w:hint="eastAsia" w:ascii="方正仿宋_GBK" w:hAnsi="方正仿宋_GBK" w:eastAsia="方正仿宋_GBK" w:cs="方正仿宋_GBK"/>
          <w:b w:val="0"/>
          <w:bCs w:val="0"/>
          <w:color w:val="auto"/>
          <w:sz w:val="32"/>
          <w:szCs w:val="32"/>
          <w:shd w:val="clear" w:color="auto" w:fill="FFFFFF"/>
        </w:rPr>
        <w:t>营商便利度，</w:t>
      </w:r>
      <w:r>
        <w:rPr>
          <w:rFonts w:hint="eastAsia" w:ascii="方正仿宋_GBK" w:hAnsi="方正仿宋_GBK" w:eastAsia="方正仿宋_GBK" w:cs="方正仿宋_GBK"/>
          <w:b w:val="0"/>
          <w:bCs w:val="0"/>
          <w:color w:val="auto"/>
          <w:sz w:val="32"/>
          <w:szCs w:val="32"/>
          <w:shd w:val="clear" w:color="auto" w:fill="FFFFFF"/>
          <w:lang w:val="en-US" w:eastAsia="zh-CN"/>
        </w:rPr>
        <w:t>并将考核结果作为领导班子和有关领导干部综合考核评价的重要依据，</w:t>
      </w:r>
      <w:r>
        <w:rPr>
          <w:rFonts w:hint="eastAsia" w:ascii="方正仿宋_GBK" w:hAnsi="方正仿宋_GBK" w:eastAsia="方正仿宋_GBK" w:cs="方正仿宋_GBK"/>
          <w:b w:val="0"/>
          <w:bCs w:val="0"/>
          <w:color w:val="auto"/>
          <w:sz w:val="32"/>
          <w:szCs w:val="32"/>
          <w:shd w:val="clear" w:color="auto" w:fill="FFFFFF"/>
        </w:rPr>
        <w:t>具体</w:t>
      </w:r>
      <w:r>
        <w:rPr>
          <w:rFonts w:hint="eastAsia" w:ascii="方正仿宋_GBK" w:hAnsi="方正仿宋_GBK" w:eastAsia="方正仿宋_GBK" w:cs="方正仿宋_GBK"/>
          <w:b w:val="0"/>
          <w:bCs w:val="0"/>
          <w:color w:val="auto"/>
          <w:sz w:val="32"/>
          <w:szCs w:val="32"/>
          <w:shd w:val="clear" w:color="auto" w:fill="FFFFFF"/>
          <w:lang w:eastAsia="zh-CN"/>
        </w:rPr>
        <w:t>考核评价</w:t>
      </w:r>
      <w:r>
        <w:rPr>
          <w:rFonts w:hint="eastAsia" w:ascii="方正仿宋_GBK" w:hAnsi="方正仿宋_GBK" w:eastAsia="方正仿宋_GBK" w:cs="方正仿宋_GBK"/>
          <w:b w:val="0"/>
          <w:bCs w:val="0"/>
          <w:color w:val="auto"/>
          <w:sz w:val="32"/>
          <w:szCs w:val="32"/>
          <w:shd w:val="clear" w:color="auto" w:fill="FFFFFF"/>
        </w:rPr>
        <w:t>工作由自治区发展改革委牵头组织实施。评估结果应当以适当方式</w:t>
      </w:r>
      <w:r>
        <w:rPr>
          <w:rFonts w:hint="eastAsia" w:ascii="方正仿宋_GBK" w:hAnsi="方正仿宋_GBK" w:eastAsia="方正仿宋_GBK" w:cs="方正仿宋_GBK"/>
          <w:b w:val="0"/>
          <w:bCs w:val="0"/>
          <w:color w:val="auto"/>
          <w:sz w:val="32"/>
          <w:szCs w:val="32"/>
          <w:shd w:val="clear" w:color="auto" w:fill="FFFFFF"/>
          <w:lang w:eastAsia="zh-CN"/>
        </w:rPr>
        <w:t>予以</w:t>
      </w:r>
      <w:r>
        <w:rPr>
          <w:rFonts w:hint="eastAsia" w:ascii="方正仿宋_GBK" w:hAnsi="方正仿宋_GBK" w:eastAsia="方正仿宋_GBK" w:cs="方正仿宋_GBK"/>
          <w:b w:val="0"/>
          <w:bCs w:val="0"/>
          <w:color w:val="auto"/>
          <w:sz w:val="32"/>
          <w:szCs w:val="32"/>
          <w:shd w:val="clear" w:color="auto" w:fill="FFFFFF"/>
        </w:rPr>
        <w:t>公布或通报。</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shd w:val="clear" w:color="auto" w:fill="FFFFFF"/>
        </w:rPr>
        <w:t>第十</w:t>
      </w:r>
      <w:r>
        <w:rPr>
          <w:rFonts w:hint="eastAsia" w:ascii="方正黑体_GBK" w:hAnsi="方正黑体_GBK" w:eastAsia="方正黑体_GBK" w:cs="方正黑体_GBK"/>
          <w:b w:val="0"/>
          <w:bCs w:val="0"/>
          <w:color w:val="auto"/>
          <w:sz w:val="32"/>
          <w:szCs w:val="32"/>
          <w:shd w:val="clear" w:color="auto" w:fill="FFFFFF"/>
          <w:lang w:val="en-US" w:eastAsia="zh-CN"/>
        </w:rPr>
        <w:t>五</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营商环境评估应当</w:t>
      </w:r>
      <w:r>
        <w:rPr>
          <w:rFonts w:hint="eastAsia" w:ascii="方正仿宋_GBK" w:hAnsi="方正仿宋_GBK" w:eastAsia="方正仿宋_GBK" w:cs="方正仿宋_GBK"/>
          <w:b w:val="0"/>
          <w:bCs w:val="0"/>
          <w:color w:val="auto"/>
          <w:sz w:val="32"/>
          <w:szCs w:val="32"/>
          <w:shd w:val="clear" w:color="auto" w:fill="FFFFFF"/>
          <w:lang w:val="en-US" w:eastAsia="zh-CN"/>
        </w:rPr>
        <w:t>系统</w:t>
      </w:r>
      <w:r>
        <w:rPr>
          <w:rFonts w:hint="eastAsia" w:ascii="方正仿宋_GBK" w:hAnsi="方正仿宋_GBK" w:eastAsia="方正仿宋_GBK" w:cs="方正仿宋_GBK"/>
          <w:b w:val="0"/>
          <w:bCs w:val="0"/>
          <w:color w:val="auto"/>
          <w:sz w:val="32"/>
          <w:szCs w:val="32"/>
          <w:shd w:val="clear" w:color="auto" w:fill="FFFFFF"/>
        </w:rPr>
        <w:t>梳理</w:t>
      </w:r>
      <w:r>
        <w:rPr>
          <w:rFonts w:hint="eastAsia" w:ascii="方正仿宋_GBK" w:hAnsi="方正仿宋_GBK" w:eastAsia="方正仿宋_GBK" w:cs="方正仿宋_GBK"/>
          <w:b w:val="0"/>
          <w:bCs w:val="0"/>
          <w:color w:val="auto"/>
          <w:sz w:val="32"/>
          <w:szCs w:val="32"/>
          <w:shd w:val="clear" w:color="auto" w:fill="FFFFFF"/>
          <w:lang w:val="en-US" w:eastAsia="zh-CN"/>
        </w:rPr>
        <w:t>企业群众</w:t>
      </w:r>
      <w:r>
        <w:rPr>
          <w:rFonts w:hint="eastAsia" w:ascii="方正仿宋_GBK" w:hAnsi="方正仿宋_GBK" w:eastAsia="方正仿宋_GBK" w:cs="方正仿宋_GBK"/>
          <w:b w:val="0"/>
          <w:bCs w:val="0"/>
          <w:color w:val="auto"/>
          <w:sz w:val="32"/>
          <w:szCs w:val="32"/>
          <w:shd w:val="clear" w:color="auto" w:fill="FFFFFF"/>
        </w:rPr>
        <w:t>反映的问题，对个性问题及时反馈</w:t>
      </w:r>
      <w:r>
        <w:rPr>
          <w:rFonts w:hint="eastAsia" w:ascii="方正仿宋_GBK" w:hAnsi="方正仿宋_GBK" w:eastAsia="方正仿宋_GBK" w:cs="方正仿宋_GBK"/>
          <w:b w:val="0"/>
          <w:bCs w:val="0"/>
          <w:color w:val="auto"/>
          <w:sz w:val="32"/>
          <w:szCs w:val="32"/>
          <w:shd w:val="clear" w:color="auto" w:fill="FFFFFF"/>
          <w:lang w:eastAsia="zh-CN"/>
        </w:rPr>
        <w:t>相关</w:t>
      </w:r>
      <w:r>
        <w:rPr>
          <w:rFonts w:hint="eastAsia" w:ascii="方正仿宋_GBK" w:hAnsi="方正仿宋_GBK" w:eastAsia="方正仿宋_GBK" w:cs="方正仿宋_GBK"/>
          <w:b w:val="0"/>
          <w:bCs w:val="0"/>
          <w:color w:val="auto"/>
          <w:sz w:val="32"/>
          <w:szCs w:val="32"/>
          <w:shd w:val="clear" w:color="auto" w:fill="FFFFFF"/>
        </w:rPr>
        <w:t>地区整改，对共性问题协同自治区有关部门提出优化建议，推动各地区各部门以评促改、补齐短板。</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pacing w:val="-6"/>
          <w:sz w:val="32"/>
          <w:szCs w:val="32"/>
        </w:rPr>
      </w:pPr>
      <w:r>
        <w:rPr>
          <w:rFonts w:hint="eastAsia" w:ascii="方正黑体_GBK" w:hAnsi="方正黑体_GBK" w:eastAsia="方正黑体_GBK" w:cs="方正黑体_GBK"/>
          <w:b w:val="0"/>
          <w:bCs w:val="0"/>
          <w:color w:val="auto"/>
          <w:sz w:val="32"/>
          <w:szCs w:val="32"/>
          <w:shd w:val="clear" w:color="auto" w:fill="FFFFFF"/>
        </w:rPr>
        <w:t>第十</w:t>
      </w:r>
      <w:r>
        <w:rPr>
          <w:rFonts w:hint="eastAsia" w:ascii="方正黑体_GBK" w:hAnsi="方正黑体_GBK" w:eastAsia="方正黑体_GBK" w:cs="方正黑体_GBK"/>
          <w:b w:val="0"/>
          <w:bCs w:val="0"/>
          <w:color w:val="auto"/>
          <w:sz w:val="32"/>
          <w:szCs w:val="32"/>
          <w:shd w:val="clear" w:color="auto" w:fill="FFFFFF"/>
          <w:lang w:val="en-US" w:eastAsia="zh-CN"/>
        </w:rPr>
        <w:t>六</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pacing w:val="-6"/>
          <w:sz w:val="32"/>
          <w:szCs w:val="32"/>
          <w:shd w:val="clear" w:color="auto" w:fill="FFFFFF"/>
          <w:lang w:eastAsia="zh-CN"/>
        </w:rPr>
        <w:t>年度</w:t>
      </w:r>
      <w:r>
        <w:rPr>
          <w:rFonts w:hint="eastAsia" w:ascii="方正仿宋_GBK" w:hAnsi="方正仿宋_GBK" w:eastAsia="方正仿宋_GBK" w:cs="方正仿宋_GBK"/>
          <w:b w:val="0"/>
          <w:bCs w:val="0"/>
          <w:color w:val="auto"/>
          <w:spacing w:val="-6"/>
          <w:sz w:val="32"/>
          <w:szCs w:val="32"/>
          <w:shd w:val="clear" w:color="auto" w:fill="FFFFFF"/>
        </w:rPr>
        <w:t>营商环境评估</w:t>
      </w:r>
      <w:r>
        <w:rPr>
          <w:rFonts w:hint="eastAsia" w:ascii="方正仿宋_GBK" w:hAnsi="方正仿宋_GBK" w:eastAsia="方正仿宋_GBK" w:cs="方正仿宋_GBK"/>
          <w:b w:val="0"/>
          <w:bCs w:val="0"/>
          <w:color w:val="auto"/>
          <w:spacing w:val="-6"/>
          <w:sz w:val="32"/>
          <w:szCs w:val="32"/>
          <w:shd w:val="clear" w:color="auto" w:fill="FFFFFF"/>
          <w:lang w:eastAsia="zh-CN"/>
        </w:rPr>
        <w:t>应当形成盟市排名和旗县（市、区）排名，</w:t>
      </w:r>
      <w:r>
        <w:rPr>
          <w:rFonts w:hint="eastAsia" w:ascii="方正仿宋_GBK" w:hAnsi="方正仿宋_GBK" w:eastAsia="方正仿宋_GBK" w:cs="方正仿宋_GBK"/>
          <w:b w:val="0"/>
          <w:bCs w:val="0"/>
          <w:color w:val="auto"/>
          <w:spacing w:val="-6"/>
          <w:sz w:val="32"/>
          <w:szCs w:val="32"/>
          <w:shd w:val="clear" w:color="auto" w:fill="FFFFFF"/>
        </w:rPr>
        <w:t>注重总结各地区优化营商环境先进经验和创新实践，形成营商环境优秀典型案例予以复制推广，合理引导更多的地区以评促优、改革创新。注重发挥评估的引导和督促作用，务求实效。</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shd w:val="clear" w:color="auto" w:fill="FFFFFF"/>
        </w:rPr>
        <w:t>第十</w:t>
      </w:r>
      <w:r>
        <w:rPr>
          <w:rFonts w:hint="eastAsia" w:ascii="方正黑体_GBK" w:hAnsi="方正黑体_GBK" w:eastAsia="方正黑体_GBK" w:cs="方正黑体_GBK"/>
          <w:b w:val="0"/>
          <w:bCs w:val="0"/>
          <w:color w:val="auto"/>
          <w:sz w:val="32"/>
          <w:szCs w:val="32"/>
          <w:shd w:val="clear" w:color="auto" w:fill="FFFFFF"/>
          <w:lang w:val="en-US" w:eastAsia="zh-CN"/>
        </w:rPr>
        <w:t>七</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黑体_GBK" w:hAnsi="方正黑体_GBK" w:eastAsia="方正黑体_GBK" w:cs="方正黑体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营商环境评估应当以中国营商环境评价最佳</w:t>
      </w:r>
      <w:r>
        <w:rPr>
          <w:rFonts w:hint="eastAsia" w:ascii="方正仿宋_GBK" w:hAnsi="方正仿宋_GBK" w:eastAsia="方正仿宋_GBK" w:cs="方正仿宋_GBK"/>
          <w:b w:val="0"/>
          <w:bCs w:val="0"/>
          <w:color w:val="auto"/>
          <w:sz w:val="32"/>
          <w:szCs w:val="32"/>
          <w:shd w:val="clear" w:color="auto" w:fill="FFFFFF"/>
          <w:lang w:val="en-US" w:eastAsia="zh-CN"/>
        </w:rPr>
        <w:t>标杆、最佳</w:t>
      </w:r>
      <w:r>
        <w:rPr>
          <w:rFonts w:hint="eastAsia" w:ascii="方正仿宋_GBK" w:hAnsi="方正仿宋_GBK" w:eastAsia="方正仿宋_GBK" w:cs="方正仿宋_GBK"/>
          <w:b w:val="0"/>
          <w:bCs w:val="0"/>
          <w:color w:val="auto"/>
          <w:sz w:val="32"/>
          <w:szCs w:val="32"/>
          <w:shd w:val="clear" w:color="auto" w:fill="FFFFFF"/>
        </w:rPr>
        <w:t>案例、最优指标为前沿</w:t>
      </w:r>
      <w:r>
        <w:rPr>
          <w:rFonts w:hint="eastAsia" w:ascii="方正仿宋_GBK" w:hAnsi="方正仿宋_GBK" w:eastAsia="方正仿宋_GBK" w:cs="方正仿宋_GBK"/>
          <w:b w:val="0"/>
          <w:bCs w:val="0"/>
          <w:color w:val="auto"/>
          <w:sz w:val="32"/>
          <w:szCs w:val="32"/>
          <w:shd w:val="clear" w:color="auto" w:fill="FFFFFF"/>
          <w:lang w:val="en-US" w:eastAsia="zh-CN"/>
        </w:rPr>
        <w:t>对标</w:t>
      </w:r>
      <w:r>
        <w:rPr>
          <w:rFonts w:hint="eastAsia" w:ascii="方正仿宋_GBK" w:hAnsi="方正仿宋_GBK" w:eastAsia="方正仿宋_GBK" w:cs="方正仿宋_GBK"/>
          <w:b w:val="0"/>
          <w:bCs w:val="0"/>
          <w:color w:val="auto"/>
          <w:sz w:val="32"/>
          <w:szCs w:val="32"/>
          <w:shd w:val="clear" w:color="auto" w:fill="FFFFFF"/>
        </w:rPr>
        <w:t>，深入分析自治区的差距不足，指导各地区各部门对标先进水平，研究谋划实现跨越提升。</w:t>
      </w:r>
    </w:p>
    <w:p>
      <w:pPr>
        <w:pStyle w:val="8"/>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right="0"/>
        <w:jc w:val="center"/>
        <w:textAlignment w:val="auto"/>
        <w:outlineLvl w:val="0"/>
        <w:rPr>
          <w:rStyle w:val="14"/>
          <w:rFonts w:hint="eastAsia" w:ascii="方正黑体_GBK" w:hAnsi="方正黑体_GBK" w:eastAsia="方正黑体_GBK" w:cs="方正黑体_GBK"/>
          <w:b w:val="0"/>
          <w:bCs/>
          <w:color w:val="auto"/>
          <w:sz w:val="32"/>
          <w:szCs w:val="32"/>
          <w:shd w:val="clear" w:color="auto" w:fill="FFFFFF"/>
        </w:rPr>
      </w:pPr>
      <w:r>
        <w:rPr>
          <w:rStyle w:val="14"/>
          <w:rFonts w:hint="eastAsia" w:ascii="方正黑体_GBK" w:hAnsi="方正黑体_GBK" w:eastAsia="方正黑体_GBK" w:cs="方正黑体_GBK"/>
          <w:b w:val="0"/>
          <w:bCs/>
          <w:color w:val="auto"/>
          <w:sz w:val="32"/>
          <w:szCs w:val="32"/>
          <w:shd w:val="clear" w:color="auto" w:fill="FFFFFF"/>
        </w:rPr>
        <w:t xml:space="preserve">第五章 </w:t>
      </w:r>
      <w:r>
        <w:rPr>
          <w:rStyle w:val="14"/>
          <w:rFonts w:hint="eastAsia" w:ascii="方正黑体_GBK" w:hAnsi="方正黑体_GBK" w:eastAsia="方正黑体_GBK" w:cs="方正黑体_GBK"/>
          <w:b w:val="0"/>
          <w:bCs/>
          <w:color w:val="auto"/>
          <w:sz w:val="32"/>
          <w:szCs w:val="32"/>
          <w:shd w:val="clear" w:color="auto" w:fill="FFFFFF"/>
          <w:lang w:val="en-US" w:eastAsia="zh-CN"/>
        </w:rPr>
        <w:t xml:space="preserve"> </w:t>
      </w:r>
      <w:r>
        <w:rPr>
          <w:rStyle w:val="14"/>
          <w:rFonts w:hint="eastAsia" w:ascii="方正黑体_GBK" w:hAnsi="方正黑体_GBK" w:eastAsia="方正黑体_GBK" w:cs="方正黑体_GBK"/>
          <w:b w:val="0"/>
          <w:bCs/>
          <w:color w:val="auto"/>
          <w:sz w:val="32"/>
          <w:szCs w:val="32"/>
          <w:shd w:val="clear" w:color="auto" w:fill="FFFFFF"/>
        </w:rPr>
        <w:t>实施保障</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shd w:val="clear" w:color="auto" w:fill="FFFFFF"/>
        </w:rPr>
        <w:t>第十</w:t>
      </w:r>
      <w:r>
        <w:rPr>
          <w:rFonts w:hint="eastAsia" w:ascii="方正黑体_GBK" w:hAnsi="方正黑体_GBK" w:eastAsia="方正黑体_GBK" w:cs="方正黑体_GBK"/>
          <w:b w:val="0"/>
          <w:bCs w:val="0"/>
          <w:color w:val="auto"/>
          <w:sz w:val="32"/>
          <w:szCs w:val="32"/>
          <w:shd w:val="clear" w:color="auto" w:fill="FFFFFF"/>
          <w:lang w:val="en-US" w:eastAsia="zh-CN"/>
        </w:rPr>
        <w:t>八</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000000"/>
          <w:sz w:val="32"/>
          <w:szCs w:val="32"/>
          <w:shd w:val="clear" w:color="auto" w:fill="FFFFFF"/>
          <w:lang w:val="en-US" w:eastAsia="zh-CN"/>
        </w:rPr>
        <w:t>各</w:t>
      </w:r>
      <w:r>
        <w:rPr>
          <w:rFonts w:hint="eastAsia" w:ascii="方正仿宋_GBK" w:hAnsi="方正仿宋_GBK" w:eastAsia="方正仿宋_GBK" w:cs="方正仿宋_GBK"/>
          <w:b w:val="0"/>
          <w:bCs w:val="0"/>
          <w:color w:val="000000"/>
          <w:sz w:val="32"/>
          <w:szCs w:val="32"/>
          <w:shd w:val="clear" w:color="auto" w:fill="FFFFFF"/>
        </w:rPr>
        <w:t>盟行政公署、市人民政府</w:t>
      </w:r>
      <w:r>
        <w:rPr>
          <w:rFonts w:hint="eastAsia" w:ascii="方正仿宋_GBK" w:hAnsi="方正仿宋_GBK" w:eastAsia="方正仿宋_GBK" w:cs="方正仿宋_GBK"/>
          <w:b w:val="0"/>
          <w:bCs w:val="0"/>
          <w:color w:val="000000"/>
          <w:sz w:val="32"/>
          <w:szCs w:val="32"/>
          <w:shd w:val="clear" w:color="auto" w:fill="FFFFFF"/>
          <w:lang w:eastAsia="zh-CN"/>
        </w:rPr>
        <w:t>，各</w:t>
      </w:r>
      <w:r>
        <w:rPr>
          <w:rFonts w:hint="eastAsia" w:ascii="方正仿宋_GBK" w:hAnsi="方正仿宋_GBK" w:eastAsia="方正仿宋_GBK" w:cs="方正仿宋_GBK"/>
          <w:b w:val="0"/>
          <w:bCs w:val="0"/>
          <w:color w:val="000000"/>
          <w:sz w:val="32"/>
          <w:szCs w:val="32"/>
          <w:shd w:val="clear" w:color="auto" w:fill="FFFFFF"/>
          <w:lang w:val="en-US" w:eastAsia="zh-CN"/>
        </w:rPr>
        <w:t>旗县（市、区）人民政府</w:t>
      </w:r>
      <w:r>
        <w:rPr>
          <w:rFonts w:hint="eastAsia" w:ascii="方正仿宋_GBK" w:hAnsi="方正仿宋_GBK" w:eastAsia="方正仿宋_GBK" w:cs="方正仿宋_GBK"/>
          <w:b w:val="0"/>
          <w:bCs w:val="0"/>
          <w:color w:val="000000"/>
          <w:sz w:val="32"/>
          <w:szCs w:val="32"/>
          <w:shd w:val="clear" w:color="auto" w:fill="FFFFFF"/>
        </w:rPr>
        <w:t>承担本地区优化营商环境主体责任，应当建立健全参评工作机制，共同做好自治区营商环境评估工作。盟市及以下人民政府不再开展营商环境评估</w:t>
      </w:r>
      <w:r>
        <w:rPr>
          <w:rFonts w:hint="eastAsia" w:ascii="方正仿宋_GBK" w:hAnsi="方正仿宋_GBK" w:eastAsia="方正仿宋_GBK" w:cs="方正仿宋_GBK"/>
          <w:b w:val="0"/>
          <w:bCs w:val="0"/>
          <w:color w:val="000000"/>
          <w:sz w:val="32"/>
          <w:szCs w:val="32"/>
          <w:shd w:val="clear" w:color="auto" w:fill="FFFFFF"/>
          <w:lang w:eastAsia="zh-CN"/>
        </w:rPr>
        <w:t>（</w:t>
      </w:r>
      <w:r>
        <w:rPr>
          <w:rFonts w:hint="eastAsia" w:ascii="方正仿宋_GBK" w:hAnsi="方正仿宋_GBK" w:eastAsia="方正仿宋_GBK" w:cs="方正仿宋_GBK"/>
          <w:b w:val="0"/>
          <w:bCs w:val="0"/>
          <w:color w:val="000000"/>
          <w:sz w:val="32"/>
          <w:szCs w:val="32"/>
          <w:shd w:val="clear" w:color="auto" w:fill="FFFFFF"/>
        </w:rPr>
        <w:t>评价</w:t>
      </w:r>
      <w:r>
        <w:rPr>
          <w:rFonts w:hint="eastAsia" w:ascii="方正仿宋_GBK" w:hAnsi="方正仿宋_GBK" w:eastAsia="方正仿宋_GBK" w:cs="方正仿宋_GBK"/>
          <w:b w:val="0"/>
          <w:bCs w:val="0"/>
          <w:color w:val="000000"/>
          <w:sz w:val="32"/>
          <w:szCs w:val="32"/>
          <w:shd w:val="clear" w:color="auto" w:fill="FFFFFF"/>
          <w:lang w:eastAsia="zh-CN"/>
        </w:rPr>
        <w:t>）工作</w:t>
      </w:r>
      <w:r>
        <w:rPr>
          <w:rFonts w:hint="eastAsia" w:ascii="方正仿宋_GBK" w:hAnsi="方正仿宋_GBK" w:eastAsia="方正仿宋_GBK" w:cs="方正仿宋_GBK"/>
          <w:b w:val="0"/>
          <w:bCs w:val="0"/>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shd w:val="clear" w:color="auto" w:fill="FFFFFF"/>
        </w:rPr>
        <w:t>第</w:t>
      </w:r>
      <w:r>
        <w:rPr>
          <w:rFonts w:hint="eastAsia" w:ascii="方正黑体_GBK" w:hAnsi="方正黑体_GBK" w:eastAsia="方正黑体_GBK" w:cs="方正黑体_GBK"/>
          <w:b w:val="0"/>
          <w:bCs w:val="0"/>
          <w:color w:val="auto"/>
          <w:sz w:val="32"/>
          <w:szCs w:val="32"/>
          <w:shd w:val="clear" w:color="auto" w:fill="FFFFFF"/>
          <w:lang w:val="en-US" w:eastAsia="zh-CN"/>
        </w:rPr>
        <w:t>十九</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委托第三方专业机构开展营商环境评估相关经费纳入自治区本级预算统筹保障</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shd w:val="clear" w:color="auto" w:fill="FFFFFF"/>
        </w:rPr>
        <w:t>第</w:t>
      </w:r>
      <w:r>
        <w:rPr>
          <w:rFonts w:hint="eastAsia" w:ascii="方正黑体_GBK" w:hAnsi="方正黑体_GBK" w:eastAsia="方正黑体_GBK" w:cs="方正黑体_GBK"/>
          <w:b w:val="0"/>
          <w:bCs w:val="0"/>
          <w:color w:val="auto"/>
          <w:sz w:val="32"/>
          <w:szCs w:val="32"/>
          <w:shd w:val="clear" w:color="auto" w:fill="FFFFFF"/>
          <w:lang w:val="en-US" w:eastAsia="zh-CN"/>
        </w:rPr>
        <w:t>二十</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第三方专业机构应当具备相关领域工作经验，具有较强的专业团队和组织实施能力，能够确保评估的客观性和真实性。</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shd w:val="clear" w:color="auto" w:fill="FFFFFF"/>
        </w:rPr>
        <w:t>第</w:t>
      </w:r>
      <w:r>
        <w:rPr>
          <w:rFonts w:hint="eastAsia" w:ascii="方正黑体_GBK" w:hAnsi="方正黑体_GBK" w:eastAsia="方正黑体_GBK" w:cs="方正黑体_GBK"/>
          <w:b w:val="0"/>
          <w:bCs w:val="0"/>
          <w:color w:val="auto"/>
          <w:sz w:val="32"/>
          <w:szCs w:val="32"/>
          <w:shd w:val="clear" w:color="auto" w:fill="FFFFFF"/>
          <w:lang w:val="en-US" w:eastAsia="zh-CN"/>
        </w:rPr>
        <w:t>二十一</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严禁任何单位和个人借评估数据牟利。第三方专业机构应当严格实行回避制度，不得以任何名义在参评盟市承接评价咨询、培训、课题研究、信息系统建设等各类政府采购项目。</w:t>
      </w:r>
      <w:r>
        <w:rPr>
          <w:rFonts w:hint="eastAsia" w:ascii="方正仿宋_GBK" w:hAnsi="方正仿宋_GBK" w:eastAsia="方正仿宋_GBK" w:cs="方正仿宋_GBK"/>
          <w:b w:val="0"/>
          <w:bCs w:val="0"/>
          <w:color w:val="auto"/>
          <w:sz w:val="32"/>
          <w:szCs w:val="32"/>
          <w:shd w:val="clear" w:color="auto" w:fill="FFFFFF"/>
          <w:lang w:val="en-US" w:eastAsia="zh-CN"/>
        </w:rPr>
        <w:t>各</w:t>
      </w:r>
      <w:r>
        <w:rPr>
          <w:rFonts w:hint="eastAsia" w:ascii="方正仿宋_GBK" w:hAnsi="方正仿宋_GBK" w:eastAsia="方正仿宋_GBK" w:cs="方正仿宋_GBK"/>
          <w:b w:val="0"/>
          <w:bCs w:val="0"/>
          <w:color w:val="auto"/>
          <w:sz w:val="32"/>
          <w:szCs w:val="32"/>
          <w:shd w:val="clear" w:color="auto" w:fill="FFFFFF"/>
        </w:rPr>
        <w:t>盟市</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lang w:val="en-US" w:eastAsia="zh-CN"/>
        </w:rPr>
        <w:t>旗县（市、区）</w:t>
      </w:r>
      <w:r>
        <w:rPr>
          <w:rFonts w:hint="eastAsia" w:ascii="方正仿宋_GBK" w:hAnsi="方正仿宋_GBK" w:eastAsia="方正仿宋_GBK" w:cs="方正仿宋_GBK"/>
          <w:b w:val="0"/>
          <w:bCs w:val="0"/>
          <w:color w:val="auto"/>
          <w:sz w:val="32"/>
          <w:szCs w:val="32"/>
          <w:shd w:val="clear" w:color="auto" w:fill="FFFFFF"/>
        </w:rPr>
        <w:t>不得向第三方专业机构进行任何形式的利益输送。</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第二十</w:t>
      </w:r>
      <w:r>
        <w:rPr>
          <w:rFonts w:hint="eastAsia" w:ascii="方正黑体_GBK" w:hAnsi="方正黑体_GBK" w:eastAsia="方正黑体_GBK" w:cs="方正黑体_GBK"/>
          <w:b w:val="0"/>
          <w:bCs w:val="0"/>
          <w:color w:val="auto"/>
          <w:sz w:val="32"/>
          <w:szCs w:val="32"/>
          <w:shd w:val="clear" w:color="auto" w:fill="FFFFFF"/>
          <w:lang w:val="en-US" w:eastAsia="zh-CN"/>
        </w:rPr>
        <w:t>二</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自治区发展改革委应当会同各项指标责任部门共同做好营商环境评估的培训指导</w:t>
      </w:r>
      <w:r>
        <w:rPr>
          <w:rFonts w:hint="eastAsia" w:ascii="方正仿宋_GBK" w:hAnsi="方正仿宋_GBK" w:eastAsia="方正仿宋_GBK" w:cs="方正仿宋_GBK"/>
          <w:b w:val="0"/>
          <w:bCs w:val="0"/>
          <w:color w:val="auto"/>
          <w:sz w:val="32"/>
          <w:szCs w:val="32"/>
          <w:shd w:val="clear" w:color="auto" w:fill="FFFFFF"/>
          <w:lang w:eastAsia="zh-CN"/>
        </w:rPr>
        <w:t>工作</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eastAsia="zh-CN"/>
        </w:rPr>
        <w:t>加强数字化营商环境建设，建立</w:t>
      </w:r>
      <w:r>
        <w:rPr>
          <w:rFonts w:hint="eastAsia" w:ascii="方正仿宋_GBK" w:hAnsi="方正仿宋_GBK" w:eastAsia="方正仿宋_GBK" w:cs="方正仿宋_GBK"/>
          <w:b w:val="0"/>
          <w:bCs w:val="0"/>
          <w:color w:val="auto"/>
          <w:sz w:val="32"/>
          <w:szCs w:val="32"/>
          <w:shd w:val="clear" w:color="auto" w:fill="FFFFFF"/>
        </w:rPr>
        <w:t>营商环境</w:t>
      </w:r>
      <w:r>
        <w:rPr>
          <w:rFonts w:hint="eastAsia" w:ascii="方正仿宋_GBK" w:hAnsi="方正仿宋_GBK" w:eastAsia="方正仿宋_GBK" w:cs="方正仿宋_GBK"/>
          <w:b w:val="0"/>
          <w:bCs w:val="0"/>
          <w:color w:val="auto"/>
          <w:sz w:val="32"/>
          <w:szCs w:val="32"/>
          <w:shd w:val="clear" w:color="auto" w:fill="FFFFFF"/>
          <w:lang w:eastAsia="zh-CN"/>
        </w:rPr>
        <w:t>监测、</w:t>
      </w:r>
      <w:r>
        <w:rPr>
          <w:rFonts w:hint="eastAsia" w:ascii="方正仿宋_GBK" w:hAnsi="方正仿宋_GBK" w:eastAsia="方正仿宋_GBK" w:cs="方正仿宋_GBK"/>
          <w:b w:val="0"/>
          <w:bCs w:val="0"/>
          <w:color w:val="auto"/>
          <w:sz w:val="32"/>
          <w:szCs w:val="32"/>
          <w:shd w:val="clear" w:color="auto" w:fill="FFFFFF"/>
        </w:rPr>
        <w:t>评估数字化平台，提高评估</w:t>
      </w:r>
      <w:r>
        <w:rPr>
          <w:rFonts w:hint="eastAsia" w:ascii="方正仿宋_GBK" w:hAnsi="方正仿宋_GBK" w:eastAsia="方正仿宋_GBK" w:cs="方正仿宋_GBK"/>
          <w:b w:val="0"/>
          <w:bCs w:val="0"/>
          <w:color w:val="auto"/>
          <w:sz w:val="32"/>
          <w:szCs w:val="32"/>
          <w:shd w:val="clear" w:color="auto" w:fill="FFFFFF"/>
          <w:lang w:val="en-US" w:eastAsia="zh-CN"/>
        </w:rPr>
        <w:t>工作</w:t>
      </w:r>
      <w:r>
        <w:rPr>
          <w:rFonts w:hint="eastAsia" w:ascii="方正仿宋_GBK" w:hAnsi="方正仿宋_GBK" w:eastAsia="方正仿宋_GBK" w:cs="方正仿宋_GBK"/>
          <w:b w:val="0"/>
          <w:bCs w:val="0"/>
          <w:color w:val="auto"/>
          <w:sz w:val="32"/>
          <w:szCs w:val="32"/>
          <w:shd w:val="clear" w:color="auto" w:fill="FFFFFF"/>
        </w:rPr>
        <w:t>质量</w:t>
      </w:r>
      <w:r>
        <w:rPr>
          <w:rFonts w:hint="eastAsia" w:ascii="方正仿宋_GBK" w:hAnsi="方正仿宋_GBK" w:eastAsia="方正仿宋_GBK" w:cs="方正仿宋_GBK"/>
          <w:b w:val="0"/>
          <w:bCs w:val="0"/>
          <w:color w:val="auto"/>
          <w:sz w:val="32"/>
          <w:szCs w:val="32"/>
          <w:shd w:val="clear" w:color="auto" w:fill="FFFFFF"/>
          <w:lang w:val="en-US" w:eastAsia="zh-CN"/>
        </w:rPr>
        <w:t>和</w:t>
      </w:r>
      <w:r>
        <w:rPr>
          <w:rFonts w:hint="eastAsia" w:ascii="方正仿宋_GBK" w:hAnsi="方正仿宋_GBK" w:eastAsia="方正仿宋_GBK" w:cs="方正仿宋_GBK"/>
          <w:b w:val="0"/>
          <w:bCs w:val="0"/>
          <w:color w:val="auto"/>
          <w:sz w:val="32"/>
          <w:szCs w:val="32"/>
          <w:shd w:val="clear" w:color="auto" w:fill="FFFFFF"/>
        </w:rPr>
        <w:t>效率。</w:t>
      </w:r>
    </w:p>
    <w:p>
      <w:pPr>
        <w:pStyle w:val="8"/>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shd w:val="clear" w:color="auto" w:fill="FFFFFF"/>
        </w:rPr>
        <w:t>第二十</w:t>
      </w:r>
      <w:r>
        <w:rPr>
          <w:rFonts w:hint="eastAsia" w:ascii="方正黑体_GBK" w:hAnsi="方正黑体_GBK" w:eastAsia="方正黑体_GBK" w:cs="方正黑体_GBK"/>
          <w:b w:val="0"/>
          <w:bCs w:val="0"/>
          <w:color w:val="auto"/>
          <w:sz w:val="32"/>
          <w:szCs w:val="32"/>
          <w:shd w:val="clear" w:color="auto" w:fill="FFFFFF"/>
          <w:lang w:val="en-US" w:eastAsia="zh-CN"/>
        </w:rPr>
        <w:t>三</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各地区各部门应当采取新闻发布会、开设媒体专栏等形式，大力宣传营商环境建设典型经验和工作成效，营造全社会关注、参与和支持营商环境优化的良好氛围。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lang w:eastAsia="zh-CN"/>
        </w:rPr>
      </w:pPr>
      <w:r>
        <w:rPr>
          <w:rFonts w:hint="eastAsia" w:ascii="方正黑体_GBK" w:hAnsi="方正黑体_GBK" w:eastAsia="方正黑体_GBK" w:cs="方正黑体_GBK"/>
          <w:b w:val="0"/>
          <w:bCs w:val="0"/>
          <w:color w:val="auto"/>
          <w:sz w:val="32"/>
          <w:szCs w:val="32"/>
          <w:shd w:val="clear" w:color="auto" w:fill="FFFFFF"/>
        </w:rPr>
        <w:t>第二十</w:t>
      </w:r>
      <w:r>
        <w:rPr>
          <w:rFonts w:hint="eastAsia" w:ascii="方正黑体_GBK" w:hAnsi="方正黑体_GBK" w:eastAsia="方正黑体_GBK" w:cs="方正黑体_GBK"/>
          <w:b w:val="0"/>
          <w:bCs w:val="0"/>
          <w:color w:val="auto"/>
          <w:sz w:val="32"/>
          <w:szCs w:val="32"/>
          <w:shd w:val="clear" w:color="auto" w:fill="FFFFFF"/>
          <w:lang w:val="en-US" w:eastAsia="zh-CN"/>
        </w:rPr>
        <w:t>四</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参与</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自治区</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评</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工作的所有相关</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单位和个人</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均</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须</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履行保密责任和义务</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未经允许不得</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擅自</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使用未经公开发布的相关</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评估</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数据或发布相关信息</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各地</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区要树立自治区营商环境评估的权威意识，</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对</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其他</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各类机构组织开展的评估评价</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、研究成果</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等，不得</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作为</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自治区年度营商环境评估的结果进行应用</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right="0"/>
        <w:jc w:val="center"/>
        <w:textAlignment w:val="auto"/>
        <w:outlineLvl w:val="0"/>
        <w:rPr>
          <w:rStyle w:val="14"/>
          <w:rFonts w:hint="eastAsia" w:ascii="方正黑体_GBK" w:hAnsi="方正黑体_GBK" w:eastAsia="方正黑体_GBK" w:cs="方正黑体_GBK"/>
          <w:b w:val="0"/>
          <w:bCs/>
          <w:color w:val="auto"/>
          <w:sz w:val="32"/>
          <w:szCs w:val="32"/>
          <w:shd w:val="clear" w:color="auto" w:fill="FFFFFF"/>
        </w:rPr>
      </w:pPr>
      <w:r>
        <w:rPr>
          <w:rStyle w:val="14"/>
          <w:rFonts w:hint="eastAsia" w:ascii="方正黑体_GBK" w:hAnsi="方正黑体_GBK" w:eastAsia="方正黑体_GBK" w:cs="方正黑体_GBK"/>
          <w:b w:val="0"/>
          <w:bCs/>
          <w:color w:val="auto"/>
          <w:sz w:val="32"/>
          <w:szCs w:val="32"/>
          <w:shd w:val="clear" w:color="auto" w:fill="FFFFFF"/>
          <w:lang w:val="en-US" w:eastAsia="zh-CN"/>
        </w:rPr>
        <w:t xml:space="preserve">第六章  </w:t>
      </w:r>
      <w:r>
        <w:rPr>
          <w:rStyle w:val="14"/>
          <w:rFonts w:hint="eastAsia" w:ascii="方正黑体_GBK" w:hAnsi="方正黑体_GBK" w:eastAsia="方正黑体_GBK" w:cs="方正黑体_GBK"/>
          <w:b w:val="0"/>
          <w:bCs/>
          <w:color w:val="auto"/>
          <w:sz w:val="32"/>
          <w:szCs w:val="32"/>
          <w:shd w:val="clear" w:color="auto" w:fill="FFFFFF"/>
        </w:rPr>
        <w:t>附</w:t>
      </w:r>
      <w:r>
        <w:rPr>
          <w:rStyle w:val="14"/>
          <w:rFonts w:hint="eastAsia" w:ascii="方正黑体_GBK" w:hAnsi="方正黑体_GBK" w:eastAsia="方正黑体_GBK" w:cs="方正黑体_GBK"/>
          <w:b w:val="0"/>
          <w:bCs/>
          <w:color w:val="auto"/>
          <w:sz w:val="32"/>
          <w:szCs w:val="32"/>
          <w:shd w:val="clear" w:color="auto" w:fill="FFFFFF"/>
          <w:lang w:val="en-US" w:eastAsia="zh-CN"/>
        </w:rPr>
        <w:t xml:space="preserve">    </w:t>
      </w:r>
      <w:r>
        <w:rPr>
          <w:rStyle w:val="14"/>
          <w:rFonts w:hint="eastAsia" w:ascii="方正黑体_GBK" w:hAnsi="方正黑体_GBK" w:eastAsia="方正黑体_GBK" w:cs="方正黑体_GBK"/>
          <w:b w:val="0"/>
          <w:bCs/>
          <w:color w:val="auto"/>
          <w:sz w:val="32"/>
          <w:szCs w:val="32"/>
          <w:shd w:val="clear" w:color="auto" w:fill="FFFFFF"/>
        </w:rPr>
        <w:t>则</w:t>
      </w:r>
    </w:p>
    <w:p>
      <w:pPr>
        <w:pStyle w:val="8"/>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outlineLvl w:val="0"/>
        <w:rPr>
          <w:rFonts w:hint="default" w:ascii="Times New Roman" w:hAnsi="Times New Roman" w:eastAsia="仿宋_GB2312" w:cs="Times New Roman"/>
          <w:color w:val="auto"/>
          <w:kern w:val="0"/>
          <w:sz w:val="32"/>
          <w:szCs w:val="32"/>
        </w:rPr>
      </w:pPr>
      <w:r>
        <w:rPr>
          <w:rFonts w:hint="eastAsia" w:ascii="方正黑体_GBK" w:hAnsi="方正黑体_GBK" w:eastAsia="方正黑体_GBK" w:cs="方正黑体_GBK"/>
          <w:b w:val="0"/>
          <w:bCs w:val="0"/>
          <w:color w:val="auto"/>
          <w:sz w:val="32"/>
          <w:szCs w:val="32"/>
          <w:shd w:val="clear" w:color="auto" w:fill="FFFFFF"/>
        </w:rPr>
        <w:t>第二十</w:t>
      </w:r>
      <w:r>
        <w:rPr>
          <w:rFonts w:hint="eastAsia" w:ascii="方正黑体_GBK" w:hAnsi="方正黑体_GBK" w:eastAsia="方正黑体_GBK" w:cs="方正黑体_GBK"/>
          <w:b w:val="0"/>
          <w:bCs w:val="0"/>
          <w:color w:val="auto"/>
          <w:sz w:val="32"/>
          <w:szCs w:val="32"/>
          <w:shd w:val="clear" w:color="auto" w:fill="FFFFFF"/>
          <w:lang w:val="en-US" w:eastAsia="zh-CN"/>
        </w:rPr>
        <w:t>五</w:t>
      </w:r>
      <w:r>
        <w:rPr>
          <w:rFonts w:hint="eastAsia" w:ascii="方正黑体_GBK" w:hAnsi="方正黑体_GBK" w:eastAsia="方正黑体_GBK" w:cs="方正黑体_GBK"/>
          <w:b w:val="0"/>
          <w:bCs w:val="0"/>
          <w:color w:val="auto"/>
          <w:sz w:val="32"/>
          <w:szCs w:val="32"/>
          <w:shd w:val="clear" w:color="auto" w:fill="FFFFFF"/>
        </w:rPr>
        <w:t>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本办法自</w:t>
      </w:r>
      <w:r>
        <w:rPr>
          <w:rFonts w:hint="eastAsia" w:ascii="方正仿宋_GBK" w:hAnsi="方正仿宋_GBK" w:eastAsia="方正仿宋_GBK" w:cs="方正仿宋_GBK"/>
          <w:b w:val="0"/>
          <w:bCs w:val="0"/>
          <w:color w:val="auto"/>
          <w:sz w:val="32"/>
          <w:szCs w:val="32"/>
          <w:shd w:val="clear" w:color="auto" w:fill="FFFFFF"/>
          <w:lang w:val="en-US" w:eastAsia="zh-CN"/>
        </w:rPr>
        <w:t>印发之日</w:t>
      </w:r>
      <w:r>
        <w:rPr>
          <w:rFonts w:hint="eastAsia" w:ascii="方正仿宋_GBK" w:hAnsi="方正仿宋_GBK" w:eastAsia="方正仿宋_GBK" w:cs="方正仿宋_GBK"/>
          <w:b w:val="0"/>
          <w:bCs w:val="0"/>
          <w:color w:val="auto"/>
          <w:sz w:val="32"/>
          <w:szCs w:val="32"/>
          <w:shd w:val="clear" w:color="auto" w:fill="FFFFFF"/>
        </w:rPr>
        <w:t>起施行</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i w:val="0"/>
          <w:iCs w:val="0"/>
          <w:caps w:val="0"/>
          <w:color w:val="333333"/>
          <w:spacing w:val="0"/>
          <w:kern w:val="0"/>
          <w:sz w:val="32"/>
          <w:szCs w:val="32"/>
          <w:shd w:val="clear" w:color="auto" w:fill="FFFFFF"/>
          <w:lang w:val="en-US" w:eastAsia="zh-CN" w:bidi="ar"/>
        </w:rPr>
        <w:t>《内蒙古自治区人民政府办公厅关于印发〈内蒙古自治区营商环境评估实施办法（试行）〉的通知》（内政办发〔2021〕30号）</w:t>
      </w:r>
      <w:r>
        <w:rPr>
          <w:rFonts w:hint="eastAsia" w:ascii="方正仿宋_GBK" w:hAnsi="方正仿宋_GBK" w:eastAsia="方正仿宋_GBK" w:cs="方正仿宋_GBK"/>
          <w:b w:val="0"/>
          <w:bCs w:val="0"/>
          <w:color w:val="auto"/>
          <w:sz w:val="32"/>
          <w:szCs w:val="32"/>
          <w:shd w:val="clear" w:color="auto" w:fill="FFFFFF"/>
          <w:lang w:val="en-US" w:eastAsia="zh-CN"/>
        </w:rPr>
        <w:t>同时废止</w:t>
      </w:r>
      <w:r>
        <w:rPr>
          <w:rFonts w:hint="eastAsia" w:ascii="方正仿宋_GBK" w:hAnsi="方正仿宋_GBK" w:eastAsia="方正仿宋_GBK" w:cs="方正仿宋_GBK"/>
          <w:b w:val="0"/>
          <w:bCs w:val="0"/>
          <w:color w:val="auto"/>
          <w:sz w:val="32"/>
          <w:szCs w:val="32"/>
          <w:shd w:val="clear" w:color="auto" w:fill="FFFFFF"/>
        </w:rPr>
        <w:t>。</w:t>
      </w:r>
    </w:p>
    <w:bookmarkEnd w:id="6"/>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default"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lang w:eastAsia="zh-CN"/>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ascii="Times New Roman" w:hAnsi="Times New Roman" w:eastAsia="仿宋_GB2312" w:cs="Times New Roman"/>
          <w:color w:val="auto"/>
          <w:kern w:val="0"/>
          <w:sz w:val="32"/>
          <w:szCs w:val="32"/>
        </w:rPr>
      </w:pPr>
    </w:p>
    <w:p>
      <w:pPr>
        <w:rPr>
          <w:rFonts w:hint="eastAsia"/>
        </w:rPr>
      </w:pPr>
    </w:p>
    <w:p>
      <w:pPr>
        <w:rPr>
          <w:rFonts w:hint="eastAsia"/>
        </w:rPr>
      </w:pPr>
    </w:p>
    <w:p>
      <w:pPr>
        <w:rPr>
          <w:rFonts w:hint="eastAsia"/>
        </w:rPr>
      </w:pPr>
    </w:p>
    <w:p>
      <w:pPr>
        <w:rPr>
          <w:rFonts w:hint="eastAsia"/>
        </w:rPr>
      </w:pPr>
    </w:p>
    <w:tbl>
      <w:tblPr>
        <w:tblStyle w:val="11"/>
        <w:tblW w:w="8956"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56" w:type="dxa"/>
            <w:tcBorders>
              <w:tl2br w:val="nil"/>
              <w:tr2bl w:val="nil"/>
            </w:tcBorders>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18" w:firstLineChars="7"/>
              <w:textAlignment w:val="auto"/>
              <w:rPr>
                <w:rFonts w:ascii="仿宋_GB2312" w:eastAsia="仿宋_GB2312"/>
                <w:sz w:val="28"/>
              </w:rPr>
            </w:pPr>
            <w:r>
              <w:rPr>
                <w:rFonts w:hint="eastAsia" w:ascii="仿宋_GB2312" w:eastAsia="仿宋_GB2312"/>
                <w:spacing w:val="-6"/>
                <w:sz w:val="28"/>
              </w:rPr>
              <w:t>自治</w:t>
            </w:r>
            <w:r>
              <w:rPr>
                <w:rFonts w:hint="eastAsia" w:ascii="仿宋_GB2312" w:eastAsia="仿宋_GB2312"/>
                <w:spacing w:val="0"/>
                <w:sz w:val="28"/>
              </w:rPr>
              <w:t>区人大常委会办公</w:t>
            </w:r>
            <w:r>
              <w:rPr>
                <w:rFonts w:hint="eastAsia" w:ascii="仿宋_GB2312" w:eastAsia="仿宋_GB2312"/>
                <w:spacing w:val="-6"/>
                <w:sz w:val="28"/>
              </w:rPr>
              <w:t>厅、政协办公厅，</w:t>
            </w:r>
            <w:r>
              <w:rPr>
                <w:rFonts w:hint="eastAsia" w:ascii="仿宋_GB2312" w:eastAsia="仿宋_GB2312"/>
                <w:spacing w:val="-6"/>
                <w:sz w:val="28"/>
                <w:lang w:eastAsia="zh-CN"/>
              </w:rPr>
              <w:t>自治区监委，自治区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5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right="210" w:rightChars="100"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16</w:t>
            </w:r>
            <w:r>
              <w:rPr>
                <w:rFonts w:hint="eastAsia" w:ascii="仿宋_GB2312" w:eastAsia="仿宋_GB2312"/>
                <w:sz w:val="28"/>
              </w:rPr>
              <w:t>日印发</w:t>
            </w:r>
          </w:p>
        </w:tc>
      </w:tr>
    </w:tbl>
    <w:p>
      <w:pPr>
        <w:spacing w:line="20" w:lineRule="exact"/>
        <w:rPr>
          <w:rFonts w:hint="eastAsia"/>
        </w:rPr>
      </w:pPr>
      <w:bookmarkStart w:id="3" w:name="电话"/>
      <w:bookmarkEnd w:id="3"/>
      <w:bookmarkStart w:id="4" w:name="成文日期"/>
      <w:bookmarkEnd w:id="4"/>
      <w:bookmarkStart w:id="5" w:name="拟稿人"/>
      <w:bookmarkEnd w:id="5"/>
      <w:r>
        <w:rPr>
          <w:rFonts w:hint="eastAsia" w:ascii="Times New Roman" w:hAnsi="Times New Roman" w:eastAsia="仿宋_GB2312" w:cs="Times New Roman"/>
          <w:color w:val="auto"/>
          <w:kern w:val="0"/>
          <w:sz w:val="32"/>
          <w:szCs w:val="32"/>
          <w:lang w:eastAsia="zh-CN"/>
        </w:rPr>
        <w:drawing>
          <wp:anchor distT="0" distB="0" distL="114300" distR="114300" simplePos="0" relativeHeight="251659264" behindDoc="0" locked="0" layoutInCell="1" allowOverlap="1">
            <wp:simplePos x="0" y="0"/>
            <wp:positionH relativeFrom="column">
              <wp:posOffset>3651885</wp:posOffset>
            </wp:positionH>
            <wp:positionV relativeFrom="paragraph">
              <wp:posOffset>140970</wp:posOffset>
            </wp:positionV>
            <wp:extent cx="1790700" cy="438150"/>
            <wp:effectExtent l="0" t="0" r="0" b="0"/>
            <wp:wrapSquare wrapText="bothSides"/>
            <wp:docPr id="1" name="图片 6" descr="NZB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NZBF65"/>
                    <pic:cNvPicPr>
                      <a:picLocks noChangeAspect="1"/>
                    </pic:cNvPicPr>
                  </pic:nvPicPr>
                  <pic:blipFill>
                    <a:blip r:embed="rId8"/>
                    <a:stretch>
                      <a:fillRect/>
                    </a:stretch>
                  </pic:blipFill>
                  <pic:spPr>
                    <a:xfrm>
                      <a:off x="0" y="0"/>
                      <a:ext cx="1790700" cy="43815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11B684E"/>
    <w:rsid w:val="023B43DC"/>
    <w:rsid w:val="030C5A8C"/>
    <w:rsid w:val="043D4CEA"/>
    <w:rsid w:val="04D871BC"/>
    <w:rsid w:val="074D26E8"/>
    <w:rsid w:val="083A6877"/>
    <w:rsid w:val="0A9E3D48"/>
    <w:rsid w:val="0FEF32CA"/>
    <w:rsid w:val="11095B8B"/>
    <w:rsid w:val="110F26B1"/>
    <w:rsid w:val="13404ED0"/>
    <w:rsid w:val="16036302"/>
    <w:rsid w:val="16A022AB"/>
    <w:rsid w:val="19923446"/>
    <w:rsid w:val="1A7D41CF"/>
    <w:rsid w:val="1BF61570"/>
    <w:rsid w:val="1CF777BC"/>
    <w:rsid w:val="1FD3237E"/>
    <w:rsid w:val="21CE0EBF"/>
    <w:rsid w:val="24485B15"/>
    <w:rsid w:val="25984E90"/>
    <w:rsid w:val="267BF126"/>
    <w:rsid w:val="267F3844"/>
    <w:rsid w:val="26C82B97"/>
    <w:rsid w:val="26D846AB"/>
    <w:rsid w:val="273E7C3F"/>
    <w:rsid w:val="2A615292"/>
    <w:rsid w:val="2F314E0D"/>
    <w:rsid w:val="2F7E1441"/>
    <w:rsid w:val="2FFDCA03"/>
    <w:rsid w:val="32D75A45"/>
    <w:rsid w:val="37CB2EA4"/>
    <w:rsid w:val="38605E5E"/>
    <w:rsid w:val="399E0F98"/>
    <w:rsid w:val="3A4E2F34"/>
    <w:rsid w:val="3BFB252F"/>
    <w:rsid w:val="3C5E5ECC"/>
    <w:rsid w:val="3C6B26BF"/>
    <w:rsid w:val="3D2E472E"/>
    <w:rsid w:val="3D9F0874"/>
    <w:rsid w:val="3DFF5B00"/>
    <w:rsid w:val="3E2866CC"/>
    <w:rsid w:val="3F9FEE2B"/>
    <w:rsid w:val="3FDFD402"/>
    <w:rsid w:val="3FF382EF"/>
    <w:rsid w:val="3FFCFDC5"/>
    <w:rsid w:val="3FFF7C02"/>
    <w:rsid w:val="3FFFBE36"/>
    <w:rsid w:val="4034620B"/>
    <w:rsid w:val="40734335"/>
    <w:rsid w:val="41D75940"/>
    <w:rsid w:val="456E4695"/>
    <w:rsid w:val="45C541FF"/>
    <w:rsid w:val="465327CE"/>
    <w:rsid w:val="47FC81AD"/>
    <w:rsid w:val="48A045AB"/>
    <w:rsid w:val="4BB12688"/>
    <w:rsid w:val="4BDC1835"/>
    <w:rsid w:val="4C7D52D2"/>
    <w:rsid w:val="4CBF5232"/>
    <w:rsid w:val="4D1709C3"/>
    <w:rsid w:val="4DEE1EC4"/>
    <w:rsid w:val="4F6A2AE2"/>
    <w:rsid w:val="4FBED140"/>
    <w:rsid w:val="51650C56"/>
    <w:rsid w:val="51796035"/>
    <w:rsid w:val="53BDAE65"/>
    <w:rsid w:val="540F0375"/>
    <w:rsid w:val="56BE9277"/>
    <w:rsid w:val="574F91E8"/>
    <w:rsid w:val="57CC07EF"/>
    <w:rsid w:val="57F67D9E"/>
    <w:rsid w:val="57FFEDA8"/>
    <w:rsid w:val="58135360"/>
    <w:rsid w:val="5B7B1D58"/>
    <w:rsid w:val="5BAE3879"/>
    <w:rsid w:val="5BFFEC61"/>
    <w:rsid w:val="5C957B5A"/>
    <w:rsid w:val="5DC12740"/>
    <w:rsid w:val="5F45041F"/>
    <w:rsid w:val="5F73FF8D"/>
    <w:rsid w:val="5FED4001"/>
    <w:rsid w:val="5FEFA5B5"/>
    <w:rsid w:val="5FFB64A7"/>
    <w:rsid w:val="60A76D6C"/>
    <w:rsid w:val="62EFA04F"/>
    <w:rsid w:val="63789960"/>
    <w:rsid w:val="64B86B45"/>
    <w:rsid w:val="65FED096"/>
    <w:rsid w:val="66D1674A"/>
    <w:rsid w:val="66DFEA02"/>
    <w:rsid w:val="674193FF"/>
    <w:rsid w:val="67C31CA2"/>
    <w:rsid w:val="69FF4777"/>
    <w:rsid w:val="6B2A5179"/>
    <w:rsid w:val="6B7F0417"/>
    <w:rsid w:val="6BBED40D"/>
    <w:rsid w:val="6BF7FCB2"/>
    <w:rsid w:val="6C60119C"/>
    <w:rsid w:val="6DFAC5FB"/>
    <w:rsid w:val="6DFF4B66"/>
    <w:rsid w:val="6EC50030"/>
    <w:rsid w:val="6ECFC925"/>
    <w:rsid w:val="6F2C465B"/>
    <w:rsid w:val="6FFB7BFB"/>
    <w:rsid w:val="722D19B3"/>
    <w:rsid w:val="728F1E7C"/>
    <w:rsid w:val="72D52371"/>
    <w:rsid w:val="73FFBF44"/>
    <w:rsid w:val="752D780A"/>
    <w:rsid w:val="754E2311"/>
    <w:rsid w:val="75775C4A"/>
    <w:rsid w:val="758417DA"/>
    <w:rsid w:val="75DF9D28"/>
    <w:rsid w:val="75EBEBDF"/>
    <w:rsid w:val="75FEAF72"/>
    <w:rsid w:val="75FF179B"/>
    <w:rsid w:val="767F7C19"/>
    <w:rsid w:val="769F7AB2"/>
    <w:rsid w:val="76FF4626"/>
    <w:rsid w:val="776FDF41"/>
    <w:rsid w:val="777F835C"/>
    <w:rsid w:val="77B71E37"/>
    <w:rsid w:val="77B773CD"/>
    <w:rsid w:val="77BB1263"/>
    <w:rsid w:val="77FA2EF9"/>
    <w:rsid w:val="77FB381A"/>
    <w:rsid w:val="7967B80D"/>
    <w:rsid w:val="7AA226C9"/>
    <w:rsid w:val="7B3B20E2"/>
    <w:rsid w:val="7BAC0724"/>
    <w:rsid w:val="7BCE847A"/>
    <w:rsid w:val="7BEB9EC8"/>
    <w:rsid w:val="7C3F17F7"/>
    <w:rsid w:val="7D164783"/>
    <w:rsid w:val="7D7FF060"/>
    <w:rsid w:val="7DBF6B6F"/>
    <w:rsid w:val="7DE7D22D"/>
    <w:rsid w:val="7DEB4696"/>
    <w:rsid w:val="7DF5D41B"/>
    <w:rsid w:val="7E06559B"/>
    <w:rsid w:val="7E960D71"/>
    <w:rsid w:val="7EFC0722"/>
    <w:rsid w:val="7EFE8798"/>
    <w:rsid w:val="7F57577A"/>
    <w:rsid w:val="7F5F2B1B"/>
    <w:rsid w:val="7F7F944C"/>
    <w:rsid w:val="7F9753C6"/>
    <w:rsid w:val="7FAAB92C"/>
    <w:rsid w:val="7FAFF786"/>
    <w:rsid w:val="7FDF25A6"/>
    <w:rsid w:val="7FDF981C"/>
    <w:rsid w:val="7FE3BB84"/>
    <w:rsid w:val="7FEA53E0"/>
    <w:rsid w:val="7FF84030"/>
    <w:rsid w:val="7FFF42A7"/>
    <w:rsid w:val="7FFFB193"/>
    <w:rsid w:val="849643E4"/>
    <w:rsid w:val="8FEFD441"/>
    <w:rsid w:val="99F6E3A3"/>
    <w:rsid w:val="9BDEF9FA"/>
    <w:rsid w:val="9DA70D81"/>
    <w:rsid w:val="9F970D1A"/>
    <w:rsid w:val="9FF79637"/>
    <w:rsid w:val="A1E77189"/>
    <w:rsid w:val="A6F34FD9"/>
    <w:rsid w:val="ACBFE489"/>
    <w:rsid w:val="AF537E44"/>
    <w:rsid w:val="B3CEA73D"/>
    <w:rsid w:val="B3E7BE03"/>
    <w:rsid w:val="B6EC242F"/>
    <w:rsid w:val="B74FACE8"/>
    <w:rsid w:val="BF77CEDB"/>
    <w:rsid w:val="BF7FB85D"/>
    <w:rsid w:val="BF9F8E77"/>
    <w:rsid w:val="BFFE8F1A"/>
    <w:rsid w:val="CDFB2578"/>
    <w:rsid w:val="CEEB080C"/>
    <w:rsid w:val="D69E4EDF"/>
    <w:rsid w:val="D76D74E5"/>
    <w:rsid w:val="DB7D5EA0"/>
    <w:rsid w:val="DD9F7599"/>
    <w:rsid w:val="DDDF2C2B"/>
    <w:rsid w:val="DEE7F3E8"/>
    <w:rsid w:val="DEFB2BE5"/>
    <w:rsid w:val="DEFF2C78"/>
    <w:rsid w:val="DEFFCAF4"/>
    <w:rsid w:val="DF65B2FC"/>
    <w:rsid w:val="DFBDA2F0"/>
    <w:rsid w:val="DFFE8C43"/>
    <w:rsid w:val="DFFF9A22"/>
    <w:rsid w:val="E1FD5DBF"/>
    <w:rsid w:val="EA97D896"/>
    <w:rsid w:val="ED59C793"/>
    <w:rsid w:val="EDEC1ACF"/>
    <w:rsid w:val="EEEFBC8F"/>
    <w:rsid w:val="EFA6F7FD"/>
    <w:rsid w:val="EFF5C688"/>
    <w:rsid w:val="F2BFE161"/>
    <w:rsid w:val="F2EF75BA"/>
    <w:rsid w:val="F3E56D5D"/>
    <w:rsid w:val="F77F373D"/>
    <w:rsid w:val="F7BF9786"/>
    <w:rsid w:val="F7BFC919"/>
    <w:rsid w:val="F7DF8DAA"/>
    <w:rsid w:val="F7EF358D"/>
    <w:rsid w:val="F9BC952A"/>
    <w:rsid w:val="F9DFF6C8"/>
    <w:rsid w:val="FAFDF39E"/>
    <w:rsid w:val="FAFF9E7D"/>
    <w:rsid w:val="FAFFD4C5"/>
    <w:rsid w:val="FB5316F5"/>
    <w:rsid w:val="FBBF4DBD"/>
    <w:rsid w:val="FBCCEA49"/>
    <w:rsid w:val="FBF79515"/>
    <w:rsid w:val="FBFAD9FB"/>
    <w:rsid w:val="FBFD630B"/>
    <w:rsid w:val="FCBFBC83"/>
    <w:rsid w:val="FCDB520A"/>
    <w:rsid w:val="FCEF694E"/>
    <w:rsid w:val="FD2E47C9"/>
    <w:rsid w:val="FD5F4DE3"/>
    <w:rsid w:val="FD755AD1"/>
    <w:rsid w:val="FDDF9C9D"/>
    <w:rsid w:val="FDE70B82"/>
    <w:rsid w:val="FDFB8C30"/>
    <w:rsid w:val="FE6F8C46"/>
    <w:rsid w:val="FEDF6D90"/>
    <w:rsid w:val="FF2B9DAC"/>
    <w:rsid w:val="FF7321B6"/>
    <w:rsid w:val="FF7DB67C"/>
    <w:rsid w:val="FF7F1F72"/>
    <w:rsid w:val="FF7F807F"/>
    <w:rsid w:val="FFB8AD3C"/>
    <w:rsid w:val="FFBF403F"/>
    <w:rsid w:val="FFBFB436"/>
    <w:rsid w:val="FFDFBA9D"/>
    <w:rsid w:val="FFF3527F"/>
    <w:rsid w:val="FFF70227"/>
    <w:rsid w:val="FFFB9372"/>
    <w:rsid w:val="FFFC4F8F"/>
    <w:rsid w:val="FFFEDA28"/>
    <w:rsid w:val="FFFF30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next w:val="1"/>
    <w:qFormat/>
    <w:uiPriority w:val="0"/>
    <w:pPr>
      <w:widowControl w:val="0"/>
      <w:spacing w:after="120"/>
      <w:ind w:left="420" w:leftChars="200"/>
      <w:jc w:val="both"/>
    </w:pPr>
    <w:rPr>
      <w:rFonts w:ascii="Times New Roman" w:hAnsi="Times New Roman" w:eastAsia="仿宋" w:cs="Times New Roman"/>
      <w:kern w:val="2"/>
      <w:sz w:val="32"/>
      <w:szCs w:val="22"/>
      <w:lang w:bidi="ar-SA"/>
    </w:rPr>
  </w:style>
  <w:style w:type="paragraph" w:styleId="4">
    <w:name w:val="Date"/>
    <w:basedOn w:val="1"/>
    <w:next w:val="1"/>
    <w:link w:val="19"/>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20"/>
    <w:uiPriority w:val="0"/>
    <w:pPr>
      <w:tabs>
        <w:tab w:val="center" w:pos="4153"/>
        <w:tab w:val="right" w:pos="8306"/>
      </w:tabs>
      <w:snapToGrid w:val="0"/>
      <w:jc w:val="left"/>
    </w:pPr>
    <w:rPr>
      <w:sz w:val="18"/>
      <w:szCs w:val="18"/>
    </w:rPr>
  </w:style>
  <w:style w:type="paragraph" w:styleId="7">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9">
    <w:name w:val="Title"/>
    <w:basedOn w:val="1"/>
    <w:qFormat/>
    <w:uiPriority w:val="0"/>
    <w:pPr>
      <w:spacing w:before="240" w:after="60"/>
      <w:jc w:val="center"/>
      <w:textAlignment w:val="baseline"/>
    </w:pPr>
    <w:rPr>
      <w:rFonts w:ascii="Arial" w:hAnsi="Arial" w:eastAsia="宋体" w:cs="Times New Roman"/>
      <w:b/>
      <w:sz w:val="32"/>
      <w:szCs w:val="24"/>
      <w:lang w:bidi="ar-SA"/>
    </w:rPr>
  </w:style>
  <w:style w:type="paragraph" w:styleId="10">
    <w:name w:val="Body Text First Indent 2"/>
    <w:basedOn w:val="3"/>
    <w:next w:val="1"/>
    <w:qFormat/>
    <w:uiPriority w:val="0"/>
    <w:pPr>
      <w:ind w:firstLine="420" w:firstLineChars="248"/>
    </w:pPr>
    <w:rPr>
      <w:rFonts w:ascii="仿宋" w:cs="仿宋"/>
      <w:sz w:val="21"/>
      <w:szCs w:val="32"/>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0"/>
    <w:rPr>
      <w:rFonts w:ascii="Times New Roman" w:hAnsi="Times New Roman" w:eastAsia="宋体" w:cs="Times New Roman"/>
      <w:b/>
    </w:rPr>
  </w:style>
  <w:style w:type="character" w:styleId="15">
    <w:name w:val="page number"/>
    <w:basedOn w:val="13"/>
    <w:uiPriority w:val="0"/>
  </w:style>
  <w:style w:type="character" w:styleId="16">
    <w:name w:val="Hyperlink"/>
    <w:basedOn w:val="13"/>
    <w:qFormat/>
    <w:uiPriority w:val="0"/>
    <w:rPr>
      <w:rFonts w:ascii="Times New Roman" w:hAnsi="Times New Roman" w:eastAsia="宋体" w:cs="Times New Roman"/>
      <w:color w:val="0000FF"/>
      <w:u w:val="single"/>
    </w:rPr>
  </w:style>
  <w:style w:type="paragraph" w:customStyle="1" w:styleId="17">
    <w:name w:val="ToCaption"/>
    <w:basedOn w:val="1"/>
    <w:next w:val="1"/>
    <w:qFormat/>
    <w:uiPriority w:val="0"/>
    <w:pPr>
      <w:ind w:left="200" w:leftChars="200" w:hanging="200" w:hangingChars="200"/>
      <w:jc w:val="both"/>
      <w:textAlignment w:val="baseline"/>
    </w:pPr>
    <w:rPr>
      <w:rFonts w:ascii="Times New Roman" w:hAnsi="Times New Roman" w:eastAsia="宋体" w:cs="Times New Roman"/>
      <w:szCs w:val="24"/>
      <w:lang w:bidi="ar-SA"/>
    </w:rPr>
  </w:style>
  <w:style w:type="paragraph" w:customStyle="1" w:styleId="18">
    <w:name w:val="公文正文"/>
    <w:basedOn w:val="8"/>
    <w:qFormat/>
    <w:uiPriority w:val="0"/>
    <w:pPr>
      <w:adjustRightInd w:val="0"/>
      <w:snapToGrid w:val="0"/>
      <w:spacing w:beforeAutospacing="0" w:afterAutospacing="0" w:line="580" w:lineRule="exact"/>
      <w:ind w:firstLine="640" w:firstLineChars="200"/>
      <w:jc w:val="left"/>
    </w:pPr>
    <w:rPr>
      <w:rFonts w:ascii="Calibri" w:hAnsi="Calibri" w:eastAsia="仿宋_GB2312" w:cs="Times New Roman"/>
      <w:kern w:val="0"/>
      <w:sz w:val="32"/>
      <w:lang w:bidi="ar"/>
    </w:rPr>
  </w:style>
  <w:style w:type="character" w:customStyle="1" w:styleId="19">
    <w:name w:val=" Char Char2"/>
    <w:basedOn w:val="13"/>
    <w:link w:val="4"/>
    <w:uiPriority w:val="0"/>
    <w:rPr>
      <w:rFonts w:ascii="仿宋_GB2312" w:hAnsi="Times New Roman" w:eastAsia="仿宋_GB2312" w:cs="Times New Roman"/>
      <w:kern w:val="2"/>
      <w:sz w:val="32"/>
      <w:szCs w:val="24"/>
      <w:lang w:bidi="ar-SA"/>
    </w:rPr>
  </w:style>
  <w:style w:type="character" w:customStyle="1" w:styleId="20">
    <w:name w:val=" Char Char"/>
    <w:basedOn w:val="13"/>
    <w:link w:val="6"/>
    <w:semiHidden/>
    <w:uiPriority w:val="99"/>
    <w:rPr>
      <w:rFonts w:ascii="Times New Roman" w:hAnsi="Times New Roman" w:eastAsia="宋体" w:cs="Times New Roman"/>
      <w:kern w:val="2"/>
      <w:sz w:val="18"/>
      <w:szCs w:val="22"/>
    </w:rPr>
  </w:style>
  <w:style w:type="character" w:customStyle="1" w:styleId="21">
    <w:name w:val=" Char Char1"/>
    <w:basedOn w:val="13"/>
    <w:link w:val="7"/>
    <w:semiHidden/>
    <w:uiPriority w:val="99"/>
    <w:rPr>
      <w:rFonts w:ascii="Times New Roman" w:hAnsi="Times New Roman" w:eastAsia="宋体" w:cs="Times New Roman"/>
      <w:kern w:val="2"/>
      <w:sz w:val="18"/>
      <w:szCs w:val="22"/>
    </w:rPr>
  </w:style>
  <w:style w:type="character" w:customStyle="1" w:styleId="22">
    <w:name w:val="页眉 Char"/>
    <w:basedOn w:val="13"/>
    <w:qFormat/>
    <w:uiPriority w:val="0"/>
    <w:rPr>
      <w:rFonts w:ascii="Calibri" w:hAnsi="Calibri" w:eastAsia="宋体" w:cs="Times New Roman"/>
      <w:sz w:val="18"/>
    </w:rPr>
  </w:style>
  <w:style w:type="character" w:customStyle="1" w:styleId="23">
    <w:name w:val="页脚 Char"/>
    <w:basedOn w:val="13"/>
    <w:qFormat/>
    <w:uiPriority w:val="0"/>
    <w:rPr>
      <w:rFonts w:ascii="Calibri" w:hAnsi="Calibri"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2023-10-20T07:15:01Z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