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460" w:lineRule="exact"/>
        <w:ind w:firstLine="160" w:firstLineChars="5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val="0"/>
        <w:snapToGrid w:val="0"/>
        <w:spacing w:line="460" w:lineRule="exact"/>
        <w:jc w:val="both"/>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关于高质量推动高标准农田建设的通知</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内政办发〔2024〕1</w:t>
      </w:r>
      <w:r>
        <w:rPr>
          <w:rFonts w:hint="eastAsia" w:ascii="仿宋_GB2312" w:hAnsi="华文仿宋" w:eastAsia="仿宋_GB2312"/>
          <w:sz w:val="32"/>
          <w:lang w:val="en-US" w:eastAsia="zh-CN"/>
        </w:rPr>
        <w:t>6</w:t>
      </w:r>
      <w:r>
        <w:rPr>
          <w:rFonts w:hint="eastAsia" w:ascii="仿宋_GB2312" w:hAnsi="华文仿宋" w:eastAsia="仿宋_GB2312"/>
          <w:sz w:val="32"/>
          <w:lang w:eastAsia="zh-CN"/>
        </w:rPr>
        <w:t>号</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right="0" w:rightChars="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为深入贯彻落实党中央、国务院关于高标准农田建设的决策部署，坚持以铸牢中华民族共同体意识为工作主线，学习运用</w:t>
      </w:r>
      <w:r>
        <w:rPr>
          <w:rFonts w:hint="eastAsia" w:ascii="仿宋" w:hAnsi="仿宋" w:eastAsia="仿宋" w:cs="仿宋"/>
          <w:i w:val="0"/>
          <w:iCs w:val="0"/>
          <w:caps w:val="0"/>
          <w:spacing w:val="0"/>
          <w:sz w:val="32"/>
          <w:szCs w:val="32"/>
          <w:highlight w:val="none"/>
          <w:u w:val="none"/>
          <w:shd w:val="clear" w:color="auto" w:fill="auto"/>
        </w:rPr>
        <w:t>“千万工程”</w:t>
      </w:r>
      <w:r>
        <w:rPr>
          <w:rFonts w:hint="eastAsia" w:ascii="仿宋" w:hAnsi="仿宋" w:eastAsia="仿宋" w:cs="仿宋"/>
          <w:i w:val="0"/>
          <w:iCs w:val="0"/>
          <w:caps w:val="0"/>
          <w:spacing w:val="0"/>
          <w:sz w:val="32"/>
          <w:szCs w:val="32"/>
          <w:highlight w:val="none"/>
          <w:u w:val="none"/>
          <w:shd w:val="clear" w:color="auto" w:fill="auto"/>
          <w:lang w:val="en-US" w:eastAsia="zh-CN"/>
        </w:rPr>
        <w:t>经验</w:t>
      </w:r>
      <w:r>
        <w:rPr>
          <w:rFonts w:hint="eastAsia" w:ascii="仿宋" w:hAnsi="仿宋" w:eastAsia="仿宋" w:cs="仿宋"/>
          <w:sz w:val="32"/>
          <w:szCs w:val="32"/>
          <w:highlight w:val="none"/>
          <w:u w:val="none"/>
          <w:lang w:val="en-US" w:eastAsia="zh-CN"/>
        </w:rPr>
        <w:t>推动全区高标准农田建设数量、质量双提升，确保到2032年率先将永久基本农田全部建成高标准农田</w:t>
      </w:r>
      <w:r>
        <w:rPr>
          <w:rFonts w:hint="eastAsia" w:ascii="仿宋" w:hAnsi="仿宋" w:eastAsia="仿宋" w:cs="仿宋"/>
          <w:sz w:val="32"/>
          <w:szCs w:val="32"/>
          <w:highlight w:val="none"/>
          <w:u w:val="none"/>
        </w:rPr>
        <w:t>，保障国家粮食安全</w:t>
      </w:r>
      <w:r>
        <w:rPr>
          <w:rFonts w:hint="eastAsia" w:ascii="仿宋" w:hAnsi="仿宋" w:eastAsia="仿宋" w:cs="仿宋"/>
          <w:sz w:val="32"/>
          <w:szCs w:val="32"/>
          <w:highlight w:val="none"/>
          <w:u w:val="none"/>
          <w:lang w:val="en-US" w:eastAsia="zh-CN"/>
        </w:rPr>
        <w:t>。经自治区人民政府同意，现就高质量推动高标准农田建设有关事宜通知如下。</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rPr>
          <w:rFonts w:hint="eastAsia" w:ascii="黑体" w:hAnsi="黑体" w:eastAsia="黑体" w:cs="黑体"/>
          <w:b w:val="0"/>
          <w:bCs w:val="0"/>
          <w:sz w:val="32"/>
          <w:szCs w:val="32"/>
          <w:highlight w:val="none"/>
          <w:u w:val="none"/>
        </w:rPr>
      </w:pPr>
      <w:r>
        <w:rPr>
          <w:rFonts w:hint="eastAsia" w:ascii="黑体" w:hAnsi="黑体" w:eastAsia="黑体" w:cs="黑体"/>
          <w:b w:val="0"/>
          <w:bCs w:val="0"/>
          <w:strike w:val="0"/>
          <w:dstrike w:val="0"/>
          <w:sz w:val="32"/>
          <w:szCs w:val="32"/>
          <w:highlight w:val="none"/>
          <w:u w:val="none"/>
          <w:lang w:eastAsia="zh-CN"/>
        </w:rPr>
        <w:t>一、</w:t>
      </w:r>
      <w:r>
        <w:rPr>
          <w:rFonts w:hint="eastAsia" w:ascii="黑体" w:hAnsi="黑体" w:eastAsia="黑体" w:cs="黑体"/>
          <w:b w:val="0"/>
          <w:bCs w:val="0"/>
          <w:strike w:val="0"/>
          <w:dstrike w:val="0"/>
          <w:sz w:val="32"/>
          <w:szCs w:val="32"/>
          <w:highlight w:val="none"/>
          <w:u w:val="none"/>
        </w:rPr>
        <w:t>合理确定补助标准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rPr>
          <w:rFonts w:hint="eastAsia" w:ascii="楷体" w:hAnsi="楷体" w:eastAsia="楷体" w:cs="楷体"/>
          <w:b w:val="0"/>
          <w:bCs w:val="0"/>
          <w:sz w:val="32"/>
          <w:szCs w:val="32"/>
          <w:highlight w:val="none"/>
          <w:u w:val="none"/>
        </w:rPr>
      </w:pPr>
      <w:r>
        <w:rPr>
          <w:rFonts w:hint="eastAsia" w:ascii="仿宋" w:hAnsi="仿宋" w:eastAsia="仿宋" w:cs="仿宋"/>
          <w:color w:val="auto"/>
          <w:kern w:val="2"/>
          <w:sz w:val="32"/>
          <w:szCs w:val="32"/>
          <w:highlight w:val="none"/>
          <w:u w:val="none"/>
          <w:lang w:val="en-US" w:eastAsia="zh-CN" w:bidi="ar"/>
        </w:rPr>
        <w:t>统筹整合高标准农田建设中央预算内和中央财政转移支付等渠道投资。国家要求配套投入高标准农田建设的支出由自治区本级财政承担，盟市、旗县（市、区）不再配套</w:t>
      </w:r>
      <w:r>
        <w:rPr>
          <w:rFonts w:hint="eastAsia" w:ascii="仿宋" w:hAnsi="仿宋" w:eastAsia="仿宋" w:cs="仿宋"/>
          <w:kern w:val="2"/>
          <w:sz w:val="32"/>
          <w:szCs w:val="32"/>
          <w:highlight w:val="none"/>
          <w:u w:val="none"/>
          <w:lang w:val="en-US" w:eastAsia="zh-CN" w:bidi="ar"/>
        </w:rPr>
        <w:t>。</w:t>
      </w:r>
      <w:r>
        <w:rPr>
          <w:rFonts w:hint="eastAsia" w:ascii="仿宋" w:hAnsi="仿宋" w:eastAsia="仿宋" w:cs="仿宋"/>
          <w:color w:val="auto"/>
          <w:sz w:val="32"/>
          <w:szCs w:val="32"/>
          <w:highlight w:val="none"/>
          <w:u w:val="none"/>
          <w:lang w:val="en-US" w:eastAsia="zh-CN"/>
        </w:rPr>
        <w:t>自治区分类确定对各盟市的</w:t>
      </w:r>
      <w:r>
        <w:rPr>
          <w:rFonts w:hint="eastAsia" w:ascii="仿宋" w:hAnsi="仿宋" w:eastAsia="仿宋" w:cs="仿宋"/>
          <w:color w:val="auto"/>
          <w:sz w:val="32"/>
          <w:szCs w:val="32"/>
          <w:highlight w:val="none"/>
          <w:u w:val="none"/>
        </w:rPr>
        <w:t>亩均</w:t>
      </w:r>
      <w:r>
        <w:rPr>
          <w:rFonts w:hint="eastAsia" w:ascii="仿宋" w:hAnsi="仿宋" w:eastAsia="仿宋" w:cs="仿宋"/>
          <w:color w:val="auto"/>
          <w:sz w:val="32"/>
          <w:szCs w:val="32"/>
          <w:highlight w:val="none"/>
          <w:u w:val="none"/>
          <w:lang w:val="en-US" w:eastAsia="zh-CN"/>
        </w:rPr>
        <w:t>财政补助标准，各盟市统筹本地区财政补助资金，按照</w:t>
      </w:r>
      <w:r>
        <w:rPr>
          <w:rFonts w:hint="eastAsia" w:ascii="仿宋" w:hAnsi="仿宋" w:eastAsia="仿宋" w:cs="仿宋"/>
          <w:color w:val="auto"/>
          <w:sz w:val="32"/>
          <w:szCs w:val="32"/>
          <w:highlight w:val="none"/>
          <w:u w:val="none"/>
        </w:rPr>
        <w:t>不同</w:t>
      </w:r>
      <w:r>
        <w:rPr>
          <w:rFonts w:hint="eastAsia" w:ascii="仿宋" w:hAnsi="仿宋" w:eastAsia="仿宋" w:cs="仿宋"/>
          <w:color w:val="auto"/>
          <w:sz w:val="32"/>
          <w:szCs w:val="32"/>
          <w:highlight w:val="none"/>
          <w:u w:val="none"/>
          <w:lang w:val="en-US" w:eastAsia="zh-CN"/>
        </w:rPr>
        <w:t>地类和</w:t>
      </w:r>
      <w:r>
        <w:rPr>
          <w:rFonts w:hint="eastAsia" w:ascii="仿宋" w:hAnsi="仿宋" w:eastAsia="仿宋" w:cs="仿宋"/>
          <w:color w:val="auto"/>
          <w:sz w:val="32"/>
          <w:szCs w:val="32"/>
          <w:highlight w:val="none"/>
          <w:u w:val="none"/>
        </w:rPr>
        <w:t>建设内容</w:t>
      </w:r>
      <w:r>
        <w:rPr>
          <w:rFonts w:hint="eastAsia" w:ascii="仿宋" w:hAnsi="仿宋" w:eastAsia="仿宋" w:cs="仿宋"/>
          <w:color w:val="auto"/>
          <w:sz w:val="32"/>
          <w:szCs w:val="32"/>
          <w:highlight w:val="none"/>
          <w:u w:val="none"/>
          <w:lang w:val="en-US" w:eastAsia="zh-CN"/>
        </w:rPr>
        <w:t>确定对各旗县（市、区）的</w:t>
      </w:r>
      <w:r>
        <w:rPr>
          <w:rFonts w:hint="eastAsia" w:ascii="仿宋" w:hAnsi="仿宋" w:eastAsia="仿宋" w:cs="仿宋"/>
          <w:color w:val="auto"/>
          <w:sz w:val="32"/>
          <w:szCs w:val="32"/>
          <w:highlight w:val="none"/>
          <w:u w:val="none"/>
        </w:rPr>
        <w:t>亩均财政补助标准</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以旗县（市、区）为单位统筹计算</w:t>
      </w:r>
      <w:r>
        <w:rPr>
          <w:rFonts w:hint="eastAsia" w:ascii="仿宋" w:hAnsi="仿宋" w:eastAsia="仿宋" w:cs="仿宋"/>
          <w:color w:val="auto"/>
          <w:sz w:val="32"/>
          <w:szCs w:val="32"/>
          <w:highlight w:val="none"/>
          <w:u w:val="none"/>
        </w:rPr>
        <w:t>。高</w:t>
      </w:r>
      <w:r>
        <w:rPr>
          <w:rFonts w:hint="eastAsia" w:ascii="仿宋" w:hAnsi="仿宋" w:eastAsia="仿宋" w:cs="仿宋"/>
          <w:sz w:val="32"/>
          <w:szCs w:val="32"/>
          <w:highlight w:val="none"/>
          <w:u w:val="none"/>
        </w:rPr>
        <w:t>标准农田</w:t>
      </w:r>
      <w:r>
        <w:rPr>
          <w:rFonts w:hint="eastAsia" w:ascii="仿宋" w:hAnsi="仿宋" w:eastAsia="仿宋" w:cs="仿宋"/>
          <w:sz w:val="32"/>
          <w:szCs w:val="32"/>
          <w:highlight w:val="none"/>
          <w:u w:val="none"/>
          <w:lang w:val="en-US" w:eastAsia="zh-CN"/>
        </w:rPr>
        <w:t>设计和建设过程中，要按照</w:t>
      </w:r>
      <w:r>
        <w:rPr>
          <w:rFonts w:hint="eastAsia" w:ascii="仿宋" w:hAnsi="仿宋" w:eastAsia="仿宋" w:cs="仿宋"/>
          <w:sz w:val="32"/>
          <w:szCs w:val="32"/>
          <w:highlight w:val="none"/>
          <w:u w:val="none"/>
        </w:rPr>
        <w:t>每亩</w:t>
      </w:r>
      <w:r>
        <w:rPr>
          <w:rFonts w:hint="eastAsia" w:ascii="仿宋" w:hAnsi="仿宋" w:eastAsia="仿宋" w:cs="仿宋"/>
          <w:sz w:val="32"/>
          <w:szCs w:val="32"/>
          <w:highlight w:val="none"/>
          <w:u w:val="none"/>
          <w:lang w:val="en-US" w:eastAsia="zh-CN"/>
        </w:rPr>
        <w:t>不低于</w:t>
      </w:r>
      <w:r>
        <w:rPr>
          <w:rFonts w:hint="eastAsia" w:ascii="仿宋" w:hAnsi="仿宋" w:eastAsia="仿宋" w:cs="仿宋"/>
          <w:sz w:val="32"/>
          <w:szCs w:val="32"/>
          <w:highlight w:val="none"/>
          <w:u w:val="none"/>
        </w:rPr>
        <w:t>100元的</w:t>
      </w:r>
      <w:r>
        <w:rPr>
          <w:rFonts w:hint="eastAsia" w:ascii="仿宋" w:hAnsi="仿宋" w:eastAsia="仿宋" w:cs="仿宋"/>
          <w:sz w:val="32"/>
          <w:szCs w:val="32"/>
          <w:highlight w:val="none"/>
          <w:u w:val="none"/>
          <w:lang w:val="en-US" w:eastAsia="zh-CN"/>
        </w:rPr>
        <w:t>标准进行</w:t>
      </w:r>
      <w:r>
        <w:rPr>
          <w:rFonts w:hint="eastAsia" w:ascii="仿宋" w:hAnsi="仿宋" w:eastAsia="仿宋" w:cs="仿宋"/>
          <w:sz w:val="32"/>
          <w:szCs w:val="32"/>
          <w:highlight w:val="none"/>
          <w:u w:val="none"/>
        </w:rPr>
        <w:t>筹资投劳。</w:t>
      </w:r>
      <w:r>
        <w:rPr>
          <w:rFonts w:hint="eastAsia" w:ascii="仿宋" w:hAnsi="仿宋" w:eastAsia="仿宋" w:cs="仿宋"/>
          <w:sz w:val="32"/>
          <w:szCs w:val="32"/>
          <w:highlight w:val="none"/>
          <w:u w:val="none"/>
          <w:lang w:val="en-US" w:eastAsia="zh-CN"/>
        </w:rPr>
        <w:t>倡</w:t>
      </w:r>
      <w:r>
        <w:rPr>
          <w:rFonts w:hint="eastAsia" w:ascii="仿宋" w:hAnsi="仿宋" w:eastAsia="仿宋" w:cs="仿宋"/>
          <w:color w:val="auto"/>
          <w:sz w:val="32"/>
          <w:szCs w:val="32"/>
          <w:highlight w:val="none"/>
          <w:u w:val="none"/>
          <w:lang w:val="en-US" w:eastAsia="zh-CN"/>
        </w:rPr>
        <w:t>导旗县级以上地方各级人民政府统筹</w:t>
      </w:r>
      <w:r>
        <w:rPr>
          <w:rFonts w:hint="eastAsia" w:ascii="仿宋" w:hAnsi="仿宋" w:eastAsia="仿宋" w:cs="仿宋"/>
          <w:sz w:val="32"/>
          <w:szCs w:val="32"/>
          <w:highlight w:val="none"/>
          <w:u w:val="none"/>
          <w:lang w:val="en-US" w:eastAsia="zh-CN"/>
        </w:rPr>
        <w:t>符合条件的农牧、水利、林草、交通等各类项目资金用于高标准农田建设。鼓励全产业链农牧企业等社会资本投资和参与建设运营高标准农田。</w:t>
      </w:r>
      <w:r>
        <w:rPr>
          <w:rFonts w:hint="eastAsia" w:ascii="楷体" w:hAnsi="楷体" w:eastAsia="楷体" w:cs="楷体"/>
          <w:b w:val="0"/>
          <w:bCs w:val="0"/>
          <w:sz w:val="32"/>
          <w:szCs w:val="32"/>
          <w:highlight w:val="none"/>
          <w:u w:val="none"/>
        </w:rPr>
        <w:t>（责任单位：自治区财政厅</w:t>
      </w:r>
      <w:r>
        <w:rPr>
          <w:rFonts w:hint="eastAsia" w:ascii="楷体" w:hAnsi="楷体" w:eastAsia="楷体" w:cs="楷体"/>
          <w:b w:val="0"/>
          <w:bCs w:val="0"/>
          <w:sz w:val="32"/>
          <w:szCs w:val="32"/>
          <w:highlight w:val="none"/>
          <w:u w:val="none"/>
          <w:lang w:eastAsia="zh-CN"/>
        </w:rPr>
        <w:t>、</w:t>
      </w:r>
      <w:r>
        <w:rPr>
          <w:rFonts w:hint="eastAsia" w:ascii="楷体" w:hAnsi="楷体" w:eastAsia="楷体" w:cs="楷体"/>
          <w:b w:val="0"/>
          <w:bCs w:val="0"/>
          <w:sz w:val="32"/>
          <w:szCs w:val="32"/>
          <w:highlight w:val="none"/>
          <w:u w:val="none"/>
          <w:lang w:val="en-US" w:eastAsia="zh-CN"/>
        </w:rPr>
        <w:t>发展改革委、农牧厅</w:t>
      </w:r>
      <w:r>
        <w:rPr>
          <w:rFonts w:hint="eastAsia" w:ascii="楷体" w:hAnsi="楷体" w:eastAsia="楷体" w:cs="楷体"/>
          <w:b w:val="0"/>
          <w:bCs w:val="0"/>
          <w:sz w:val="32"/>
          <w:szCs w:val="32"/>
          <w:highlight w:val="none"/>
          <w:u w:val="none"/>
        </w:rPr>
        <w:t>）</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rPr>
          <w:rFonts w:hint="eastAsia" w:ascii="黑体" w:hAnsi="黑体" w:eastAsia="黑体" w:cs="黑体"/>
          <w:b/>
          <w:bCs/>
          <w:sz w:val="32"/>
          <w:szCs w:val="32"/>
          <w:highlight w:val="none"/>
          <w:u w:val="none"/>
        </w:rPr>
      </w:pPr>
      <w:r>
        <w:rPr>
          <w:rFonts w:hint="eastAsia" w:ascii="黑体" w:hAnsi="黑体" w:eastAsia="黑体" w:cs="黑体"/>
          <w:b w:val="0"/>
          <w:bCs w:val="0"/>
          <w:sz w:val="32"/>
          <w:szCs w:val="32"/>
          <w:highlight w:val="none"/>
          <w:u w:val="none"/>
          <w:lang w:val="en-US" w:eastAsia="zh-CN"/>
        </w:rPr>
        <w:t>二、</w:t>
      </w:r>
      <w:r>
        <w:rPr>
          <w:rFonts w:hint="eastAsia" w:ascii="黑体" w:hAnsi="黑体" w:eastAsia="黑体" w:cs="黑体"/>
          <w:b w:val="0"/>
          <w:bCs w:val="0"/>
          <w:sz w:val="32"/>
          <w:szCs w:val="32"/>
          <w:highlight w:val="none"/>
          <w:u w:val="none"/>
        </w:rPr>
        <w:t>优化前期工作</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rPr>
          <w:rFonts w:hint="eastAsia" w:ascii="楷体" w:hAnsi="楷体" w:eastAsia="楷体" w:cs="楷体"/>
          <w:b w:val="0"/>
          <w:bCs w:val="0"/>
          <w:sz w:val="32"/>
          <w:szCs w:val="32"/>
          <w:highlight w:val="none"/>
          <w:u w:val="none"/>
        </w:rPr>
      </w:pPr>
      <w:r>
        <w:rPr>
          <w:rFonts w:hint="eastAsia" w:ascii="仿宋" w:hAnsi="仿宋" w:eastAsia="仿宋" w:cs="仿宋"/>
          <w:kern w:val="2"/>
          <w:sz w:val="32"/>
          <w:szCs w:val="32"/>
          <w:highlight w:val="none"/>
          <w:u w:val="none"/>
          <w:lang w:val="en-US" w:eastAsia="zh-CN" w:bidi="ar-SA"/>
        </w:rPr>
        <w:t>逐步将剩余永久基本农田全部录入项目储备库，立足实际确定建设任务和优先序，坚持先易后难，优先推进试点地区、黑土地区、平原地区、具备水利灌溉条件地区和整建制剩余任务较少地区的高标准农田建设，统筹推进黑土地保护利用和盐碱耕地治理改良。推动旗县（市、区）</w:t>
      </w:r>
      <w:r>
        <w:rPr>
          <w:rFonts w:hint="eastAsia" w:ascii="仿宋" w:hAnsi="仿宋" w:eastAsia="仿宋" w:cs="仿宋"/>
          <w:sz w:val="32"/>
          <w:szCs w:val="32"/>
          <w:highlight w:val="none"/>
          <w:u w:val="none"/>
          <w:lang w:val="en-US" w:eastAsia="zh-CN"/>
        </w:rPr>
        <w:t>按照立项前3年亩均实际支出金额，</w:t>
      </w:r>
      <w:r>
        <w:rPr>
          <w:rFonts w:hint="eastAsia" w:ascii="仿宋" w:hAnsi="仿宋" w:eastAsia="仿宋" w:cs="仿宋"/>
          <w:kern w:val="2"/>
          <w:sz w:val="32"/>
          <w:szCs w:val="32"/>
          <w:highlight w:val="none"/>
          <w:u w:val="none"/>
          <w:lang w:val="en-US" w:eastAsia="zh-CN" w:bidi="ar-SA"/>
        </w:rPr>
        <w:t>提前开展设计招标、初步设计、</w:t>
      </w:r>
      <w:r>
        <w:rPr>
          <w:rFonts w:hint="eastAsia" w:ascii="仿宋" w:hAnsi="仿宋" w:eastAsia="仿宋" w:cs="仿宋"/>
          <w:kern w:val="2"/>
          <w:sz w:val="32"/>
          <w:szCs w:val="32"/>
          <w:highlight w:val="none"/>
          <w:u w:val="none"/>
        </w:rPr>
        <w:t>水资源论证审批</w:t>
      </w:r>
      <w:r>
        <w:rPr>
          <w:rFonts w:hint="eastAsia" w:ascii="仿宋" w:hAnsi="仿宋" w:eastAsia="仿宋" w:cs="仿宋"/>
          <w:kern w:val="2"/>
          <w:sz w:val="32"/>
          <w:szCs w:val="32"/>
          <w:highlight w:val="none"/>
          <w:u w:val="none"/>
          <w:lang w:val="en-US" w:eastAsia="zh-CN" w:bidi="ar-SA"/>
        </w:rPr>
        <w:t>等前期工作，确保建设年度3月底前具备开工条件，避免“钱等项目”。</w:t>
      </w:r>
      <w:r>
        <w:rPr>
          <w:rFonts w:hint="eastAsia" w:ascii="仿宋" w:hAnsi="仿宋" w:eastAsia="仿宋" w:cs="仿宋"/>
          <w:b w:val="0"/>
          <w:bCs w:val="0"/>
          <w:sz w:val="32"/>
          <w:szCs w:val="32"/>
          <w:highlight w:val="none"/>
          <w:u w:val="none"/>
          <w:lang w:val="en-US" w:eastAsia="zh-CN"/>
        </w:rPr>
        <w:t>坚持</w:t>
      </w:r>
      <w:r>
        <w:rPr>
          <w:rFonts w:hint="eastAsia" w:ascii="仿宋" w:hAnsi="仿宋" w:eastAsia="仿宋" w:cs="仿宋"/>
          <w:bCs w:val="0"/>
          <w:sz w:val="32"/>
          <w:szCs w:val="32"/>
          <w:highlight w:val="none"/>
          <w:u w:val="none"/>
          <w:lang w:eastAsia="zh-CN"/>
        </w:rPr>
        <w:t>“</w:t>
      </w:r>
      <w:r>
        <w:rPr>
          <w:rFonts w:hint="eastAsia" w:ascii="仿宋" w:hAnsi="仿宋" w:eastAsia="仿宋" w:cs="仿宋"/>
          <w:bCs w:val="0"/>
          <w:sz w:val="32"/>
          <w:szCs w:val="32"/>
          <w:highlight w:val="none"/>
          <w:u w:val="none"/>
        </w:rPr>
        <w:t>节水</w:t>
      </w:r>
      <w:r>
        <w:rPr>
          <w:rFonts w:hint="eastAsia" w:ascii="仿宋" w:hAnsi="仿宋" w:eastAsia="仿宋" w:cs="仿宋"/>
          <w:bCs w:val="0"/>
          <w:sz w:val="32"/>
          <w:szCs w:val="32"/>
          <w:highlight w:val="none"/>
          <w:u w:val="none"/>
          <w:lang w:val="en-US" w:eastAsia="zh-CN"/>
        </w:rPr>
        <w:t>优先</w:t>
      </w:r>
      <w:r>
        <w:rPr>
          <w:rFonts w:hint="eastAsia" w:ascii="仿宋" w:hAnsi="仿宋" w:eastAsia="仿宋" w:cs="仿宋"/>
          <w:bCs w:val="0"/>
          <w:sz w:val="32"/>
          <w:szCs w:val="32"/>
          <w:highlight w:val="none"/>
          <w:u w:val="none"/>
          <w:lang w:eastAsia="zh-CN"/>
        </w:rPr>
        <w:t>”</w:t>
      </w:r>
      <w:r>
        <w:rPr>
          <w:rFonts w:hint="eastAsia" w:ascii="仿宋" w:hAnsi="仿宋" w:eastAsia="仿宋" w:cs="仿宋"/>
          <w:bCs w:val="0"/>
          <w:sz w:val="32"/>
          <w:szCs w:val="32"/>
          <w:highlight w:val="none"/>
          <w:u w:val="none"/>
          <w:lang w:val="en-US" w:eastAsia="zh-CN"/>
        </w:rPr>
        <w:t>设计理念</w:t>
      </w:r>
      <w:r>
        <w:rPr>
          <w:rFonts w:hint="eastAsia" w:ascii="仿宋" w:hAnsi="仿宋" w:eastAsia="仿宋" w:cs="仿宋"/>
          <w:bCs w:val="0"/>
          <w:sz w:val="32"/>
          <w:szCs w:val="32"/>
          <w:highlight w:val="none"/>
          <w:u w:val="none"/>
          <w:lang w:eastAsia="zh-CN"/>
        </w:rPr>
        <w:t>，严格执行地下水管控单元总量控制要求，</w:t>
      </w:r>
      <w:r>
        <w:rPr>
          <w:rFonts w:hint="eastAsia" w:ascii="仿宋" w:hAnsi="仿宋" w:eastAsia="仿宋" w:cs="仿宋"/>
          <w:bCs w:val="0"/>
          <w:sz w:val="32"/>
          <w:szCs w:val="32"/>
          <w:highlight w:val="none"/>
          <w:u w:val="none"/>
          <w:lang w:val="en-US" w:eastAsia="zh-CN"/>
        </w:rPr>
        <w:t>因地制宜开展水肥一体化高效节水灌溉。</w:t>
      </w:r>
      <w:r>
        <w:rPr>
          <w:rFonts w:hint="eastAsia" w:ascii="仿宋" w:hAnsi="仿宋" w:eastAsia="仿宋" w:cs="仿宋"/>
          <w:kern w:val="2"/>
          <w:sz w:val="32"/>
          <w:szCs w:val="32"/>
          <w:highlight w:val="none"/>
          <w:u w:val="none"/>
          <w:lang w:val="en-US" w:eastAsia="zh-CN" w:bidi="ar-SA"/>
        </w:rPr>
        <w:t>对高标准农田建设中的林草地占用审批和砂石料取用许可、取水许可审批等开通绿色通道。</w:t>
      </w:r>
      <w:r>
        <w:rPr>
          <w:rFonts w:hint="eastAsia" w:ascii="仿宋" w:hAnsi="仿宋" w:eastAsia="仿宋" w:cs="仿宋"/>
          <w:sz w:val="32"/>
          <w:szCs w:val="32"/>
          <w:highlight w:val="none"/>
          <w:u w:val="none"/>
          <w:lang w:val="en-US" w:eastAsia="zh-CN"/>
        </w:rPr>
        <w:t>高标准农田建设项目立项和初步设计方案应分别经嘎查村民会议研究通过并</w:t>
      </w:r>
      <w:r>
        <w:rPr>
          <w:rFonts w:hint="eastAsia" w:ascii="仿宋" w:hAnsi="仿宋" w:eastAsia="仿宋" w:cs="仿宋"/>
          <w:sz w:val="32"/>
          <w:szCs w:val="32"/>
          <w:highlight w:val="none"/>
          <w:u w:val="none"/>
        </w:rPr>
        <w:t>签字确认。</w:t>
      </w:r>
      <w:r>
        <w:rPr>
          <w:rFonts w:hint="eastAsia" w:ascii="楷体" w:hAnsi="楷体" w:eastAsia="楷体" w:cs="楷体"/>
          <w:b w:val="0"/>
          <w:bCs w:val="0"/>
          <w:kern w:val="2"/>
          <w:sz w:val="32"/>
          <w:szCs w:val="32"/>
          <w:highlight w:val="none"/>
          <w:u w:val="none"/>
          <w:lang w:val="en-US" w:eastAsia="zh-CN" w:bidi="ar-SA"/>
        </w:rPr>
        <w:t>（责任单位：自治区农牧厅、自然资源厅、水利厅、林草局）</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rPr>
          <w:rFonts w:hint="eastAsia" w:ascii="黑体" w:hAnsi="黑体" w:eastAsia="黑体" w:cs="黑体"/>
          <w:b/>
          <w:bCs/>
          <w:sz w:val="32"/>
          <w:szCs w:val="32"/>
          <w:highlight w:val="none"/>
          <w:u w:val="none"/>
        </w:rPr>
      </w:pPr>
      <w:r>
        <w:rPr>
          <w:rFonts w:hint="eastAsia" w:ascii="黑体" w:hAnsi="黑体" w:eastAsia="黑体" w:cs="黑体"/>
          <w:b w:val="0"/>
          <w:bCs w:val="0"/>
          <w:sz w:val="32"/>
          <w:szCs w:val="32"/>
          <w:highlight w:val="none"/>
          <w:u w:val="none"/>
          <w:lang w:val="en-US" w:eastAsia="zh-CN"/>
        </w:rPr>
        <w:t>三、</w:t>
      </w:r>
      <w:r>
        <w:rPr>
          <w:rFonts w:hint="eastAsia" w:ascii="黑体" w:hAnsi="黑体" w:eastAsia="黑体" w:cs="黑体"/>
          <w:b w:val="0"/>
          <w:bCs w:val="0"/>
          <w:sz w:val="32"/>
          <w:szCs w:val="32"/>
          <w:highlight w:val="none"/>
          <w:u w:val="none"/>
        </w:rPr>
        <w:t>规范招标投标</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rPr>
          <w:rFonts w:hint="eastAsia" w:ascii="楷体" w:hAnsi="楷体" w:eastAsia="楷体" w:cs="楷体"/>
          <w:b w:val="0"/>
          <w:bCs w:val="0"/>
          <w:sz w:val="32"/>
          <w:szCs w:val="32"/>
          <w:highlight w:val="none"/>
          <w:u w:val="none"/>
        </w:rPr>
      </w:pPr>
      <w:r>
        <w:rPr>
          <w:rFonts w:hint="eastAsia" w:ascii="仿宋" w:hAnsi="仿宋" w:eastAsia="仿宋" w:cs="仿宋"/>
          <w:kern w:val="2"/>
          <w:sz w:val="32"/>
          <w:szCs w:val="32"/>
          <w:highlight w:val="none"/>
          <w:u w:val="none"/>
          <w:lang w:val="en-US" w:eastAsia="zh-CN" w:bidi="ar-SA"/>
        </w:rPr>
        <w:t>原则上施工标段面积不低于10000亩，</w:t>
      </w:r>
      <w:r>
        <w:rPr>
          <w:rFonts w:hint="eastAsia" w:ascii="仿宋" w:hAnsi="仿宋" w:eastAsia="仿宋" w:cs="仿宋"/>
          <w:sz w:val="32"/>
          <w:szCs w:val="32"/>
          <w:highlight w:val="none"/>
          <w:u w:val="none"/>
          <w:lang w:val="en-US" w:eastAsia="zh-CN"/>
        </w:rPr>
        <w:t>允许旗县（市、区）对年度施工任务整体发包。</w:t>
      </w:r>
      <w:r>
        <w:rPr>
          <w:rFonts w:hint="eastAsia" w:ascii="仿宋" w:hAnsi="仿宋" w:eastAsia="仿宋" w:cs="仿宋"/>
          <w:kern w:val="2"/>
          <w:sz w:val="32"/>
          <w:szCs w:val="32"/>
          <w:highlight w:val="none"/>
          <w:u w:val="none"/>
          <w:lang w:val="en-US" w:eastAsia="zh-CN" w:bidi="ar-SA"/>
        </w:rPr>
        <w:t>推行全过程电子化招标投标和远程异</w:t>
      </w:r>
      <w:r>
        <w:rPr>
          <w:rFonts w:hint="eastAsia" w:ascii="仿宋" w:hAnsi="仿宋" w:eastAsia="仿宋" w:cs="仿宋"/>
          <w:spacing w:val="6"/>
          <w:kern w:val="2"/>
          <w:sz w:val="32"/>
          <w:szCs w:val="32"/>
          <w:highlight w:val="none"/>
          <w:u w:val="none"/>
          <w:lang w:val="en-US" w:eastAsia="zh-CN" w:bidi="ar-SA"/>
        </w:rPr>
        <w:t>地评标，推动将设计样本</w:t>
      </w:r>
      <w:r>
        <w:rPr>
          <w:rFonts w:hint="eastAsia" w:ascii="仿宋" w:hAnsi="仿宋" w:eastAsia="仿宋" w:cs="仿宋"/>
          <w:color w:val="auto"/>
          <w:spacing w:val="6"/>
          <w:kern w:val="2"/>
          <w:sz w:val="32"/>
          <w:szCs w:val="32"/>
          <w:highlight w:val="none"/>
          <w:u w:val="none"/>
          <w:lang w:val="en-US" w:eastAsia="zh-CN" w:bidi="ar-SA"/>
        </w:rPr>
        <w:t>、监理和施工</w:t>
      </w:r>
      <w:r>
        <w:rPr>
          <w:rFonts w:hint="eastAsia" w:ascii="仿宋" w:hAnsi="仿宋" w:eastAsia="仿宋" w:cs="仿宋"/>
          <w:spacing w:val="6"/>
          <w:kern w:val="2"/>
          <w:sz w:val="32"/>
          <w:szCs w:val="32"/>
          <w:highlight w:val="none"/>
          <w:u w:val="none"/>
          <w:lang w:val="en-US" w:eastAsia="zh-CN" w:bidi="ar-SA"/>
        </w:rPr>
        <w:t>资料样本、材料样本等作为评标因素和履约标准，</w:t>
      </w:r>
      <w:r>
        <w:rPr>
          <w:rFonts w:hint="eastAsia" w:ascii="仿宋" w:hAnsi="仿宋" w:eastAsia="仿宋" w:cs="仿宋"/>
          <w:spacing w:val="6"/>
          <w:sz w:val="32"/>
          <w:szCs w:val="32"/>
          <w:highlight w:val="none"/>
          <w:u w:val="none"/>
          <w:lang w:val="en-US" w:eastAsia="zh-CN"/>
        </w:rPr>
        <w:t>建设年度2月底前完成施工招投标</w:t>
      </w:r>
      <w:r>
        <w:rPr>
          <w:rFonts w:hint="eastAsia" w:ascii="仿宋" w:hAnsi="仿宋" w:eastAsia="仿宋" w:cs="仿宋"/>
          <w:spacing w:val="6"/>
          <w:kern w:val="2"/>
          <w:sz w:val="32"/>
          <w:szCs w:val="32"/>
          <w:highlight w:val="none"/>
          <w:u w:val="none"/>
          <w:lang w:val="en-US" w:eastAsia="zh-CN" w:bidi="ar-SA"/>
        </w:rPr>
        <w:t>。对施工合同进行公示，坚决查处“阴阳合同”、“低中高结”等违法违规行为</w:t>
      </w:r>
      <w:r>
        <w:rPr>
          <w:rFonts w:hint="eastAsia" w:ascii="仿宋" w:hAnsi="仿宋" w:eastAsia="仿宋" w:cs="仿宋"/>
          <w:color w:val="auto"/>
          <w:spacing w:val="6"/>
          <w:kern w:val="2"/>
          <w:sz w:val="32"/>
          <w:szCs w:val="32"/>
          <w:highlight w:val="none"/>
          <w:u w:val="none"/>
          <w:lang w:val="en-US" w:eastAsia="zh-CN" w:bidi="ar-SA"/>
        </w:rPr>
        <w:t>。对采取明招暗定、围标串标、转包挂靠等形式弄虚作假的，一经查实取消投标人投标（中标）资格，3年内禁止参与自治区境内高标准农田招标投标活动，同时将相关线索移交纪检监察部门。</w:t>
      </w:r>
      <w:r>
        <w:rPr>
          <w:rFonts w:hint="eastAsia" w:ascii="楷体" w:hAnsi="楷体" w:eastAsia="楷体" w:cs="楷体"/>
          <w:b w:val="0"/>
          <w:bCs w:val="0"/>
          <w:spacing w:val="6"/>
          <w:kern w:val="2"/>
          <w:sz w:val="32"/>
          <w:szCs w:val="32"/>
          <w:highlight w:val="none"/>
          <w:u w:val="none"/>
          <w:lang w:val="en-US" w:eastAsia="zh-CN" w:bidi="ar-SA"/>
        </w:rPr>
        <w:t>（责任单位：自治区农牧厅、发展改革委、财政厅）</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rPr>
          <w:rFonts w:hint="eastAsia" w:ascii="黑体" w:hAnsi="黑体" w:eastAsia="黑体" w:cs="黑体"/>
          <w:b w:val="0"/>
          <w:bCs w:val="0"/>
          <w:sz w:val="32"/>
          <w:szCs w:val="32"/>
          <w:highlight w:val="none"/>
          <w:u w:val="none"/>
        </w:rPr>
      </w:pPr>
      <w:r>
        <w:rPr>
          <w:rFonts w:hint="eastAsia" w:ascii="黑体" w:hAnsi="黑体" w:eastAsia="黑体" w:cs="黑体"/>
          <w:b w:val="0"/>
          <w:bCs w:val="0"/>
          <w:sz w:val="32"/>
          <w:szCs w:val="32"/>
          <w:highlight w:val="none"/>
          <w:u w:val="none"/>
          <w:lang w:eastAsia="zh-CN"/>
        </w:rPr>
        <w:t>四、</w:t>
      </w:r>
      <w:r>
        <w:rPr>
          <w:rFonts w:hint="eastAsia" w:ascii="黑体" w:hAnsi="黑体" w:eastAsia="黑体" w:cs="黑体"/>
          <w:b w:val="0"/>
          <w:bCs w:val="0"/>
          <w:sz w:val="32"/>
          <w:szCs w:val="32"/>
          <w:highlight w:val="none"/>
          <w:u w:val="none"/>
        </w:rPr>
        <w:t>加强资金管理</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right="0" w:rightChars="0" w:firstLine="596" w:firstLineChars="200"/>
        <w:jc w:val="both"/>
        <w:textAlignment w:val="auto"/>
        <w:rPr>
          <w:rFonts w:hint="eastAsia" w:ascii="楷体" w:hAnsi="楷体" w:eastAsia="楷体" w:cs="楷体"/>
          <w:b w:val="0"/>
          <w:bCs w:val="0"/>
          <w:spacing w:val="6"/>
          <w:sz w:val="32"/>
          <w:szCs w:val="32"/>
          <w:highlight w:val="none"/>
          <w:u w:val="none"/>
        </w:rPr>
      </w:pPr>
      <w:r>
        <w:rPr>
          <w:rFonts w:hint="eastAsia" w:ascii="仿宋" w:hAnsi="仿宋" w:eastAsia="仿宋" w:cs="仿宋"/>
          <w:color w:val="auto"/>
          <w:spacing w:val="-11"/>
          <w:sz w:val="32"/>
          <w:szCs w:val="32"/>
          <w:highlight w:val="none"/>
          <w:u w:val="none"/>
          <w:lang w:val="en-US" w:eastAsia="zh-CN"/>
        </w:rPr>
        <w:t>项目投资“一地一议”，在设计项目建设内容时“缺啥补啥”，</w:t>
      </w:r>
      <w:r>
        <w:rPr>
          <w:rFonts w:hint="eastAsia" w:ascii="仿宋" w:hAnsi="仿宋" w:eastAsia="仿宋" w:cs="仿宋"/>
          <w:color w:val="auto"/>
          <w:spacing w:val="6"/>
          <w:sz w:val="32"/>
          <w:szCs w:val="32"/>
          <w:highlight w:val="none"/>
          <w:u w:val="none"/>
          <w:lang w:val="en-US" w:eastAsia="zh-CN"/>
        </w:rPr>
        <w:t>按照先农田基础设施工程再农田地力提升工程的顺序安排，实现田、水、电、路、林综合配套，杜绝“超建设标准设计”，单个项目亩均投资根据实际可以高于或低于亩均财政补助标准。</w:t>
      </w:r>
      <w:r>
        <w:rPr>
          <w:rFonts w:hint="eastAsia" w:ascii="仿宋" w:hAnsi="仿宋" w:eastAsia="仿宋" w:cs="仿宋"/>
          <w:spacing w:val="6"/>
          <w:sz w:val="32"/>
          <w:szCs w:val="32"/>
          <w:highlight w:val="none"/>
          <w:u w:val="none"/>
          <w:lang w:val="en-US" w:eastAsia="zh-CN"/>
        </w:rPr>
        <w:t>旗县（市、区）按照从严从紧原则据实列支独立费用，累计额度不得超过本项目</w:t>
      </w:r>
      <w:r>
        <w:rPr>
          <w:rFonts w:hint="eastAsia" w:ascii="仿宋" w:hAnsi="仿宋" w:eastAsia="仿宋" w:cs="仿宋"/>
          <w:color w:val="auto"/>
          <w:spacing w:val="6"/>
          <w:sz w:val="32"/>
          <w:szCs w:val="32"/>
          <w:highlight w:val="none"/>
          <w:u w:val="none"/>
          <w:lang w:val="en-US" w:eastAsia="zh-CN"/>
        </w:rPr>
        <w:t>自治区及以上</w:t>
      </w:r>
      <w:r>
        <w:rPr>
          <w:rFonts w:hint="eastAsia" w:ascii="仿宋" w:hAnsi="仿宋" w:eastAsia="仿宋" w:cs="仿宋"/>
          <w:spacing w:val="6"/>
          <w:sz w:val="32"/>
          <w:szCs w:val="32"/>
          <w:highlight w:val="none"/>
          <w:u w:val="none"/>
          <w:lang w:val="en-US" w:eastAsia="zh-CN"/>
        </w:rPr>
        <w:t>财政补助资金总额的5%。</w:t>
      </w:r>
      <w:r>
        <w:rPr>
          <w:rFonts w:hint="eastAsia" w:ascii="仿宋" w:hAnsi="仿宋" w:eastAsia="仿宋" w:cs="仿宋"/>
          <w:spacing w:val="6"/>
          <w:sz w:val="32"/>
          <w:szCs w:val="32"/>
          <w:highlight w:val="none"/>
          <w:u w:val="none"/>
        </w:rPr>
        <w:t>财政投资审减和招标投标结余资金全部用于高标准农田建设</w:t>
      </w:r>
      <w:r>
        <w:rPr>
          <w:rFonts w:hint="eastAsia" w:ascii="仿宋" w:hAnsi="仿宋" w:eastAsia="仿宋" w:cs="仿宋"/>
          <w:spacing w:val="6"/>
          <w:sz w:val="32"/>
          <w:szCs w:val="32"/>
          <w:highlight w:val="none"/>
          <w:u w:val="none"/>
          <w:lang w:val="en-US" w:eastAsia="zh-CN"/>
        </w:rPr>
        <w:t>。</w:t>
      </w:r>
      <w:r>
        <w:rPr>
          <w:rFonts w:hint="eastAsia" w:ascii="仿宋" w:hAnsi="仿宋" w:eastAsia="仿宋" w:cs="仿宋"/>
          <w:spacing w:val="6"/>
          <w:kern w:val="2"/>
          <w:sz w:val="32"/>
          <w:szCs w:val="32"/>
          <w:highlight w:val="none"/>
          <w:u w:val="none"/>
          <w:lang w:val="en-US" w:eastAsia="zh-CN" w:bidi="ar-SA"/>
        </w:rPr>
        <w:t>高标准农田建设资金实行专户管理，</w:t>
      </w:r>
      <w:r>
        <w:rPr>
          <w:rFonts w:hint="eastAsia" w:ascii="仿宋" w:hAnsi="仿宋" w:eastAsia="仿宋" w:cs="仿宋"/>
          <w:spacing w:val="6"/>
          <w:sz w:val="32"/>
          <w:szCs w:val="32"/>
          <w:highlight w:val="none"/>
          <w:u w:val="none"/>
          <w:lang w:val="en-US" w:eastAsia="zh-CN"/>
        </w:rPr>
        <w:t>开展全过程</w:t>
      </w:r>
      <w:r>
        <w:rPr>
          <w:rFonts w:hint="eastAsia" w:ascii="仿宋" w:hAnsi="仿宋" w:eastAsia="仿宋" w:cs="仿宋"/>
          <w:spacing w:val="6"/>
          <w:sz w:val="32"/>
          <w:szCs w:val="32"/>
          <w:highlight w:val="none"/>
          <w:u w:val="none"/>
        </w:rPr>
        <w:t>跟踪审计</w:t>
      </w:r>
      <w:r>
        <w:rPr>
          <w:rFonts w:hint="eastAsia" w:ascii="仿宋" w:hAnsi="仿宋" w:eastAsia="仿宋" w:cs="仿宋"/>
          <w:spacing w:val="6"/>
          <w:sz w:val="32"/>
          <w:szCs w:val="32"/>
          <w:highlight w:val="none"/>
          <w:u w:val="none"/>
          <w:lang w:eastAsia="zh-CN"/>
        </w:rPr>
        <w:t>，</w:t>
      </w:r>
      <w:r>
        <w:rPr>
          <w:rFonts w:hint="eastAsia" w:ascii="仿宋" w:hAnsi="仿宋" w:eastAsia="仿宋" w:cs="仿宋"/>
          <w:spacing w:val="6"/>
          <w:kern w:val="2"/>
          <w:sz w:val="32"/>
          <w:szCs w:val="32"/>
          <w:highlight w:val="none"/>
          <w:u w:val="none"/>
          <w:lang w:val="en-US" w:eastAsia="zh-CN" w:bidi="ar-SA"/>
        </w:rPr>
        <w:t>严格按照工程进度支付，工程</w:t>
      </w:r>
      <w:r>
        <w:rPr>
          <w:rFonts w:hint="eastAsia" w:ascii="仿宋" w:hAnsi="仿宋" w:eastAsia="仿宋" w:cs="仿宋"/>
          <w:spacing w:val="6"/>
          <w:sz w:val="32"/>
          <w:szCs w:val="32"/>
          <w:highlight w:val="none"/>
          <w:u w:val="none"/>
        </w:rPr>
        <w:t>进度款支付比例应不低于已完成分阶段验收和签证工程价款的80%，</w:t>
      </w:r>
      <w:r>
        <w:rPr>
          <w:rFonts w:hint="eastAsia" w:ascii="仿宋" w:hAnsi="仿宋" w:eastAsia="仿宋" w:cs="仿宋"/>
          <w:spacing w:val="6"/>
          <w:kern w:val="2"/>
          <w:sz w:val="32"/>
          <w:szCs w:val="32"/>
          <w:highlight w:val="none"/>
          <w:u w:val="none"/>
          <w:lang w:val="en-US" w:eastAsia="zh-CN" w:bidi="ar-SA"/>
        </w:rPr>
        <w:t>其余应付工程款要在竣工验收合格后30日内完成支付。</w:t>
      </w:r>
      <w:r>
        <w:rPr>
          <w:rFonts w:hint="eastAsia" w:ascii="楷体" w:hAnsi="楷体" w:eastAsia="楷体" w:cs="楷体"/>
          <w:b w:val="0"/>
          <w:bCs w:val="0"/>
          <w:spacing w:val="6"/>
          <w:kern w:val="2"/>
          <w:sz w:val="32"/>
          <w:szCs w:val="32"/>
          <w:highlight w:val="none"/>
          <w:u w:val="none"/>
          <w:lang w:val="en-US" w:eastAsia="zh-CN" w:bidi="ar-SA"/>
        </w:rPr>
        <w:t>（责任单位：自治区财政厅、发展改革委、农牧厅）</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rPr>
          <w:rFonts w:hint="eastAsia" w:ascii="黑体" w:hAnsi="黑体" w:eastAsia="黑体" w:cs="黑体"/>
          <w:b/>
          <w:bCs/>
          <w:sz w:val="32"/>
          <w:szCs w:val="32"/>
          <w:highlight w:val="none"/>
          <w:u w:val="none"/>
        </w:rPr>
      </w:pPr>
      <w:r>
        <w:rPr>
          <w:rFonts w:hint="eastAsia" w:ascii="黑体" w:hAnsi="黑体" w:eastAsia="黑体" w:cs="黑体"/>
          <w:b w:val="0"/>
          <w:bCs w:val="0"/>
          <w:sz w:val="32"/>
          <w:szCs w:val="32"/>
          <w:highlight w:val="none"/>
          <w:u w:val="none"/>
          <w:lang w:eastAsia="zh-CN"/>
        </w:rPr>
        <w:t>五、</w:t>
      </w:r>
      <w:r>
        <w:rPr>
          <w:rFonts w:hint="eastAsia" w:ascii="黑体" w:hAnsi="黑体" w:eastAsia="黑体" w:cs="黑体"/>
          <w:b w:val="0"/>
          <w:bCs w:val="0"/>
          <w:sz w:val="32"/>
          <w:szCs w:val="32"/>
          <w:highlight w:val="none"/>
          <w:u w:val="none"/>
        </w:rPr>
        <w:t>挖掘增地潜力</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rPr>
          <w:rFonts w:hint="eastAsia" w:ascii="楷体" w:hAnsi="楷体" w:eastAsia="楷体" w:cs="楷体"/>
          <w:sz w:val="32"/>
          <w:szCs w:val="32"/>
          <w:highlight w:val="none"/>
          <w:u w:val="none"/>
        </w:rPr>
      </w:pPr>
      <w:r>
        <w:rPr>
          <w:rFonts w:hint="eastAsia" w:ascii="仿宋" w:hAnsi="仿宋" w:eastAsia="仿宋" w:cs="仿宋"/>
          <w:sz w:val="32"/>
          <w:szCs w:val="32"/>
          <w:highlight w:val="none"/>
          <w:u w:val="none"/>
          <w:lang w:val="en-US" w:eastAsia="zh-CN"/>
        </w:rPr>
        <w:t>高标准农田项目建设前，旗县（市、区）人民政府要组织相关部门确认地类属性，建立现状种植情况台账，确定新增耕地的位置、数量。按照“一户一田”的标准</w:t>
      </w:r>
      <w:r>
        <w:rPr>
          <w:rFonts w:hint="eastAsia" w:ascii="仿宋" w:hAnsi="仿宋" w:eastAsia="仿宋" w:cs="仿宋"/>
          <w:kern w:val="2"/>
          <w:sz w:val="32"/>
          <w:szCs w:val="32"/>
          <w:highlight w:val="none"/>
          <w:u w:val="none"/>
          <w:lang w:val="en-US" w:eastAsia="zh-CN" w:bidi="ar-SA"/>
        </w:rPr>
        <w:t>推行“三打破、五统一、一重新”（打破农户的承包界、打破杂乱的地块界、打破混乱的渠沟路布局；</w:t>
      </w:r>
      <w:r>
        <w:rPr>
          <w:rFonts w:hint="eastAsia" w:ascii="仿宋" w:hAnsi="仿宋" w:eastAsia="仿宋" w:cs="仿宋"/>
          <w:color w:val="auto"/>
          <w:kern w:val="2"/>
          <w:sz w:val="32"/>
          <w:szCs w:val="32"/>
          <w:highlight w:val="none"/>
          <w:u w:val="none"/>
          <w:lang w:val="en-US" w:eastAsia="zh-CN" w:bidi="ar-SA"/>
        </w:rPr>
        <w:t>按照新的设计，统一</w:t>
      </w:r>
      <w:r>
        <w:rPr>
          <w:rFonts w:hint="eastAsia" w:ascii="仿宋" w:hAnsi="仿宋" w:eastAsia="仿宋" w:cs="仿宋"/>
          <w:kern w:val="2"/>
          <w:sz w:val="32"/>
          <w:szCs w:val="32"/>
          <w:highlight w:val="none"/>
          <w:u w:val="none"/>
          <w:lang w:val="en-US" w:eastAsia="zh-CN" w:bidi="ar-SA"/>
        </w:rPr>
        <w:t>开挖渠沟、统一修整道路、统一植树造林、统一平整土地、统一划分地块；完成整治后，</w:t>
      </w:r>
      <w:r>
        <w:rPr>
          <w:rFonts w:hint="eastAsia" w:ascii="仿宋" w:hAnsi="仿宋" w:eastAsia="仿宋" w:cs="仿宋"/>
          <w:sz w:val="32"/>
          <w:szCs w:val="32"/>
          <w:highlight w:val="none"/>
          <w:u w:val="none"/>
          <w:lang w:val="en-US" w:eastAsia="zh-CN"/>
        </w:rPr>
        <w:t>按照不大于农牧民原有面积</w:t>
      </w:r>
      <w:r>
        <w:rPr>
          <w:rFonts w:hint="eastAsia" w:ascii="仿宋" w:hAnsi="仿宋" w:eastAsia="仿宋" w:cs="仿宋"/>
          <w:color w:val="auto"/>
          <w:sz w:val="32"/>
          <w:szCs w:val="32"/>
          <w:highlight w:val="none"/>
          <w:u w:val="none"/>
          <w:lang w:val="en-US" w:eastAsia="zh-CN"/>
        </w:rPr>
        <w:t>将</w:t>
      </w:r>
      <w:r>
        <w:rPr>
          <w:rFonts w:hint="eastAsia" w:ascii="仿宋" w:hAnsi="仿宋" w:eastAsia="仿宋" w:cs="仿宋"/>
          <w:color w:val="auto"/>
          <w:kern w:val="2"/>
          <w:sz w:val="32"/>
          <w:szCs w:val="32"/>
          <w:highlight w:val="none"/>
          <w:u w:val="none"/>
          <w:lang w:val="en-US" w:eastAsia="zh-CN" w:bidi="ar-SA"/>
        </w:rPr>
        <w:t>经营权重新分配</w:t>
      </w:r>
      <w:r>
        <w:rPr>
          <w:rFonts w:hint="eastAsia" w:ascii="仿宋" w:hAnsi="仿宋" w:eastAsia="仿宋" w:cs="仿宋"/>
          <w:color w:val="auto"/>
          <w:sz w:val="32"/>
          <w:szCs w:val="32"/>
          <w:highlight w:val="none"/>
          <w:u w:val="none"/>
          <w:lang w:val="en-US" w:eastAsia="zh-CN"/>
        </w:rPr>
        <w:t>到户</w:t>
      </w:r>
      <w:r>
        <w:rPr>
          <w:rFonts w:hint="eastAsia" w:ascii="仿宋" w:hAnsi="仿宋" w:eastAsia="仿宋" w:cs="仿宋"/>
          <w:color w:val="auto"/>
          <w:kern w:val="2"/>
          <w:sz w:val="32"/>
          <w:szCs w:val="32"/>
          <w:highlight w:val="none"/>
          <w:u w:val="none"/>
          <w:lang w:val="en-US" w:eastAsia="zh-CN" w:bidi="ar-SA"/>
        </w:rPr>
        <w:t>）</w:t>
      </w:r>
      <w:r>
        <w:rPr>
          <w:rFonts w:hint="eastAsia" w:ascii="仿宋" w:hAnsi="仿宋" w:eastAsia="仿宋" w:cs="仿宋"/>
          <w:kern w:val="2"/>
          <w:sz w:val="32"/>
          <w:szCs w:val="32"/>
          <w:highlight w:val="none"/>
          <w:u w:val="none"/>
          <w:lang w:val="en-US" w:eastAsia="zh-CN" w:bidi="ar-SA"/>
        </w:rPr>
        <w:t>建设模式，</w:t>
      </w:r>
      <w:r>
        <w:rPr>
          <w:rFonts w:hint="eastAsia" w:ascii="仿宋" w:hAnsi="仿宋" w:eastAsia="仿宋" w:cs="仿宋"/>
          <w:sz w:val="32"/>
          <w:szCs w:val="32"/>
          <w:highlight w:val="none"/>
          <w:u w:val="none"/>
          <w:lang w:val="en-US" w:eastAsia="zh-CN"/>
        </w:rPr>
        <w:t>实现“</w:t>
      </w:r>
      <w:r>
        <w:rPr>
          <w:rFonts w:hint="eastAsia" w:ascii="仿宋" w:hAnsi="仿宋" w:eastAsia="仿宋" w:cs="仿宋"/>
          <w:kern w:val="2"/>
          <w:sz w:val="32"/>
          <w:szCs w:val="32"/>
          <w:highlight w:val="none"/>
          <w:u w:val="none"/>
          <w:lang w:val="en-US" w:eastAsia="zh-CN" w:bidi="ar-SA"/>
        </w:rPr>
        <w:t>小田变大田</w:t>
      </w:r>
      <w:r>
        <w:rPr>
          <w:rFonts w:hint="eastAsia" w:ascii="仿宋" w:hAnsi="仿宋" w:eastAsia="仿宋" w:cs="仿宋"/>
          <w:sz w:val="32"/>
          <w:szCs w:val="32"/>
          <w:highlight w:val="none"/>
          <w:u w:val="none"/>
          <w:lang w:val="en-US" w:eastAsia="zh-CN"/>
        </w:rPr>
        <w:t>”</w:t>
      </w:r>
      <w:r>
        <w:rPr>
          <w:rFonts w:hint="eastAsia" w:ascii="仿宋" w:hAnsi="仿宋" w:eastAsia="仿宋" w:cs="仿宋"/>
          <w:kern w:val="2"/>
          <w:sz w:val="32"/>
          <w:szCs w:val="32"/>
          <w:highlight w:val="none"/>
          <w:u w:val="none"/>
          <w:lang w:val="en-US" w:eastAsia="zh-CN" w:bidi="ar-SA"/>
        </w:rPr>
        <w:t>。</w:t>
      </w:r>
      <w:r>
        <w:rPr>
          <w:rFonts w:hint="eastAsia" w:ascii="仿宋" w:hAnsi="仿宋" w:eastAsia="仿宋" w:cs="仿宋"/>
          <w:sz w:val="32"/>
          <w:szCs w:val="32"/>
          <w:highlight w:val="none"/>
          <w:u w:val="none"/>
          <w:lang w:val="en-US" w:eastAsia="zh-CN"/>
        </w:rPr>
        <w:t>新增耕地</w:t>
      </w:r>
      <w:r>
        <w:rPr>
          <w:rFonts w:hint="eastAsia" w:ascii="仿宋" w:hAnsi="仿宋" w:eastAsia="仿宋" w:cs="仿宋"/>
          <w:kern w:val="2"/>
          <w:sz w:val="32"/>
          <w:szCs w:val="32"/>
          <w:highlight w:val="none"/>
          <w:u w:val="none"/>
          <w:lang w:val="en-US" w:eastAsia="zh-CN" w:bidi="ar-SA"/>
        </w:rPr>
        <w:t>除国有之外全部收归嘎查村集体经营管理</w:t>
      </w:r>
      <w:r>
        <w:rPr>
          <w:rFonts w:hint="eastAsia" w:ascii="仿宋" w:hAnsi="仿宋" w:eastAsia="仿宋" w:cs="仿宋"/>
          <w:sz w:val="32"/>
          <w:szCs w:val="32"/>
          <w:highlight w:val="none"/>
          <w:u w:val="none"/>
        </w:rPr>
        <w:t>。</w:t>
      </w:r>
      <w:r>
        <w:rPr>
          <w:rFonts w:hint="eastAsia" w:ascii="仿宋" w:hAnsi="仿宋" w:eastAsia="仿宋" w:cs="仿宋"/>
          <w:color w:val="auto"/>
          <w:sz w:val="32"/>
          <w:szCs w:val="32"/>
          <w:highlight w:val="none"/>
          <w:u w:val="none"/>
          <w:lang w:val="en-US" w:eastAsia="zh-CN"/>
        </w:rPr>
        <w:t>使用或占用永久基本农田的，须完成永久基本农田调整补划。</w:t>
      </w:r>
      <w:r>
        <w:rPr>
          <w:rFonts w:hint="eastAsia" w:ascii="仿宋" w:hAnsi="仿宋" w:eastAsia="仿宋" w:cs="仿宋"/>
          <w:strike w:val="0"/>
          <w:kern w:val="2"/>
          <w:sz w:val="32"/>
          <w:szCs w:val="32"/>
          <w:highlight w:val="none"/>
          <w:u w:val="none"/>
          <w:lang w:val="en-US" w:eastAsia="zh-CN" w:bidi="ar-SA"/>
        </w:rPr>
        <w:t>涉及占用耕地周边零星草地的，在落实“占补平衡”或“进出平衡”后允许调出。</w:t>
      </w:r>
      <w:r>
        <w:rPr>
          <w:rFonts w:hint="eastAsia" w:ascii="楷体" w:hAnsi="楷体" w:eastAsia="楷体" w:cs="楷体"/>
          <w:b w:val="0"/>
          <w:bCs w:val="0"/>
          <w:kern w:val="2"/>
          <w:sz w:val="32"/>
          <w:szCs w:val="32"/>
          <w:highlight w:val="none"/>
          <w:u w:val="none"/>
          <w:lang w:val="en-US" w:eastAsia="zh-CN" w:bidi="ar-SA"/>
        </w:rPr>
        <w:t>（责任单位：自治区农牧厅、自然资源厅、林草局）</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rPr>
          <w:rFonts w:hint="eastAsia" w:ascii="黑体" w:hAnsi="黑体" w:eastAsia="黑体" w:cs="黑体"/>
          <w:b/>
          <w:bCs/>
          <w:sz w:val="32"/>
          <w:szCs w:val="32"/>
          <w:highlight w:val="none"/>
          <w:u w:val="none"/>
        </w:rPr>
      </w:pPr>
      <w:r>
        <w:rPr>
          <w:rFonts w:hint="eastAsia" w:ascii="黑体" w:hAnsi="黑体" w:eastAsia="黑体" w:cs="黑体"/>
          <w:b w:val="0"/>
          <w:bCs w:val="0"/>
          <w:sz w:val="32"/>
          <w:szCs w:val="32"/>
          <w:highlight w:val="none"/>
          <w:u w:val="none"/>
          <w:lang w:eastAsia="zh-CN"/>
        </w:rPr>
        <w:t>六、</w:t>
      </w:r>
      <w:r>
        <w:rPr>
          <w:rFonts w:hint="eastAsia" w:ascii="黑体" w:hAnsi="黑体" w:eastAsia="黑体" w:cs="黑体"/>
          <w:b w:val="0"/>
          <w:bCs w:val="0"/>
          <w:sz w:val="32"/>
          <w:szCs w:val="32"/>
          <w:highlight w:val="none"/>
          <w:u w:val="none"/>
        </w:rPr>
        <w:t>保障建设质量</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rPr>
          <w:rFonts w:hint="eastAsia" w:ascii="楷体" w:hAnsi="楷体" w:eastAsia="楷体" w:cs="楷体"/>
          <w:b w:val="0"/>
          <w:bCs w:val="0"/>
          <w:sz w:val="32"/>
          <w:szCs w:val="32"/>
          <w:highlight w:val="none"/>
          <w:u w:val="none"/>
        </w:rPr>
      </w:pPr>
      <w:r>
        <w:rPr>
          <w:rFonts w:hint="eastAsia" w:ascii="仿宋" w:hAnsi="仿宋" w:eastAsia="仿宋" w:cs="仿宋"/>
          <w:kern w:val="2"/>
          <w:sz w:val="32"/>
          <w:szCs w:val="32"/>
          <w:highlight w:val="none"/>
          <w:u w:val="none"/>
          <w:lang w:val="en-US" w:eastAsia="zh-CN" w:bidi="ar-SA"/>
        </w:rPr>
        <w:t>实行建设质量终身责任制，建立“双随机、一公开”项目抽查机制，发现问题录入清单管理系统限期整改。开展参建企业信用评价，建立黑白名单，强化失信惩戒。探索组建自治区、盟市两级农业投资、开发、建设市场主体，积极参与高标准农田建设。建强高标准农田建设技术服务机构，做好技术支撑服务，</w:t>
      </w:r>
      <w:r>
        <w:rPr>
          <w:rFonts w:hint="eastAsia" w:ascii="仿宋" w:hAnsi="仿宋" w:eastAsia="仿宋" w:cs="仿宋"/>
          <w:sz w:val="32"/>
          <w:szCs w:val="32"/>
          <w:highlight w:val="none"/>
          <w:u w:val="none"/>
          <w:lang w:val="en-US" w:eastAsia="zh-CN"/>
        </w:rPr>
        <w:t>鼓励参建人员集中办公，提升工作效率。</w:t>
      </w:r>
      <w:r>
        <w:rPr>
          <w:rFonts w:hint="eastAsia" w:ascii="仿宋" w:hAnsi="仿宋" w:eastAsia="仿宋" w:cs="仿宋"/>
          <w:kern w:val="2"/>
          <w:sz w:val="32"/>
          <w:szCs w:val="32"/>
          <w:highlight w:val="none"/>
          <w:u w:val="none"/>
          <w:lang w:val="en-US" w:eastAsia="zh-CN" w:bidi="ar-SA"/>
        </w:rPr>
        <w:t>自治区开通12316监督热线并积极推广“农田建设随手拍”小程序，旗县（市、区）设立农牧民监督员公益岗位，规范开展公开公示，强化社会监督。建立健全问题及时发现、快速响应机制。</w:t>
      </w:r>
      <w:r>
        <w:rPr>
          <w:rFonts w:hint="eastAsia" w:ascii="楷体" w:hAnsi="楷体" w:eastAsia="楷体" w:cs="楷体"/>
          <w:b w:val="0"/>
          <w:bCs w:val="0"/>
          <w:kern w:val="2"/>
          <w:sz w:val="32"/>
          <w:szCs w:val="32"/>
          <w:highlight w:val="none"/>
          <w:u w:val="none"/>
          <w:lang w:val="en-US" w:eastAsia="zh-CN" w:bidi="ar-SA"/>
        </w:rPr>
        <w:t>（责任单位：自治区农牧厅、市场监管局、党委编办）</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rPr>
          <w:rFonts w:hint="eastAsia" w:ascii="黑体" w:hAnsi="黑体" w:eastAsia="黑体" w:cs="黑体"/>
          <w:b/>
          <w:bCs/>
          <w:sz w:val="32"/>
          <w:szCs w:val="32"/>
          <w:highlight w:val="none"/>
          <w:u w:val="none"/>
        </w:rPr>
      </w:pPr>
      <w:r>
        <w:rPr>
          <w:rFonts w:hint="eastAsia" w:ascii="黑体" w:hAnsi="黑体" w:eastAsia="黑体" w:cs="黑体"/>
          <w:b w:val="0"/>
          <w:bCs w:val="0"/>
          <w:sz w:val="32"/>
          <w:szCs w:val="32"/>
          <w:highlight w:val="none"/>
          <w:u w:val="none"/>
          <w:lang w:eastAsia="zh-CN"/>
        </w:rPr>
        <w:t>七、</w:t>
      </w:r>
      <w:r>
        <w:rPr>
          <w:rFonts w:hint="eastAsia" w:ascii="黑体" w:hAnsi="黑体" w:eastAsia="黑体" w:cs="黑体"/>
          <w:b w:val="0"/>
          <w:bCs w:val="0"/>
          <w:sz w:val="32"/>
          <w:szCs w:val="32"/>
          <w:highlight w:val="none"/>
          <w:u w:val="none"/>
        </w:rPr>
        <w:t>规范验收入库</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rPr>
          <w:rFonts w:hint="eastAsia" w:ascii="楷体" w:hAnsi="楷体" w:eastAsia="楷体" w:cs="楷体"/>
          <w:sz w:val="32"/>
          <w:szCs w:val="32"/>
          <w:highlight w:val="none"/>
          <w:u w:val="none"/>
        </w:rPr>
      </w:pPr>
      <w:r>
        <w:rPr>
          <w:rFonts w:hint="eastAsia" w:ascii="仿宋" w:hAnsi="仿宋" w:eastAsia="仿宋" w:cs="仿宋"/>
          <w:kern w:val="2"/>
          <w:sz w:val="32"/>
          <w:szCs w:val="32"/>
          <w:highlight w:val="none"/>
          <w:u w:val="none"/>
          <w:lang w:val="en-US" w:eastAsia="zh-CN" w:bidi="ar-SA"/>
        </w:rPr>
        <w:t>盟市竣工验收比例按项目区达到100%，自治区抽查比例按面积不低于20%。建设质量不达标的，由旗县（市、区）自行出资在本建设期内完成整改或补建，</w:t>
      </w:r>
      <w:r>
        <w:rPr>
          <w:rFonts w:hint="eastAsia" w:ascii="仿宋" w:hAnsi="仿宋" w:eastAsia="仿宋" w:cs="仿宋"/>
          <w:color w:val="auto"/>
          <w:kern w:val="2"/>
          <w:sz w:val="32"/>
          <w:szCs w:val="32"/>
          <w:highlight w:val="none"/>
          <w:u w:val="none"/>
          <w:lang w:val="en-US" w:eastAsia="zh-CN" w:bidi="ar-SA"/>
        </w:rPr>
        <w:t>不能按期完成的收回财政补助资金。</w:t>
      </w:r>
      <w:r>
        <w:rPr>
          <w:rFonts w:hint="eastAsia" w:ascii="仿宋" w:hAnsi="仿宋" w:eastAsia="仿宋" w:cs="仿宋"/>
          <w:kern w:val="2"/>
          <w:sz w:val="32"/>
          <w:szCs w:val="32"/>
          <w:highlight w:val="none"/>
          <w:u w:val="none"/>
          <w:lang w:val="en-US" w:eastAsia="zh-CN" w:bidi="ar-SA"/>
        </w:rPr>
        <w:t>旗县（市、区）农牧部门要在项目立项、完工、竣工验收3个阶段，</w:t>
      </w:r>
      <w:r>
        <w:rPr>
          <w:rFonts w:hint="eastAsia" w:ascii="仿宋" w:hAnsi="仿宋" w:eastAsia="仿宋" w:cs="仿宋"/>
          <w:b w:val="0"/>
          <w:bCs w:val="0"/>
          <w:kern w:val="2"/>
          <w:sz w:val="32"/>
          <w:szCs w:val="32"/>
          <w:highlight w:val="none"/>
          <w:u w:val="none"/>
          <w:lang w:val="en-US" w:eastAsia="zh-CN" w:bidi="ar-SA"/>
        </w:rPr>
        <w:t>及时通过全国农田建设综合监测监管平台录入相关信息并上图入库。</w:t>
      </w:r>
      <w:r>
        <w:rPr>
          <w:rFonts w:hint="eastAsia" w:ascii="楷体" w:hAnsi="楷体" w:eastAsia="楷体" w:cs="楷体"/>
          <w:b w:val="0"/>
          <w:bCs w:val="0"/>
          <w:kern w:val="2"/>
          <w:sz w:val="32"/>
          <w:szCs w:val="32"/>
          <w:highlight w:val="none"/>
          <w:u w:val="none"/>
          <w:lang w:val="en-US" w:eastAsia="zh-CN" w:bidi="ar-SA"/>
        </w:rPr>
        <w:t>（责任单位：自治区农牧厅、财政厅）</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rPr>
          <w:rFonts w:hint="eastAsia" w:ascii="黑体" w:hAnsi="黑体" w:eastAsia="黑体" w:cs="黑体"/>
          <w:b/>
          <w:bCs/>
          <w:sz w:val="32"/>
          <w:szCs w:val="32"/>
          <w:highlight w:val="none"/>
          <w:u w:val="none"/>
        </w:rPr>
      </w:pPr>
      <w:r>
        <w:rPr>
          <w:rFonts w:hint="eastAsia" w:ascii="黑体" w:hAnsi="黑体" w:eastAsia="黑体" w:cs="黑体"/>
          <w:b w:val="0"/>
          <w:bCs w:val="0"/>
          <w:sz w:val="32"/>
          <w:szCs w:val="32"/>
          <w:highlight w:val="none"/>
          <w:u w:val="none"/>
          <w:lang w:eastAsia="zh-CN"/>
        </w:rPr>
        <w:t>八、</w:t>
      </w:r>
      <w:r>
        <w:rPr>
          <w:rFonts w:hint="eastAsia" w:ascii="黑体" w:hAnsi="黑体" w:eastAsia="黑体" w:cs="黑体"/>
          <w:b w:val="0"/>
          <w:bCs w:val="0"/>
          <w:sz w:val="32"/>
          <w:szCs w:val="32"/>
          <w:highlight w:val="none"/>
          <w:u w:val="none"/>
          <w:lang w:val="en-US" w:eastAsia="zh-CN"/>
        </w:rPr>
        <w:t>强化建后管护</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rPr>
          <w:rFonts w:hint="eastAsia" w:ascii="楷体" w:hAnsi="楷体" w:eastAsia="楷体" w:cs="楷体"/>
          <w:b w:val="0"/>
          <w:bCs w:val="0"/>
          <w:sz w:val="32"/>
          <w:szCs w:val="32"/>
          <w:highlight w:val="none"/>
          <w:u w:val="none"/>
        </w:rPr>
      </w:pPr>
      <w:r>
        <w:rPr>
          <w:rFonts w:hint="eastAsia" w:ascii="仿宋" w:hAnsi="仿宋" w:eastAsia="仿宋" w:cs="仿宋"/>
          <w:color w:val="auto"/>
          <w:kern w:val="2"/>
          <w:sz w:val="32"/>
          <w:szCs w:val="32"/>
          <w:highlight w:val="none"/>
          <w:u w:val="none"/>
          <w:lang w:val="en-US" w:eastAsia="zh-CN" w:bidi="ar-SA"/>
        </w:rPr>
        <w:t>旗县（市、区）人民政府对高标准农田建设工程管护工作负总责，按照“谁受益、谁管护，谁使用、谁管护”的原则明确工程管护主体，健全多元化工程管护机制。农牧部门要加强对高标准农田建设工程的监管</w:t>
      </w:r>
      <w:r>
        <w:rPr>
          <w:rFonts w:hint="eastAsia" w:ascii="仿宋" w:hAnsi="仿宋" w:eastAsia="仿宋" w:cs="仿宋"/>
          <w:kern w:val="2"/>
          <w:sz w:val="32"/>
          <w:szCs w:val="32"/>
          <w:highlight w:val="none"/>
          <w:u w:val="none"/>
          <w:lang w:val="en-US" w:eastAsia="zh-CN" w:bidi="ar-SA"/>
        </w:rPr>
        <w:t>。高标准农田建设新增耕地经营收益重点用于建后管护；</w:t>
      </w:r>
      <w:r>
        <w:rPr>
          <w:rFonts w:hint="eastAsia" w:ascii="仿宋" w:hAnsi="仿宋" w:eastAsia="仿宋" w:cs="仿宋"/>
          <w:color w:val="000000"/>
          <w:kern w:val="0"/>
          <w:sz w:val="32"/>
          <w:szCs w:val="32"/>
          <w:highlight w:val="none"/>
          <w:u w:val="none"/>
          <w:lang w:val="en-US" w:eastAsia="zh-CN" w:bidi="ar"/>
        </w:rPr>
        <w:t>新增耕地指标用于占补平衡所得收益优先用于高标准农田建设再投入、</w:t>
      </w:r>
      <w:r>
        <w:rPr>
          <w:rFonts w:hint="eastAsia" w:ascii="仿宋" w:hAnsi="仿宋" w:eastAsia="仿宋" w:cs="仿宋"/>
          <w:color w:val="auto"/>
          <w:kern w:val="2"/>
          <w:sz w:val="32"/>
          <w:szCs w:val="32"/>
          <w:highlight w:val="none"/>
          <w:u w:val="none"/>
          <w:lang w:val="en-US" w:eastAsia="zh-CN" w:bidi="ar-SA"/>
        </w:rPr>
        <w:t>债券及</w:t>
      </w:r>
      <w:r>
        <w:rPr>
          <w:rFonts w:hint="eastAsia" w:ascii="仿宋" w:hAnsi="仿宋" w:eastAsia="仿宋" w:cs="仿宋"/>
          <w:kern w:val="2"/>
          <w:sz w:val="32"/>
          <w:szCs w:val="32"/>
          <w:highlight w:val="none"/>
          <w:u w:val="none"/>
          <w:lang w:val="en-US" w:eastAsia="zh-CN"/>
        </w:rPr>
        <w:t>融资偿还</w:t>
      </w:r>
      <w:r>
        <w:rPr>
          <w:rFonts w:hint="eastAsia" w:ascii="仿宋" w:hAnsi="仿宋" w:eastAsia="仿宋" w:cs="仿宋"/>
          <w:color w:val="000000"/>
          <w:kern w:val="0"/>
          <w:sz w:val="32"/>
          <w:szCs w:val="32"/>
          <w:highlight w:val="none"/>
          <w:u w:val="none"/>
          <w:lang w:val="en-US" w:eastAsia="zh-CN" w:bidi="ar"/>
        </w:rPr>
        <w:t>和后期管护</w:t>
      </w:r>
      <w:r>
        <w:rPr>
          <w:rFonts w:hint="eastAsia" w:ascii="仿宋" w:hAnsi="仿宋" w:eastAsia="仿宋" w:cs="仿宋"/>
          <w:kern w:val="2"/>
          <w:sz w:val="32"/>
          <w:szCs w:val="32"/>
          <w:highlight w:val="none"/>
          <w:u w:val="none"/>
          <w:lang w:val="en-US" w:eastAsia="zh-CN" w:bidi="ar-SA"/>
        </w:rPr>
        <w:t>；</w:t>
      </w:r>
      <w:r>
        <w:rPr>
          <w:rFonts w:hint="eastAsia" w:ascii="仿宋" w:hAnsi="仿宋" w:eastAsia="仿宋" w:cs="仿宋"/>
          <w:color w:val="auto"/>
          <w:kern w:val="2"/>
          <w:sz w:val="32"/>
          <w:szCs w:val="32"/>
          <w:highlight w:val="none"/>
          <w:u w:val="none"/>
          <w:lang w:val="en-US" w:eastAsia="zh-CN" w:bidi="ar-SA"/>
        </w:rPr>
        <w:t>鼓励</w:t>
      </w:r>
      <w:r>
        <w:rPr>
          <w:rFonts w:hint="eastAsia" w:ascii="仿宋" w:hAnsi="仿宋" w:eastAsia="仿宋" w:cs="仿宋"/>
          <w:color w:val="auto"/>
          <w:sz w:val="32"/>
          <w:szCs w:val="32"/>
          <w:highlight w:val="none"/>
          <w:u w:val="none"/>
          <w:lang w:val="en-US" w:eastAsia="zh-CN"/>
        </w:rPr>
        <w:t>高标准农田运营市场主体出资或自行承担管护责任。推广“井长”、“田长”制等管护模式，</w:t>
      </w:r>
      <w:r>
        <w:rPr>
          <w:rFonts w:hint="eastAsia" w:ascii="仿宋" w:hAnsi="仿宋" w:eastAsia="仿宋" w:cs="仿宋"/>
          <w:kern w:val="2"/>
          <w:sz w:val="32"/>
          <w:szCs w:val="32"/>
          <w:highlight w:val="none"/>
          <w:u w:val="none"/>
        </w:rPr>
        <w:t>强化农灌井水价指导</w:t>
      </w:r>
      <w:r>
        <w:rPr>
          <w:rFonts w:hint="eastAsia" w:ascii="仿宋" w:hAnsi="仿宋" w:eastAsia="仿宋" w:cs="仿宋"/>
          <w:sz w:val="32"/>
          <w:szCs w:val="32"/>
          <w:highlight w:val="none"/>
          <w:u w:val="none"/>
          <w:lang w:val="en-US" w:eastAsia="zh-CN"/>
        </w:rPr>
        <w:t>。</w:t>
      </w:r>
      <w:r>
        <w:rPr>
          <w:rFonts w:hint="eastAsia" w:ascii="仿宋" w:hAnsi="仿宋" w:eastAsia="仿宋" w:cs="仿宋"/>
          <w:kern w:val="2"/>
          <w:sz w:val="32"/>
          <w:szCs w:val="32"/>
          <w:highlight w:val="none"/>
          <w:u w:val="none"/>
          <w:lang w:val="en-US" w:eastAsia="zh-CN" w:bidi="ar-SA"/>
        </w:rPr>
        <w:t>探索采取政府购买服务的方式，由第三方机构进行专业化管护。</w:t>
      </w:r>
      <w:r>
        <w:rPr>
          <w:rFonts w:hint="eastAsia" w:ascii="仿宋" w:hAnsi="仿宋" w:eastAsia="仿宋" w:cs="仿宋"/>
          <w:sz w:val="32"/>
          <w:szCs w:val="32"/>
          <w:highlight w:val="none"/>
          <w:u w:val="none"/>
          <w:lang w:eastAsia="zh-CN"/>
        </w:rPr>
        <w:t>继续开展高标准农田建设工程质量潜在缺陷保险试点工作</w:t>
      </w:r>
      <w:r>
        <w:rPr>
          <w:rFonts w:hint="eastAsia" w:ascii="仿宋" w:hAnsi="仿宋" w:eastAsia="仿宋" w:cs="仿宋"/>
          <w:sz w:val="32"/>
          <w:szCs w:val="32"/>
          <w:highlight w:val="none"/>
          <w:u w:val="none"/>
        </w:rPr>
        <w:t>。</w:t>
      </w:r>
      <w:r>
        <w:rPr>
          <w:rFonts w:hint="eastAsia" w:ascii="仿宋" w:hAnsi="仿宋" w:eastAsia="仿宋" w:cs="仿宋"/>
          <w:b w:val="0"/>
          <w:bCs w:val="0"/>
          <w:sz w:val="32"/>
          <w:szCs w:val="32"/>
          <w:highlight w:val="none"/>
          <w:u w:val="none"/>
          <w:lang w:val="en-US" w:eastAsia="zh-CN"/>
        </w:rPr>
        <w:t>鼓励</w:t>
      </w:r>
      <w:r>
        <w:rPr>
          <w:rFonts w:hint="eastAsia" w:ascii="仿宋" w:hAnsi="仿宋" w:eastAsia="仿宋" w:cs="仿宋"/>
          <w:b w:val="0"/>
          <w:bCs w:val="0"/>
          <w:color w:val="auto"/>
          <w:sz w:val="32"/>
          <w:szCs w:val="32"/>
          <w:highlight w:val="none"/>
          <w:u w:val="none"/>
          <w:lang w:val="en-US" w:eastAsia="zh-CN"/>
        </w:rPr>
        <w:t>各地区将已建高标准农田10千伏电力线路按照“协商自愿、无偿移交”原则，无偿移交至供电企业</w:t>
      </w:r>
      <w:r>
        <w:rPr>
          <w:rFonts w:hint="eastAsia" w:ascii="仿宋" w:hAnsi="仿宋" w:eastAsia="仿宋" w:cs="仿宋"/>
          <w:color w:val="auto"/>
          <w:sz w:val="32"/>
          <w:szCs w:val="32"/>
          <w:highlight w:val="none"/>
          <w:u w:val="none"/>
          <w:lang w:val="en-US" w:eastAsia="zh-CN"/>
        </w:rPr>
        <w:t>开展专业化运行维护</w:t>
      </w:r>
      <w:r>
        <w:rPr>
          <w:rFonts w:hint="eastAsia" w:ascii="仿宋" w:hAnsi="仿宋" w:eastAsia="仿宋" w:cs="仿宋"/>
          <w:b w:val="0"/>
          <w:bCs w:val="0"/>
          <w:color w:val="auto"/>
          <w:sz w:val="32"/>
          <w:szCs w:val="32"/>
          <w:highlight w:val="none"/>
          <w:u w:val="none"/>
          <w:lang w:val="en-US" w:eastAsia="zh-CN"/>
        </w:rPr>
        <w:t>，移交流程和设备质量应符合相关规定。</w:t>
      </w:r>
      <w:r>
        <w:rPr>
          <w:rFonts w:hint="eastAsia" w:ascii="仿宋" w:hAnsi="仿宋" w:eastAsia="仿宋" w:cs="仿宋"/>
          <w:color w:val="auto"/>
          <w:sz w:val="32"/>
          <w:szCs w:val="32"/>
          <w:highlight w:val="none"/>
          <w:u w:val="none"/>
          <w:lang w:val="en-US" w:eastAsia="zh-CN"/>
        </w:rPr>
        <w:t>农田供电配变及低压供电线路仍按原模式确定产权归属及管护主体。</w:t>
      </w:r>
      <w:r>
        <w:rPr>
          <w:rFonts w:hint="eastAsia" w:ascii="楷体" w:hAnsi="楷体" w:eastAsia="楷体" w:cs="楷体"/>
          <w:b w:val="0"/>
          <w:bCs w:val="0"/>
          <w:kern w:val="2"/>
          <w:sz w:val="32"/>
          <w:szCs w:val="32"/>
          <w:highlight w:val="none"/>
          <w:u w:val="none"/>
          <w:lang w:val="en-US" w:eastAsia="zh-CN" w:bidi="ar-SA"/>
        </w:rPr>
        <w:t>〔责任单位：自治区农牧厅、财政厅、自然资源厅</w:t>
      </w:r>
      <w:r>
        <w:rPr>
          <w:rFonts w:hint="eastAsia" w:ascii="楷体" w:hAnsi="楷体" w:eastAsia="楷体" w:cs="楷体"/>
          <w:b w:val="0"/>
          <w:bCs w:val="0"/>
          <w:sz w:val="32"/>
          <w:szCs w:val="32"/>
          <w:highlight w:val="none"/>
          <w:u w:val="none"/>
          <w:lang w:val="en-US" w:eastAsia="zh-CN"/>
        </w:rPr>
        <w:t>、</w:t>
      </w:r>
      <w:r>
        <w:rPr>
          <w:rFonts w:hint="eastAsia" w:ascii="楷体" w:hAnsi="楷体" w:eastAsia="楷体" w:cs="楷体"/>
          <w:b w:val="0"/>
          <w:bCs w:val="0"/>
          <w:kern w:val="2"/>
          <w:sz w:val="32"/>
          <w:szCs w:val="32"/>
          <w:highlight w:val="none"/>
          <w:u w:val="none"/>
          <w:lang w:val="en-US" w:eastAsia="zh-CN" w:bidi="ar-SA"/>
        </w:rPr>
        <w:t>能源局，</w:t>
      </w:r>
      <w:r>
        <w:rPr>
          <w:rFonts w:hint="eastAsia" w:ascii="楷体" w:hAnsi="楷体" w:eastAsia="楷体" w:cs="楷体"/>
          <w:b w:val="0"/>
          <w:bCs w:val="0"/>
          <w:sz w:val="32"/>
          <w:szCs w:val="32"/>
          <w:highlight w:val="none"/>
          <w:u w:val="none"/>
          <w:lang w:val="en-US" w:eastAsia="zh-CN"/>
        </w:rPr>
        <w:t>国家金融监管总局内蒙古监管局</w:t>
      </w:r>
      <w:r>
        <w:rPr>
          <w:rFonts w:hint="eastAsia" w:ascii="楷体" w:hAnsi="楷体" w:eastAsia="楷体" w:cs="楷体"/>
          <w:b w:val="0"/>
          <w:bCs w:val="0"/>
          <w:kern w:val="2"/>
          <w:sz w:val="32"/>
          <w:szCs w:val="32"/>
          <w:highlight w:val="none"/>
          <w:u w:val="none"/>
          <w:lang w:val="en-US" w:eastAsia="zh-CN" w:bidi="ar-SA"/>
        </w:rPr>
        <w:t>、内蒙古电力（集团）公司、国网蒙东电力公司〕</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黑体" w:hAnsi="黑体" w:eastAsia="黑体" w:cs="黑体"/>
          <w:b w:val="0"/>
          <w:bCs w:val="0"/>
          <w:sz w:val="32"/>
          <w:szCs w:val="32"/>
          <w:highlight w:val="none"/>
          <w:u w:val="none"/>
        </w:rPr>
      </w:pPr>
      <w:r>
        <w:rPr>
          <w:rFonts w:hint="eastAsia" w:ascii="黑体" w:hAnsi="黑体" w:eastAsia="黑体" w:cs="黑体"/>
          <w:b w:val="0"/>
          <w:bCs w:val="0"/>
          <w:sz w:val="32"/>
          <w:szCs w:val="32"/>
          <w:highlight w:val="none"/>
          <w:u w:val="none"/>
          <w:lang w:eastAsia="zh-CN"/>
        </w:rPr>
        <w:t>九、</w:t>
      </w:r>
      <w:r>
        <w:rPr>
          <w:rFonts w:hint="eastAsia" w:ascii="黑体" w:hAnsi="黑体" w:eastAsia="黑体" w:cs="黑体"/>
          <w:b w:val="0"/>
          <w:bCs w:val="0"/>
          <w:sz w:val="32"/>
          <w:szCs w:val="32"/>
          <w:highlight w:val="none"/>
          <w:u w:val="none"/>
        </w:rPr>
        <w:t>深化改革创新</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楷体" w:hAnsi="楷体" w:eastAsia="楷体" w:cs="楷体"/>
          <w:sz w:val="32"/>
          <w:szCs w:val="32"/>
          <w:highlight w:val="none"/>
          <w:u w:val="none"/>
        </w:rPr>
      </w:pPr>
      <w:r>
        <w:rPr>
          <w:rFonts w:hint="eastAsia" w:ascii="仿宋" w:hAnsi="仿宋" w:eastAsia="仿宋" w:cs="仿宋"/>
          <w:b w:val="0"/>
          <w:bCs w:val="0"/>
          <w:color w:val="auto"/>
          <w:sz w:val="32"/>
          <w:szCs w:val="32"/>
          <w:highlight w:val="none"/>
          <w:u w:val="none"/>
          <w:lang w:val="en-US" w:eastAsia="zh-CN"/>
        </w:rPr>
        <w:t>推进农田供电工程“建管运”一体化，电网供电灌溉地块据实提取投资额度，委托有资质的单位组织进行设计、物料采购、施工、管护运维，确保满足灌排用电需求</w:t>
      </w:r>
      <w:r>
        <w:rPr>
          <w:rFonts w:hint="eastAsia" w:ascii="仿宋" w:hAnsi="仿宋" w:eastAsia="仿宋" w:cs="仿宋"/>
          <w:b w:val="0"/>
          <w:bCs w:val="0"/>
          <w:sz w:val="32"/>
          <w:szCs w:val="32"/>
          <w:highlight w:val="none"/>
          <w:u w:val="none"/>
          <w:lang w:val="en-US" w:eastAsia="zh-CN"/>
        </w:rPr>
        <w:t>。</w:t>
      </w:r>
      <w:r>
        <w:rPr>
          <w:rFonts w:hint="eastAsia" w:ascii="仿宋" w:hAnsi="仿宋" w:eastAsia="仿宋" w:cs="仿宋"/>
          <w:b w:val="0"/>
          <w:bCs w:val="0"/>
          <w:color w:val="auto"/>
          <w:sz w:val="32"/>
          <w:szCs w:val="32"/>
          <w:highlight w:val="none"/>
          <w:u w:val="none"/>
          <w:lang w:val="en-US" w:eastAsia="zh-CN"/>
        </w:rPr>
        <w:t>按照</w:t>
      </w:r>
      <w:r>
        <w:rPr>
          <w:rFonts w:hint="eastAsia" w:ascii="仿宋" w:hAnsi="仿宋" w:eastAsia="仿宋" w:cs="仿宋"/>
          <w:b w:val="0"/>
          <w:bCs w:val="0"/>
          <w:color w:val="auto"/>
          <w:sz w:val="32"/>
          <w:szCs w:val="32"/>
          <w:highlight w:val="none"/>
          <w:u w:val="none"/>
        </w:rPr>
        <w:t>不低于施工企业中标金额10%</w:t>
      </w:r>
      <w:r>
        <w:rPr>
          <w:rFonts w:hint="eastAsia" w:ascii="仿宋" w:hAnsi="仿宋" w:eastAsia="仿宋" w:cs="仿宋"/>
          <w:b w:val="0"/>
          <w:bCs w:val="0"/>
          <w:color w:val="auto"/>
          <w:sz w:val="32"/>
          <w:szCs w:val="32"/>
          <w:highlight w:val="none"/>
          <w:u w:val="none"/>
          <w:lang w:val="en-US" w:eastAsia="zh-CN"/>
        </w:rPr>
        <w:t>的比例</w:t>
      </w:r>
      <w:r>
        <w:rPr>
          <w:rFonts w:hint="eastAsia" w:ascii="仿宋" w:hAnsi="仿宋" w:eastAsia="仿宋" w:cs="仿宋"/>
          <w:b w:val="0"/>
          <w:bCs w:val="0"/>
          <w:color w:val="auto"/>
          <w:sz w:val="32"/>
          <w:szCs w:val="32"/>
          <w:highlight w:val="none"/>
          <w:u w:val="none"/>
        </w:rPr>
        <w:t>落实以工代赈</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lang w:val="en-US" w:eastAsia="zh-CN"/>
        </w:rPr>
        <w:t>积极推广</w:t>
      </w:r>
      <w:r>
        <w:rPr>
          <w:rFonts w:hint="eastAsia" w:ascii="仿宋" w:hAnsi="仿宋" w:eastAsia="仿宋" w:cs="仿宋"/>
          <w:b w:val="0"/>
          <w:bCs w:val="0"/>
          <w:sz w:val="32"/>
          <w:szCs w:val="32"/>
          <w:highlight w:val="none"/>
          <w:u w:val="none"/>
        </w:rPr>
        <w:t>“先建后补”</w:t>
      </w:r>
      <w:r>
        <w:rPr>
          <w:rFonts w:hint="eastAsia" w:ascii="仿宋" w:hAnsi="仿宋" w:eastAsia="仿宋" w:cs="仿宋"/>
          <w:b w:val="0"/>
          <w:bCs w:val="0"/>
          <w:sz w:val="32"/>
          <w:szCs w:val="32"/>
          <w:highlight w:val="none"/>
          <w:u w:val="none"/>
          <w:lang w:val="en-US" w:eastAsia="zh-CN"/>
        </w:rPr>
        <w:t>模式</w:t>
      </w:r>
      <w:r>
        <w:rPr>
          <w:rFonts w:hint="eastAsia" w:ascii="仿宋" w:hAnsi="仿宋" w:eastAsia="仿宋" w:cs="仿宋"/>
          <w:b w:val="0"/>
          <w:bCs w:val="0"/>
          <w:sz w:val="32"/>
          <w:szCs w:val="32"/>
          <w:highlight w:val="none"/>
          <w:u w:val="none"/>
        </w:rPr>
        <w:t>，</w:t>
      </w:r>
      <w:r>
        <w:rPr>
          <w:rFonts w:hint="eastAsia" w:ascii="仿宋" w:hAnsi="仿宋" w:eastAsia="仿宋" w:cs="仿宋"/>
          <w:b w:val="0"/>
          <w:bCs w:val="0"/>
          <w:sz w:val="32"/>
          <w:szCs w:val="32"/>
          <w:highlight w:val="none"/>
          <w:u w:val="none"/>
          <w:lang w:val="en-US" w:eastAsia="zh-CN"/>
        </w:rPr>
        <w:t>严格按照规定程序报批，未经自治区同意不得擅自实施，</w:t>
      </w:r>
      <w:r>
        <w:rPr>
          <w:rFonts w:hint="eastAsia" w:ascii="仿宋" w:hAnsi="仿宋" w:eastAsia="仿宋" w:cs="仿宋"/>
          <w:i w:val="0"/>
          <w:iCs w:val="0"/>
          <w:caps w:val="0"/>
          <w:color w:val="auto"/>
          <w:spacing w:val="0"/>
          <w:sz w:val="32"/>
          <w:szCs w:val="32"/>
          <w:highlight w:val="none"/>
          <w:u w:val="none"/>
          <w:shd w:val="clear" w:color="auto" w:fill="auto"/>
          <w:lang w:val="en-US" w:eastAsia="zh-CN"/>
        </w:rPr>
        <w:t>引导</w:t>
      </w:r>
      <w:r>
        <w:rPr>
          <w:rFonts w:hint="eastAsia" w:ascii="仿宋" w:hAnsi="仿宋" w:eastAsia="仿宋" w:cs="仿宋"/>
          <w:i w:val="0"/>
          <w:iCs w:val="0"/>
          <w:caps w:val="0"/>
          <w:color w:val="auto"/>
          <w:spacing w:val="0"/>
          <w:sz w:val="32"/>
          <w:szCs w:val="32"/>
          <w:highlight w:val="none"/>
          <w:u w:val="none"/>
          <w:shd w:val="clear" w:color="auto" w:fill="auto"/>
          <w:lang w:eastAsia="zh-CN"/>
        </w:rPr>
        <w:t>嘎查</w:t>
      </w:r>
      <w:r>
        <w:rPr>
          <w:rFonts w:hint="eastAsia" w:ascii="仿宋" w:hAnsi="仿宋" w:eastAsia="仿宋" w:cs="仿宋"/>
          <w:i w:val="0"/>
          <w:iCs w:val="0"/>
          <w:caps w:val="0"/>
          <w:color w:val="auto"/>
          <w:spacing w:val="0"/>
          <w:sz w:val="32"/>
          <w:szCs w:val="32"/>
          <w:highlight w:val="none"/>
          <w:u w:val="none"/>
          <w:shd w:val="clear" w:color="auto" w:fill="auto"/>
        </w:rPr>
        <w:t>村集体经济组织、新型农业经营主体、农</w:t>
      </w:r>
      <w:r>
        <w:rPr>
          <w:rFonts w:hint="eastAsia" w:ascii="仿宋" w:hAnsi="仿宋" w:eastAsia="仿宋" w:cs="仿宋"/>
          <w:i w:val="0"/>
          <w:iCs w:val="0"/>
          <w:caps w:val="0"/>
          <w:color w:val="auto"/>
          <w:spacing w:val="0"/>
          <w:sz w:val="32"/>
          <w:szCs w:val="32"/>
          <w:highlight w:val="none"/>
          <w:u w:val="none"/>
          <w:shd w:val="clear" w:color="auto" w:fill="auto"/>
          <w:lang w:eastAsia="zh-CN"/>
        </w:rPr>
        <w:t>牧</w:t>
      </w:r>
      <w:r>
        <w:rPr>
          <w:rFonts w:hint="eastAsia" w:ascii="仿宋" w:hAnsi="仿宋" w:eastAsia="仿宋" w:cs="仿宋"/>
          <w:i w:val="0"/>
          <w:iCs w:val="0"/>
          <w:caps w:val="0"/>
          <w:color w:val="auto"/>
          <w:spacing w:val="0"/>
          <w:sz w:val="32"/>
          <w:szCs w:val="32"/>
          <w:highlight w:val="none"/>
          <w:u w:val="none"/>
          <w:shd w:val="clear" w:color="auto" w:fill="auto"/>
        </w:rPr>
        <w:t>户等直接参与高标准农田建设管护。</w:t>
      </w:r>
      <w:r>
        <w:rPr>
          <w:rFonts w:hint="eastAsia" w:ascii="仿宋" w:hAnsi="仿宋" w:eastAsia="仿宋" w:cs="仿宋"/>
          <w:b w:val="0"/>
          <w:bCs w:val="0"/>
          <w:sz w:val="32"/>
          <w:szCs w:val="32"/>
          <w:highlight w:val="none"/>
          <w:u w:val="none"/>
        </w:rPr>
        <w:t>坚持良田粮用</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鼓励先流转后立项、先平整后建设，推动耕地集体流转</w:t>
      </w:r>
      <w:r>
        <w:rPr>
          <w:rFonts w:hint="eastAsia" w:ascii="仿宋" w:hAnsi="仿宋" w:eastAsia="仿宋" w:cs="仿宋"/>
          <w:b w:val="0"/>
          <w:bCs w:val="0"/>
          <w:sz w:val="32"/>
          <w:szCs w:val="32"/>
          <w:highlight w:val="none"/>
          <w:u w:val="none"/>
          <w:lang w:val="en-US" w:eastAsia="zh-CN"/>
        </w:rPr>
        <w:t>及</w:t>
      </w:r>
      <w:r>
        <w:rPr>
          <w:rFonts w:hint="eastAsia" w:ascii="仿宋" w:hAnsi="仿宋" w:eastAsia="仿宋" w:cs="仿宋"/>
          <w:b w:val="0"/>
          <w:bCs w:val="0"/>
          <w:sz w:val="32"/>
          <w:szCs w:val="32"/>
          <w:highlight w:val="none"/>
          <w:u w:val="none"/>
        </w:rPr>
        <w:t>农牧民合作经营，推广整建制耕作托管</w:t>
      </w:r>
      <w:r>
        <w:rPr>
          <w:rFonts w:hint="eastAsia" w:ascii="仿宋" w:hAnsi="仿宋" w:eastAsia="仿宋" w:cs="仿宋"/>
          <w:b w:val="0"/>
          <w:bCs w:val="0"/>
          <w:sz w:val="32"/>
          <w:szCs w:val="32"/>
          <w:highlight w:val="none"/>
          <w:u w:val="none"/>
          <w:lang w:val="en-US" w:eastAsia="zh-CN"/>
        </w:rPr>
        <w:t>等社会化服务，打通“流转—种植—加工—服务—营销”全链条，推动农牧业规模化、产业化、品牌化。倡导高标准农田在</w:t>
      </w:r>
      <w:r>
        <w:rPr>
          <w:rFonts w:hint="eastAsia" w:ascii="仿宋" w:hAnsi="仿宋" w:eastAsia="仿宋" w:cs="仿宋"/>
          <w:b w:val="0"/>
          <w:bCs w:val="0"/>
          <w:sz w:val="32"/>
          <w:szCs w:val="32"/>
          <w:highlight w:val="none"/>
          <w:u w:val="none"/>
        </w:rPr>
        <w:t>第三轮土地承包</w:t>
      </w:r>
      <w:r>
        <w:rPr>
          <w:rFonts w:hint="eastAsia" w:ascii="仿宋" w:hAnsi="仿宋" w:eastAsia="仿宋" w:cs="仿宋"/>
          <w:b w:val="0"/>
          <w:bCs w:val="0"/>
          <w:sz w:val="32"/>
          <w:szCs w:val="32"/>
          <w:highlight w:val="none"/>
          <w:u w:val="none"/>
          <w:lang w:val="en-US" w:eastAsia="zh-CN"/>
        </w:rPr>
        <w:t>后保持规模经营方式和主体相对稳定。</w:t>
      </w:r>
      <w:r>
        <w:rPr>
          <w:rFonts w:hint="eastAsia" w:ascii="仿宋" w:hAnsi="仿宋" w:eastAsia="仿宋" w:cs="仿宋"/>
          <w:b w:val="0"/>
          <w:bCs w:val="0"/>
          <w:sz w:val="32"/>
          <w:szCs w:val="32"/>
          <w:highlight w:val="none"/>
          <w:u w:val="none"/>
        </w:rPr>
        <w:t>优先支持嘎查村为基础、苏木乡镇为单元、整旗县（市、区）推进，全域建设高标准农田</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因地制宜打造</w:t>
      </w:r>
      <w:r>
        <w:rPr>
          <w:rFonts w:hint="eastAsia" w:ascii="仿宋" w:hAnsi="仿宋" w:eastAsia="仿宋" w:cs="仿宋"/>
          <w:b w:val="0"/>
          <w:bCs w:val="0"/>
          <w:sz w:val="32"/>
          <w:szCs w:val="32"/>
          <w:highlight w:val="none"/>
          <w:u w:val="none"/>
          <w:lang w:val="en-US" w:eastAsia="zh-CN"/>
        </w:rPr>
        <w:t>高水平建设</w:t>
      </w:r>
      <w:r>
        <w:rPr>
          <w:rFonts w:hint="eastAsia" w:ascii="仿宋" w:hAnsi="仿宋" w:eastAsia="仿宋" w:cs="仿宋"/>
          <w:b w:val="0"/>
          <w:bCs w:val="0"/>
          <w:sz w:val="32"/>
          <w:szCs w:val="32"/>
          <w:highlight w:val="none"/>
          <w:u w:val="none"/>
        </w:rPr>
        <w:t>高标准农田示范区</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lang w:val="en-US" w:eastAsia="zh-CN"/>
        </w:rPr>
        <w:t>持续推进新技术、新模式“盆景变森林”</w:t>
      </w:r>
      <w:r>
        <w:rPr>
          <w:rFonts w:hint="eastAsia" w:ascii="仿宋" w:hAnsi="仿宋" w:eastAsia="仿宋" w:cs="仿宋"/>
          <w:b w:val="0"/>
          <w:bCs w:val="0"/>
          <w:color w:val="auto"/>
          <w:sz w:val="32"/>
          <w:szCs w:val="32"/>
          <w:highlight w:val="none"/>
          <w:u w:val="none"/>
          <w:lang w:val="en-US" w:eastAsia="zh-CN"/>
        </w:rPr>
        <w:t>，发展农田建设新质生产力</w:t>
      </w:r>
      <w:r>
        <w:rPr>
          <w:rFonts w:hint="eastAsia" w:ascii="仿宋" w:hAnsi="仿宋" w:eastAsia="仿宋" w:cs="仿宋"/>
          <w:b w:val="0"/>
          <w:bCs w:val="0"/>
          <w:sz w:val="32"/>
          <w:szCs w:val="32"/>
          <w:highlight w:val="none"/>
          <w:u w:val="none"/>
          <w:lang w:val="en-US" w:eastAsia="zh-CN"/>
        </w:rPr>
        <w:t>。</w:t>
      </w:r>
      <w:r>
        <w:rPr>
          <w:rFonts w:hint="eastAsia" w:ascii="楷体" w:hAnsi="楷体" w:eastAsia="楷体" w:cs="楷体"/>
          <w:b w:val="0"/>
          <w:bCs w:val="0"/>
          <w:kern w:val="2"/>
          <w:sz w:val="32"/>
          <w:szCs w:val="32"/>
          <w:highlight w:val="none"/>
          <w:u w:val="none"/>
          <w:lang w:val="en-US" w:eastAsia="zh-CN" w:bidi="ar-SA"/>
        </w:rPr>
        <w:t>〔责任单位：自治区农牧厅、财政厅、能源局、内蒙古电力（集团）公司、国网蒙东电力公司〕</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rPr>
          <w:rFonts w:hint="eastAsia" w:ascii="黑体" w:hAnsi="黑体" w:eastAsia="黑体" w:cs="黑体"/>
          <w:b w:val="0"/>
          <w:bCs w:val="0"/>
          <w:sz w:val="32"/>
          <w:szCs w:val="32"/>
          <w:highlight w:val="none"/>
          <w:u w:val="none"/>
        </w:rPr>
      </w:pPr>
      <w:r>
        <w:rPr>
          <w:rFonts w:hint="eastAsia" w:ascii="黑体" w:hAnsi="黑体" w:eastAsia="黑体" w:cs="黑体"/>
          <w:b w:val="0"/>
          <w:bCs w:val="0"/>
          <w:sz w:val="32"/>
          <w:szCs w:val="32"/>
          <w:highlight w:val="none"/>
          <w:u w:val="none"/>
          <w:lang w:eastAsia="zh-CN"/>
        </w:rPr>
        <w:t>十、</w:t>
      </w:r>
      <w:r>
        <w:rPr>
          <w:rFonts w:hint="eastAsia" w:ascii="黑体" w:hAnsi="黑体" w:eastAsia="黑体" w:cs="黑体"/>
          <w:b w:val="0"/>
          <w:bCs w:val="0"/>
          <w:kern w:val="0"/>
          <w:sz w:val="32"/>
          <w:szCs w:val="32"/>
          <w:highlight w:val="none"/>
          <w:u w:val="none"/>
          <w:lang w:val="en-US" w:eastAsia="zh-CN" w:bidi="ar-SA"/>
        </w:rPr>
        <w:t>压实工作责任</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rPr>
          <w:rFonts w:hint="eastAsia" w:ascii="楷体" w:hAnsi="楷体" w:eastAsia="楷体" w:cs="楷体"/>
          <w:sz w:val="32"/>
          <w:szCs w:val="32"/>
          <w:highlight w:val="none"/>
          <w:u w:val="none"/>
        </w:rPr>
      </w:pPr>
      <w:r>
        <w:rPr>
          <w:rFonts w:hint="eastAsia" w:ascii="仿宋" w:hAnsi="仿宋" w:eastAsia="仿宋" w:cs="仿宋"/>
          <w:kern w:val="2"/>
          <w:sz w:val="32"/>
          <w:szCs w:val="32"/>
          <w:highlight w:val="none"/>
          <w:u w:val="none"/>
          <w:lang w:val="en-US" w:eastAsia="zh-CN" w:bidi="ar-SA"/>
        </w:rPr>
        <w:t>各地区各部门要按照粮食安全党政同责要求，建立健全高标准农田建设工作推进机制，主要领导负总责，分管领导直接负责</w:t>
      </w:r>
      <w:r>
        <w:rPr>
          <w:rFonts w:hint="eastAsia" w:ascii="仿宋" w:hAnsi="仿宋" w:eastAsia="仿宋" w:cs="仿宋"/>
          <w:sz w:val="32"/>
          <w:szCs w:val="32"/>
          <w:highlight w:val="none"/>
          <w:u w:val="none"/>
        </w:rPr>
        <w:t>。</w:t>
      </w:r>
      <w:r>
        <w:rPr>
          <w:rFonts w:hint="eastAsia" w:ascii="仿宋" w:hAnsi="仿宋" w:eastAsia="仿宋" w:cs="仿宋"/>
          <w:color w:val="auto"/>
          <w:kern w:val="2"/>
          <w:sz w:val="32"/>
          <w:szCs w:val="32"/>
          <w:highlight w:val="none"/>
          <w:u w:val="none"/>
          <w:lang w:val="en-US" w:eastAsia="zh-CN" w:bidi="ar-SA"/>
        </w:rPr>
        <w:t>旗县（市、区）人民政府要切实履行项目实施主体责任，根据本地区实际情况明确项目监管单位；农牧部门承担行业管理和业务指导责任。引导嘎查村民委员会</w:t>
      </w:r>
      <w:r>
        <w:rPr>
          <w:rFonts w:hint="eastAsia" w:ascii="仿宋" w:hAnsi="仿宋" w:eastAsia="仿宋" w:cs="仿宋"/>
          <w:kern w:val="2"/>
          <w:sz w:val="32"/>
          <w:szCs w:val="32"/>
          <w:highlight w:val="none"/>
          <w:u w:val="none"/>
          <w:lang w:val="en-US" w:eastAsia="zh-CN" w:bidi="ar-SA"/>
        </w:rPr>
        <w:t>积极组织群众参与、协调解决矛盾、参加检查验收</w:t>
      </w:r>
      <w:r>
        <w:rPr>
          <w:rFonts w:hint="eastAsia" w:ascii="仿宋" w:hAnsi="仿宋" w:eastAsia="仿宋" w:cs="仿宋"/>
          <w:sz w:val="32"/>
          <w:szCs w:val="32"/>
          <w:highlight w:val="none"/>
          <w:u w:val="none"/>
        </w:rPr>
        <w:t>。</w:t>
      </w:r>
      <w:r>
        <w:rPr>
          <w:rFonts w:hint="eastAsia" w:ascii="楷体" w:hAnsi="楷体" w:eastAsia="楷体" w:cs="楷体"/>
          <w:b w:val="0"/>
          <w:bCs w:val="0"/>
          <w:kern w:val="2"/>
          <w:sz w:val="32"/>
          <w:szCs w:val="32"/>
          <w:highlight w:val="none"/>
          <w:u w:val="none"/>
          <w:lang w:val="en-US" w:eastAsia="zh-CN" w:bidi="ar-SA"/>
        </w:rPr>
        <w:t>（责任单位：自治区农牧厅）</w:t>
      </w:r>
    </w:p>
    <w:p>
      <w:pPr>
        <w:pStyle w:val="13"/>
        <w:keepNext w:val="0"/>
        <w:keepLines w:val="0"/>
        <w:pageBreakBefore w:val="0"/>
        <w:widowControl w:val="0"/>
        <w:numPr>
          <w:ilvl w:val="0"/>
          <w:numId w:val="0"/>
        </w:numPr>
        <w:kinsoku/>
        <w:wordWrap/>
        <w:overflowPunct/>
        <w:topLinePunct/>
        <w:autoSpaceDE/>
        <w:autoSpaceDN/>
        <w:bidi w:val="0"/>
        <w:adjustRightInd/>
        <w:snapToGrid/>
        <w:spacing w:after="0" w:line="580" w:lineRule="exact"/>
        <w:ind w:left="0" w:leftChars="0" w:right="0" w:rightChars="0" w:firstLine="640" w:firstLineChars="200"/>
        <w:jc w:val="both"/>
        <w:textAlignment w:val="auto"/>
        <w:rPr>
          <w:rFonts w:hint="eastAsia" w:ascii="黑体" w:hAnsi="黑体" w:eastAsia="黑体" w:cs="黑体"/>
          <w:b w:val="0"/>
          <w:bCs w:val="0"/>
          <w:sz w:val="32"/>
          <w:szCs w:val="32"/>
          <w:highlight w:val="none"/>
          <w:u w:val="none"/>
        </w:rPr>
      </w:pPr>
      <w:r>
        <w:rPr>
          <w:rFonts w:hint="eastAsia" w:ascii="黑体" w:hAnsi="黑体" w:eastAsia="黑体" w:cs="黑体"/>
          <w:b w:val="0"/>
          <w:bCs w:val="0"/>
          <w:sz w:val="32"/>
          <w:szCs w:val="32"/>
          <w:highlight w:val="none"/>
          <w:u w:val="none"/>
          <w:lang w:eastAsia="zh-CN"/>
        </w:rPr>
        <w:t>十一、</w:t>
      </w:r>
      <w:r>
        <w:rPr>
          <w:rFonts w:hint="eastAsia" w:ascii="黑体" w:hAnsi="黑体" w:eastAsia="黑体" w:cs="黑体"/>
          <w:b w:val="0"/>
          <w:bCs w:val="0"/>
          <w:sz w:val="32"/>
          <w:szCs w:val="32"/>
          <w:highlight w:val="none"/>
          <w:u w:val="none"/>
        </w:rPr>
        <w:t>建立奖励机制</w:t>
      </w:r>
    </w:p>
    <w:p>
      <w:pPr>
        <w:pStyle w:val="13"/>
        <w:keepNext w:val="0"/>
        <w:keepLines w:val="0"/>
        <w:pageBreakBefore w:val="0"/>
        <w:widowControl w:val="0"/>
        <w:numPr>
          <w:ilvl w:val="0"/>
          <w:numId w:val="0"/>
        </w:numPr>
        <w:kinsoku/>
        <w:wordWrap/>
        <w:overflowPunct/>
        <w:topLinePunct/>
        <w:autoSpaceDE/>
        <w:autoSpaceDN/>
        <w:bidi w:val="0"/>
        <w:adjustRightInd/>
        <w:snapToGrid/>
        <w:spacing w:after="0" w:line="580" w:lineRule="exact"/>
        <w:ind w:left="0" w:leftChars="0" w:right="0" w:rightChars="0" w:firstLine="640" w:firstLineChars="200"/>
        <w:jc w:val="both"/>
        <w:textAlignment w:val="auto"/>
        <w:rPr>
          <w:rFonts w:hint="eastAsia" w:ascii="楷体" w:hAnsi="楷体" w:eastAsia="楷体" w:cs="楷体"/>
          <w:b w:val="0"/>
          <w:bCs w:val="0"/>
          <w:color w:val="auto"/>
          <w:sz w:val="32"/>
          <w:szCs w:val="32"/>
          <w:highlight w:val="none"/>
          <w:u w:val="none"/>
          <w:lang w:val="en-US" w:eastAsia="zh-CN"/>
        </w:rPr>
      </w:pPr>
      <w:r>
        <w:rPr>
          <w:rFonts w:hint="eastAsia" w:ascii="仿宋" w:hAnsi="仿宋" w:eastAsia="仿宋" w:cs="仿宋"/>
          <w:sz w:val="32"/>
          <w:szCs w:val="32"/>
          <w:highlight w:val="none"/>
          <w:u w:val="none"/>
        </w:rPr>
        <w:t>建立健全高标准农田建设管理工作评价奖励机制，对前期工作、建设面积与质量、资金投入和支出、竣工验收和上图入库、建后管护和制度建设等进行综合评价，</w:t>
      </w:r>
      <w:r>
        <w:rPr>
          <w:rFonts w:hint="eastAsia" w:ascii="仿宋" w:hAnsi="仿宋" w:eastAsia="仿宋" w:cs="仿宋"/>
          <w:sz w:val="32"/>
          <w:szCs w:val="32"/>
          <w:highlight w:val="none"/>
          <w:u w:val="none"/>
          <w:lang w:eastAsia="zh-CN"/>
        </w:rPr>
        <w:t>对</w:t>
      </w:r>
      <w:r>
        <w:rPr>
          <w:rFonts w:hint="eastAsia" w:ascii="仿宋" w:hAnsi="仿宋" w:eastAsia="仿宋" w:cs="仿宋"/>
          <w:sz w:val="32"/>
          <w:szCs w:val="32"/>
          <w:highlight w:val="none"/>
          <w:u w:val="none"/>
        </w:rPr>
        <w:t>纳入奖励范围的地区次年分配项目资金时予以倾斜。同时，自治区每年安排</w:t>
      </w:r>
      <w:r>
        <w:rPr>
          <w:rFonts w:hint="eastAsia" w:ascii="仿宋" w:hAnsi="仿宋" w:eastAsia="仿宋" w:cs="仿宋"/>
          <w:sz w:val="32"/>
          <w:szCs w:val="32"/>
          <w:highlight w:val="none"/>
          <w:u w:val="none"/>
          <w:lang w:val="en-US" w:eastAsia="zh-CN"/>
        </w:rPr>
        <w:t>1</w:t>
      </w:r>
      <w:r>
        <w:rPr>
          <w:rFonts w:hint="eastAsia" w:ascii="仿宋" w:hAnsi="仿宋" w:eastAsia="仿宋" w:cs="仿宋"/>
          <w:sz w:val="32"/>
          <w:szCs w:val="32"/>
          <w:highlight w:val="none"/>
          <w:u w:val="none"/>
        </w:rPr>
        <w:t>000万元对当年项目建设成效好的旗县（市、区）给予奖励，安排</w:t>
      </w:r>
      <w:r>
        <w:rPr>
          <w:rFonts w:hint="eastAsia" w:ascii="仿宋" w:hAnsi="仿宋" w:eastAsia="仿宋" w:cs="仿宋"/>
          <w:sz w:val="32"/>
          <w:szCs w:val="32"/>
          <w:highlight w:val="none"/>
          <w:u w:val="none"/>
          <w:lang w:val="en-US" w:eastAsia="zh-CN"/>
        </w:rPr>
        <w:t>1</w:t>
      </w:r>
      <w:r>
        <w:rPr>
          <w:rFonts w:hint="eastAsia" w:ascii="仿宋" w:hAnsi="仿宋" w:eastAsia="仿宋" w:cs="仿宋"/>
          <w:sz w:val="32"/>
          <w:szCs w:val="32"/>
          <w:highlight w:val="none"/>
          <w:u w:val="none"/>
        </w:rPr>
        <w:t>000万元对建成项目管护成效好的嘎查村集体给予奖励。</w:t>
      </w:r>
      <w:r>
        <w:rPr>
          <w:rFonts w:hint="eastAsia" w:ascii="楷体" w:hAnsi="楷体" w:eastAsia="楷体" w:cs="楷体"/>
          <w:b w:val="0"/>
          <w:bCs w:val="0"/>
          <w:kern w:val="2"/>
          <w:sz w:val="32"/>
          <w:szCs w:val="32"/>
          <w:highlight w:val="none"/>
          <w:u w:val="none"/>
          <w:lang w:val="en-US" w:eastAsia="zh-CN" w:bidi="ar-SA"/>
        </w:rPr>
        <w:t>（责任单位：自治区农牧厅、发展改革委、财政厅）</w:t>
      </w:r>
      <w:r>
        <w:rPr>
          <w:rFonts w:hint="eastAsia" w:ascii="楷体" w:hAnsi="楷体" w:eastAsia="楷体" w:cs="楷体"/>
          <w:b w:val="0"/>
          <w:bCs w:val="0"/>
          <w:color w:val="auto"/>
          <w:sz w:val="32"/>
          <w:szCs w:val="32"/>
          <w:highlight w:val="none"/>
          <w:u w:val="none"/>
          <w:lang w:val="en-US" w:eastAsia="zh-CN"/>
        </w:rPr>
        <w:t xml:space="preserve"> </w:t>
      </w:r>
    </w:p>
    <w:p>
      <w:pPr>
        <w:pStyle w:val="13"/>
        <w:keepNext w:val="0"/>
        <w:keepLines w:val="0"/>
        <w:pageBreakBefore w:val="0"/>
        <w:widowControl w:val="0"/>
        <w:kinsoku/>
        <w:wordWrap/>
        <w:overflowPunct/>
        <w:topLinePunct/>
        <w:autoSpaceDE/>
        <w:autoSpaceDN/>
        <w:bidi w:val="0"/>
        <w:adjustRightInd/>
        <w:snapToGrid/>
        <w:spacing w:after="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本通知自</w:t>
      </w:r>
      <w:r>
        <w:rPr>
          <w:rFonts w:hint="eastAsia" w:ascii="仿宋" w:hAnsi="仿宋" w:eastAsia="仿宋" w:cs="仿宋"/>
          <w:b w:val="0"/>
          <w:bCs w:val="0"/>
          <w:sz w:val="32"/>
          <w:szCs w:val="32"/>
          <w:highlight w:val="none"/>
          <w:u w:val="none"/>
          <w:lang w:val="en-US" w:eastAsia="zh-CN"/>
        </w:rPr>
        <w:t>印发之日</w:t>
      </w:r>
      <w:r>
        <w:rPr>
          <w:rFonts w:hint="eastAsia" w:ascii="仿宋" w:hAnsi="仿宋" w:eastAsia="仿宋" w:cs="仿宋"/>
          <w:b w:val="0"/>
          <w:bCs w:val="0"/>
          <w:color w:val="auto"/>
          <w:sz w:val="32"/>
          <w:szCs w:val="32"/>
          <w:highlight w:val="none"/>
          <w:u w:val="none"/>
          <w:lang w:val="en-US" w:eastAsia="zh-CN"/>
        </w:rPr>
        <w:t>起施行，施行过程中的具体问题</w:t>
      </w:r>
      <w:r>
        <w:rPr>
          <w:rFonts w:hint="eastAsia" w:ascii="仿宋" w:hAnsi="仿宋" w:eastAsia="仿宋" w:cs="仿宋"/>
          <w:i w:val="0"/>
          <w:iCs w:val="0"/>
          <w:caps w:val="0"/>
          <w:color w:val="auto"/>
          <w:spacing w:val="0"/>
          <w:sz w:val="32"/>
          <w:szCs w:val="32"/>
          <w:highlight w:val="none"/>
          <w:u w:val="none"/>
          <w:shd w:val="clear" w:color="auto" w:fill="auto"/>
        </w:rPr>
        <w:t>由自治区</w:t>
      </w:r>
      <w:r>
        <w:rPr>
          <w:rFonts w:hint="eastAsia" w:ascii="仿宋" w:hAnsi="仿宋" w:eastAsia="仿宋" w:cs="仿宋"/>
          <w:i w:val="0"/>
          <w:iCs w:val="0"/>
          <w:caps w:val="0"/>
          <w:color w:val="auto"/>
          <w:spacing w:val="0"/>
          <w:sz w:val="32"/>
          <w:szCs w:val="32"/>
          <w:highlight w:val="none"/>
          <w:u w:val="none"/>
          <w:shd w:val="clear" w:color="auto" w:fill="auto"/>
          <w:lang w:val="en-US" w:eastAsia="zh-CN"/>
        </w:rPr>
        <w:t>农牧厅</w:t>
      </w:r>
      <w:r>
        <w:rPr>
          <w:rFonts w:hint="eastAsia" w:ascii="仿宋" w:hAnsi="仿宋" w:eastAsia="仿宋" w:cs="仿宋"/>
          <w:i w:val="0"/>
          <w:iCs w:val="0"/>
          <w:caps w:val="0"/>
          <w:color w:val="auto"/>
          <w:spacing w:val="0"/>
          <w:sz w:val="32"/>
          <w:szCs w:val="32"/>
          <w:highlight w:val="none"/>
          <w:u w:val="none"/>
          <w:shd w:val="clear" w:color="auto" w:fill="auto"/>
        </w:rPr>
        <w:t>负责解释。</w:t>
      </w:r>
      <w:r>
        <w:rPr>
          <w:rFonts w:hint="eastAsia" w:ascii="仿宋" w:hAnsi="仿宋" w:eastAsia="仿宋" w:cs="仿宋"/>
          <w:b w:val="0"/>
          <w:bCs w:val="0"/>
          <w:color w:val="auto"/>
          <w:sz w:val="32"/>
          <w:szCs w:val="32"/>
          <w:highlight w:val="none"/>
          <w:u w:val="none"/>
          <w:lang w:val="en-US" w:eastAsia="zh-CN"/>
        </w:rPr>
        <w:t>《内蒙古自治区人民政府办公厅关于加强高标准农田建设十一条政策措施的通知》（内政办发〔2022〕72号）同时废止。</w:t>
      </w:r>
    </w:p>
    <w:p>
      <w:pPr>
        <w:pStyle w:val="13"/>
        <w:keepNext w:val="0"/>
        <w:keepLines w:val="0"/>
        <w:pageBreakBefore w:val="0"/>
        <w:widowControl w:val="0"/>
        <w:kinsoku/>
        <w:wordWrap/>
        <w:overflowPunct/>
        <w:topLinePunct/>
        <w:autoSpaceDE/>
        <w:autoSpaceDN/>
        <w:bidi w:val="0"/>
        <w:adjustRightInd/>
        <w:snapToGrid/>
        <w:spacing w:after="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u w:val="none"/>
          <w:lang w:val="en-US" w:eastAsia="zh-CN"/>
        </w:rPr>
      </w:pPr>
    </w:p>
    <w:p>
      <w:pPr>
        <w:pStyle w:val="13"/>
        <w:keepNext w:val="0"/>
        <w:keepLines w:val="0"/>
        <w:pageBreakBefore w:val="0"/>
        <w:widowControl w:val="0"/>
        <w:kinsoku/>
        <w:wordWrap/>
        <w:overflowPunct/>
        <w:topLinePunct/>
        <w:autoSpaceDE/>
        <w:autoSpaceDN/>
        <w:bidi w:val="0"/>
        <w:adjustRightInd/>
        <w:snapToGrid/>
        <w:spacing w:after="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u w:val="none"/>
          <w:lang w:val="en-US" w:eastAsia="zh-CN"/>
        </w:rPr>
      </w:pPr>
    </w:p>
    <w:p>
      <w:pPr>
        <w:pStyle w:val="13"/>
        <w:keepNext w:val="0"/>
        <w:keepLines w:val="0"/>
        <w:pageBreakBefore w:val="0"/>
        <w:widowControl w:val="0"/>
        <w:kinsoku/>
        <w:wordWrap/>
        <w:overflowPunct/>
        <w:topLinePunct/>
        <w:autoSpaceDE/>
        <w:autoSpaceDN/>
        <w:bidi w:val="0"/>
        <w:adjustRightInd/>
        <w:snapToGrid/>
        <w:spacing w:after="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u w:val="none"/>
          <w:lang w:val="en-US" w:eastAsia="zh-CN"/>
        </w:rPr>
      </w:pPr>
    </w:p>
    <w:p>
      <w:pPr>
        <w:pStyle w:val="13"/>
        <w:keepNext w:val="0"/>
        <w:keepLines w:val="0"/>
        <w:pageBreakBefore w:val="0"/>
        <w:widowControl w:val="0"/>
        <w:kinsoku/>
        <w:wordWrap/>
        <w:overflowPunct/>
        <w:topLinePunct/>
        <w:autoSpaceDE/>
        <w:autoSpaceDN/>
        <w:bidi w:val="0"/>
        <w:adjustRightInd/>
        <w:snapToGrid/>
        <w:spacing w:after="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2024年4月19日</w:t>
      </w:r>
    </w:p>
    <w:p>
      <w:pPr>
        <w:pStyle w:val="13"/>
        <w:keepNext w:val="0"/>
        <w:keepLines w:val="0"/>
        <w:pageBreakBefore w:val="0"/>
        <w:widowControl w:val="0"/>
        <w:kinsoku/>
        <w:wordWrap/>
        <w:overflowPunct/>
        <w:topLinePunct/>
        <w:autoSpaceDE/>
        <w:autoSpaceDN/>
        <w:bidi w:val="0"/>
        <w:adjustRightInd/>
        <w:snapToGrid/>
        <w:spacing w:after="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（此件公开发布）</w:t>
      </w: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bookmarkStart w:id="0" w:name="_GoBack"/>
      <w:bookmarkEnd w:id="0"/>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600" w:lineRule="exact"/>
        <w:ind w:left="399" w:leftChars="19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p>
    <w:tbl>
      <w:tblPr>
        <w:tblStyle w:val="14"/>
        <w:tblW w:w="8926"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26"/>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892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210" w:rightChars="100" w:firstLine="280" w:firstLineChars="100"/>
              <w:textAlignment w:val="auto"/>
              <w:rPr>
                <w:rFonts w:hint="eastAsia" w:ascii="仿宋" w:hAnsi="仿宋" w:eastAsia="仿宋" w:cs="仿宋"/>
                <w:sz w:val="28"/>
              </w:rPr>
            </w:pPr>
            <w:r>
              <w:rPr>
                <w:rFonts w:hint="eastAsia" w:ascii="仿宋" w:hAnsi="仿宋" w:eastAsia="仿宋" w:cs="仿宋"/>
                <w:sz w:val="28"/>
              </w:rPr>
              <w:t>抄送：自治区党委各部门，内蒙古军区，武警内蒙古总队。</w:t>
            </w:r>
          </w:p>
          <w:p>
            <w:pPr>
              <w:keepNext w:val="0"/>
              <w:keepLines w:val="0"/>
              <w:pageBreakBefore w:val="0"/>
              <w:widowControl w:val="0"/>
              <w:tabs>
                <w:tab w:val="left" w:pos="8640"/>
              </w:tabs>
              <w:kinsoku/>
              <w:wordWrap/>
              <w:overflowPunct/>
              <w:topLinePunct w:val="0"/>
              <w:autoSpaceDE/>
              <w:autoSpaceDN/>
              <w:bidi w:val="0"/>
              <w:adjustRightInd/>
              <w:snapToGrid/>
              <w:spacing w:line="400" w:lineRule="exact"/>
              <w:ind w:left="1117" w:leftChars="532" w:right="210" w:rightChars="100" w:firstLine="19" w:firstLineChars="7"/>
              <w:textAlignment w:val="auto"/>
              <w:rPr>
                <w:rFonts w:hint="eastAsia" w:ascii="仿宋" w:hAnsi="仿宋" w:eastAsia="仿宋" w:cs="仿宋"/>
                <w:sz w:val="28"/>
              </w:rPr>
            </w:pPr>
            <w:r>
              <w:rPr>
                <w:rFonts w:hint="eastAsia" w:ascii="仿宋" w:hAnsi="仿宋" w:eastAsia="仿宋" w:cs="仿宋"/>
                <w:sz w:val="28"/>
              </w:rPr>
              <w:t>自治区人大常委会办公厅、政协办公厅，</w:t>
            </w:r>
            <w:r>
              <w:rPr>
                <w:rFonts w:hint="eastAsia" w:ascii="仿宋" w:hAnsi="仿宋" w:eastAsia="仿宋" w:cs="仿宋"/>
                <w:sz w:val="28"/>
                <w:lang w:eastAsia="zh-CN"/>
              </w:rPr>
              <w:t>自治区监委，自治区</w:t>
            </w:r>
            <w:r>
              <w:rPr>
                <w:rFonts w:hint="eastAsia" w:ascii="仿宋" w:hAnsi="仿宋" w:eastAsia="仿宋" w:cs="仿宋"/>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right="210" w:rightChars="100" w:firstLine="1148" w:firstLineChars="410"/>
              <w:textAlignment w:val="auto"/>
              <w:rPr>
                <w:rFonts w:hint="eastAsia" w:ascii="仿宋" w:hAnsi="仿宋" w:eastAsia="仿宋" w:cs="仿宋"/>
                <w:sz w:val="28"/>
              </w:rPr>
            </w:pPr>
            <w:r>
              <w:rPr>
                <w:rFonts w:hint="eastAsia" w:ascii="仿宋" w:hAnsi="仿宋" w:eastAsia="仿宋" w:cs="仿宋"/>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8926" w:type="dxa"/>
            <w:tcBorders>
              <w:tl2br w:val="nil"/>
              <w:tr2bl w:val="nil"/>
            </w:tcBorders>
            <w:noWrap w:val="0"/>
            <w:vAlign w:val="top"/>
          </w:tcPr>
          <w:p>
            <w:pPr>
              <w:keepNext w:val="0"/>
              <w:keepLines w:val="0"/>
              <w:pageBreakBefore w:val="0"/>
              <w:widowControl w:val="0"/>
              <w:tabs>
                <w:tab w:val="left" w:pos="7740"/>
              </w:tabs>
              <w:kinsoku/>
              <w:wordWrap/>
              <w:overflowPunct/>
              <w:topLinePunct w:val="0"/>
              <w:autoSpaceDE/>
              <w:autoSpaceDN/>
              <w:bidi w:val="0"/>
              <w:adjustRightInd/>
              <w:snapToGrid/>
              <w:spacing w:line="240" w:lineRule="auto"/>
              <w:ind w:right="210" w:rightChars="100" w:firstLine="280" w:firstLineChars="100"/>
              <w:textAlignment w:val="auto"/>
              <w:rPr>
                <w:rFonts w:hint="eastAsia" w:ascii="仿宋" w:hAnsi="仿宋" w:eastAsia="仿宋" w:cs="仿宋"/>
                <w:sz w:val="28"/>
              </w:rPr>
            </w:pPr>
            <w:r>
              <w:rPr>
                <w:rFonts w:hint="eastAsia" w:ascii="仿宋" w:hAnsi="仿宋" w:eastAsia="仿宋" w:cs="仿宋"/>
                <w:sz w:val="28"/>
              </w:rPr>
              <w:t xml:space="preserve">内蒙古自治区人民政府办公厅文电处    </w:t>
            </w:r>
            <w:r>
              <w:rPr>
                <w:rFonts w:hint="eastAsia" w:ascii="仿宋" w:hAnsi="仿宋" w:eastAsia="仿宋" w:cs="仿宋"/>
                <w:sz w:val="28"/>
                <w:lang w:val="en-US" w:eastAsia="zh-CN"/>
              </w:rPr>
              <w:t xml:space="preserve">  </w:t>
            </w:r>
            <w:r>
              <w:rPr>
                <w:rFonts w:hint="eastAsia" w:ascii="仿宋" w:hAnsi="仿宋" w:eastAsia="仿宋" w:cs="仿宋"/>
                <w:sz w:val="28"/>
              </w:rPr>
              <w:t xml:space="preserve">  202</w:t>
            </w:r>
            <w:r>
              <w:rPr>
                <w:rFonts w:hint="eastAsia" w:ascii="仿宋" w:hAnsi="仿宋" w:eastAsia="仿宋" w:cs="仿宋"/>
                <w:sz w:val="28"/>
                <w:lang w:val="en-US" w:eastAsia="zh-CN"/>
              </w:rPr>
              <w:t>4</w:t>
            </w:r>
            <w:r>
              <w:rPr>
                <w:rFonts w:hint="eastAsia" w:ascii="仿宋" w:hAnsi="仿宋" w:eastAsia="仿宋" w:cs="仿宋"/>
                <w:sz w:val="28"/>
              </w:rPr>
              <w:t>年</w:t>
            </w:r>
            <w:r>
              <w:rPr>
                <w:rFonts w:hint="eastAsia" w:ascii="仿宋" w:hAnsi="仿宋" w:eastAsia="仿宋" w:cs="仿宋"/>
                <w:sz w:val="28"/>
                <w:lang w:val="en-US" w:eastAsia="zh-CN"/>
              </w:rPr>
              <w:t>4</w:t>
            </w:r>
            <w:r>
              <w:rPr>
                <w:rFonts w:hint="eastAsia" w:ascii="仿宋" w:hAnsi="仿宋" w:eastAsia="仿宋" w:cs="仿宋"/>
                <w:sz w:val="28"/>
              </w:rPr>
              <w:t>月</w:t>
            </w:r>
            <w:r>
              <w:rPr>
                <w:rFonts w:hint="eastAsia" w:ascii="仿宋" w:hAnsi="仿宋" w:eastAsia="仿宋" w:cs="仿宋"/>
                <w:sz w:val="28"/>
                <w:lang w:val="en-US" w:eastAsia="zh-CN"/>
              </w:rPr>
              <w:t>19</w:t>
            </w:r>
            <w:r>
              <w:rPr>
                <w:rFonts w:hint="eastAsia" w:ascii="仿宋" w:hAnsi="仿宋" w:eastAsia="仿宋" w:cs="仿宋"/>
                <w:sz w:val="28"/>
              </w:rPr>
              <w:t>日印发</w:t>
            </w:r>
          </w:p>
        </w:tc>
      </w:tr>
    </w:tbl>
    <w:p>
      <w:pPr>
        <w:spacing w:line="20" w:lineRule="exact"/>
        <w:rPr>
          <w:rFonts w:hint="eastAsia"/>
        </w:rPr>
      </w:pPr>
      <w:r>
        <w:rPr>
          <w:rFonts w:hint="eastAsia" w:ascii="方正仿宋_GBK" w:hAnsi="方正仿宋_GBK" w:eastAsia="方正仿宋_GBK" w:cs="方正仿宋_GBK"/>
          <w:b w:val="0"/>
          <w:bCs w:val="0"/>
          <w:color w:val="auto"/>
          <w:sz w:val="32"/>
          <w:szCs w:val="32"/>
          <w:highlight w:val="none"/>
          <w:u w:val="none"/>
          <w:lang w:val="en-US" w:eastAsia="zh-CN"/>
        </w:rPr>
        <w:drawing>
          <wp:anchor distT="0" distB="0" distL="114300" distR="114300" simplePos="0" relativeHeight="251659264" behindDoc="0" locked="0" layoutInCell="1" allowOverlap="1">
            <wp:simplePos x="0" y="0"/>
            <wp:positionH relativeFrom="column">
              <wp:posOffset>3622675</wp:posOffset>
            </wp:positionH>
            <wp:positionV relativeFrom="paragraph">
              <wp:posOffset>150495</wp:posOffset>
            </wp:positionV>
            <wp:extent cx="1776095" cy="529590"/>
            <wp:effectExtent l="0" t="0" r="14605" b="3810"/>
            <wp:wrapSquare wrapText="bothSides"/>
            <wp:docPr id="1" name="图片 7" descr="X:\2024\内政办发\NZBF16.tifNZBF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X:\2024\内政办发\NZBF16.tifNZBF16"/>
                    <pic:cNvPicPr>
                      <a:picLocks noChangeAspect="1"/>
                    </pic:cNvPicPr>
                  </pic:nvPicPr>
                  <pic:blipFill>
                    <a:blip r:embed="rId8"/>
                    <a:stretch>
                      <a:fillRect/>
                    </a:stretch>
                  </pic:blipFill>
                  <pic:spPr>
                    <a:xfrm>
                      <a:off x="0" y="0"/>
                      <a:ext cx="1776095" cy="52959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992"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长城小标宋体">
    <w:altName w:val="宋体"/>
    <w:panose1 w:val="00000000000000000000"/>
    <w:charset w:val="86"/>
    <w:family w:val="modern"/>
    <w:pitch w:val="default"/>
    <w:sig w:usb0="00000000" w:usb1="00000000" w:usb2="0000001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8"/>
        <w:rFonts w:hint="eastAsia" w:ascii="宋体" w:hAnsi="宋体"/>
        <w:sz w:val="28"/>
        <w:szCs w:val="28"/>
      </w:rPr>
    </w:pPr>
    <w:r>
      <w:rPr>
        <w:rFonts w:hint="eastAsia" w:ascii="宋体" w:hAnsi="宋体"/>
        <w:sz w:val="28"/>
        <w:szCs w:val="28"/>
      </w:rPr>
      <w:fldChar w:fldCharType="begin"/>
    </w:r>
    <w:r>
      <w:rPr>
        <w:rStyle w:val="18"/>
        <w:rFonts w:hint="eastAsia" w:ascii="宋体" w:hAnsi="宋体"/>
        <w:sz w:val="28"/>
        <w:szCs w:val="28"/>
      </w:rPr>
      <w:instrText xml:space="preserve">PAGE  </w:instrText>
    </w:r>
    <w:r>
      <w:rPr>
        <w:rFonts w:hint="eastAsia" w:ascii="宋体" w:hAnsi="宋体"/>
        <w:sz w:val="28"/>
        <w:szCs w:val="28"/>
      </w:rPr>
      <w:fldChar w:fldCharType="separate"/>
    </w:r>
    <w:r>
      <w:rPr>
        <w:rStyle w:val="18"/>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426A"/>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14A102B"/>
    <w:rsid w:val="02300221"/>
    <w:rsid w:val="023B43DC"/>
    <w:rsid w:val="02AC7262"/>
    <w:rsid w:val="02E63992"/>
    <w:rsid w:val="032338E1"/>
    <w:rsid w:val="036F2861"/>
    <w:rsid w:val="039842CF"/>
    <w:rsid w:val="042E0790"/>
    <w:rsid w:val="062205D9"/>
    <w:rsid w:val="06367DD0"/>
    <w:rsid w:val="074D26E8"/>
    <w:rsid w:val="07E06245"/>
    <w:rsid w:val="08412122"/>
    <w:rsid w:val="096A6150"/>
    <w:rsid w:val="0A2C39C3"/>
    <w:rsid w:val="0A5F5850"/>
    <w:rsid w:val="0B8B7DEE"/>
    <w:rsid w:val="0BD32F56"/>
    <w:rsid w:val="0BD95485"/>
    <w:rsid w:val="0BEA58E4"/>
    <w:rsid w:val="0C0F177E"/>
    <w:rsid w:val="0C670CE3"/>
    <w:rsid w:val="0ECA0ADC"/>
    <w:rsid w:val="0EE04D7C"/>
    <w:rsid w:val="0F81030D"/>
    <w:rsid w:val="109202F8"/>
    <w:rsid w:val="10AA3895"/>
    <w:rsid w:val="10EE19D3"/>
    <w:rsid w:val="110A4333"/>
    <w:rsid w:val="110F26B1"/>
    <w:rsid w:val="11CF49F7"/>
    <w:rsid w:val="13404ED0"/>
    <w:rsid w:val="136A730B"/>
    <w:rsid w:val="13DF5603"/>
    <w:rsid w:val="143771ED"/>
    <w:rsid w:val="14522278"/>
    <w:rsid w:val="14CA62B3"/>
    <w:rsid w:val="14CB3DD9"/>
    <w:rsid w:val="150712B5"/>
    <w:rsid w:val="1563059D"/>
    <w:rsid w:val="16610551"/>
    <w:rsid w:val="16A50D85"/>
    <w:rsid w:val="17822E75"/>
    <w:rsid w:val="17AC7EF2"/>
    <w:rsid w:val="18B319A9"/>
    <w:rsid w:val="18F25DD8"/>
    <w:rsid w:val="19EC6CCB"/>
    <w:rsid w:val="1A7D41CF"/>
    <w:rsid w:val="1A8C400A"/>
    <w:rsid w:val="1AB13812"/>
    <w:rsid w:val="1AD734D7"/>
    <w:rsid w:val="1B122762"/>
    <w:rsid w:val="1C9F6277"/>
    <w:rsid w:val="1D526A56"/>
    <w:rsid w:val="1F302743"/>
    <w:rsid w:val="1FD3237E"/>
    <w:rsid w:val="1FFFEF38"/>
    <w:rsid w:val="205E01F7"/>
    <w:rsid w:val="21294361"/>
    <w:rsid w:val="21B93937"/>
    <w:rsid w:val="21CE0EBF"/>
    <w:rsid w:val="222F3BF9"/>
    <w:rsid w:val="22AF4D3A"/>
    <w:rsid w:val="22D30A28"/>
    <w:rsid w:val="23024E6A"/>
    <w:rsid w:val="231D0A94"/>
    <w:rsid w:val="23490CEA"/>
    <w:rsid w:val="23B557BE"/>
    <w:rsid w:val="24485B15"/>
    <w:rsid w:val="26AF70B6"/>
    <w:rsid w:val="26DE4B97"/>
    <w:rsid w:val="275B16C7"/>
    <w:rsid w:val="27716A62"/>
    <w:rsid w:val="27CB7576"/>
    <w:rsid w:val="27EB05C2"/>
    <w:rsid w:val="28241175"/>
    <w:rsid w:val="29437E25"/>
    <w:rsid w:val="29871310"/>
    <w:rsid w:val="29FFED45"/>
    <w:rsid w:val="2B365FF8"/>
    <w:rsid w:val="2BCF1FA9"/>
    <w:rsid w:val="2CC633AC"/>
    <w:rsid w:val="2CC66F08"/>
    <w:rsid w:val="2D3447B9"/>
    <w:rsid w:val="2DEE2BBA"/>
    <w:rsid w:val="2EB02CEB"/>
    <w:rsid w:val="2FAF6379"/>
    <w:rsid w:val="2FF7387C"/>
    <w:rsid w:val="30A874B6"/>
    <w:rsid w:val="321D581C"/>
    <w:rsid w:val="32717916"/>
    <w:rsid w:val="33FD3B57"/>
    <w:rsid w:val="348B7484"/>
    <w:rsid w:val="35066A3B"/>
    <w:rsid w:val="3507D1B1"/>
    <w:rsid w:val="36A94D8B"/>
    <w:rsid w:val="37824373"/>
    <w:rsid w:val="37FF3882"/>
    <w:rsid w:val="38966AC3"/>
    <w:rsid w:val="39094D4C"/>
    <w:rsid w:val="398268AC"/>
    <w:rsid w:val="39D74D9E"/>
    <w:rsid w:val="3A5B3385"/>
    <w:rsid w:val="3AFFE1E9"/>
    <w:rsid w:val="3B8E5988"/>
    <w:rsid w:val="3D5D11C3"/>
    <w:rsid w:val="3DB64B8A"/>
    <w:rsid w:val="3E23240C"/>
    <w:rsid w:val="3E693B97"/>
    <w:rsid w:val="3F0A35CC"/>
    <w:rsid w:val="3FFDE73E"/>
    <w:rsid w:val="4000052B"/>
    <w:rsid w:val="418B5774"/>
    <w:rsid w:val="42D00689"/>
    <w:rsid w:val="437454B8"/>
    <w:rsid w:val="43D33F4F"/>
    <w:rsid w:val="456E4695"/>
    <w:rsid w:val="45DE130F"/>
    <w:rsid w:val="46DA7D28"/>
    <w:rsid w:val="47467991"/>
    <w:rsid w:val="475C073D"/>
    <w:rsid w:val="49A62143"/>
    <w:rsid w:val="49DC5B65"/>
    <w:rsid w:val="4A456A7E"/>
    <w:rsid w:val="4AC9433B"/>
    <w:rsid w:val="4AE50A49"/>
    <w:rsid w:val="4B572753"/>
    <w:rsid w:val="4BB12688"/>
    <w:rsid w:val="4C03562B"/>
    <w:rsid w:val="4D720CBA"/>
    <w:rsid w:val="4D722A68"/>
    <w:rsid w:val="4E45017D"/>
    <w:rsid w:val="4F122438"/>
    <w:rsid w:val="4F7A53D6"/>
    <w:rsid w:val="501C6CBB"/>
    <w:rsid w:val="50A06581"/>
    <w:rsid w:val="51650C56"/>
    <w:rsid w:val="517D7C2E"/>
    <w:rsid w:val="51CB06AC"/>
    <w:rsid w:val="52B3466A"/>
    <w:rsid w:val="53D14261"/>
    <w:rsid w:val="53DF6839"/>
    <w:rsid w:val="55313209"/>
    <w:rsid w:val="5563713A"/>
    <w:rsid w:val="56062987"/>
    <w:rsid w:val="56625644"/>
    <w:rsid w:val="57BE38CA"/>
    <w:rsid w:val="589046EA"/>
    <w:rsid w:val="58E95B63"/>
    <w:rsid w:val="596D67DA"/>
    <w:rsid w:val="59981AA8"/>
    <w:rsid w:val="59D91A2D"/>
    <w:rsid w:val="5A9102A6"/>
    <w:rsid w:val="5A9F6E67"/>
    <w:rsid w:val="5AA47FD9"/>
    <w:rsid w:val="5AE900E2"/>
    <w:rsid w:val="5B5C6B06"/>
    <w:rsid w:val="5B750193"/>
    <w:rsid w:val="5BAE3879"/>
    <w:rsid w:val="5BB93F58"/>
    <w:rsid w:val="5C2F06A3"/>
    <w:rsid w:val="5C602626"/>
    <w:rsid w:val="5CA42512"/>
    <w:rsid w:val="5CDD3C76"/>
    <w:rsid w:val="5CE85B3E"/>
    <w:rsid w:val="5CF83AFD"/>
    <w:rsid w:val="5D5F3AA4"/>
    <w:rsid w:val="5E3C677A"/>
    <w:rsid w:val="5E58735F"/>
    <w:rsid w:val="5F1D52B7"/>
    <w:rsid w:val="5F506981"/>
    <w:rsid w:val="5FDF77DB"/>
    <w:rsid w:val="60844B35"/>
    <w:rsid w:val="608C1C3B"/>
    <w:rsid w:val="61820798"/>
    <w:rsid w:val="6189617B"/>
    <w:rsid w:val="61ED495B"/>
    <w:rsid w:val="625338EA"/>
    <w:rsid w:val="63DE27AE"/>
    <w:rsid w:val="64B86B45"/>
    <w:rsid w:val="656B271E"/>
    <w:rsid w:val="656C5B97"/>
    <w:rsid w:val="65B37C6A"/>
    <w:rsid w:val="665F262C"/>
    <w:rsid w:val="67CF74C7"/>
    <w:rsid w:val="687A681D"/>
    <w:rsid w:val="68C0778C"/>
    <w:rsid w:val="6A99773C"/>
    <w:rsid w:val="6AA54025"/>
    <w:rsid w:val="6AEB755E"/>
    <w:rsid w:val="6B421874"/>
    <w:rsid w:val="6B6176ED"/>
    <w:rsid w:val="6BBA3B00"/>
    <w:rsid w:val="6CD21441"/>
    <w:rsid w:val="6D396CA7"/>
    <w:rsid w:val="6DAF6F69"/>
    <w:rsid w:val="6E9F0D8B"/>
    <w:rsid w:val="6F2C465B"/>
    <w:rsid w:val="6F331B44"/>
    <w:rsid w:val="6F6A1827"/>
    <w:rsid w:val="70E707C8"/>
    <w:rsid w:val="71025602"/>
    <w:rsid w:val="717F6C52"/>
    <w:rsid w:val="71F92EA9"/>
    <w:rsid w:val="72E256EB"/>
    <w:rsid w:val="72F16D57"/>
    <w:rsid w:val="72F62F44"/>
    <w:rsid w:val="734E4B2E"/>
    <w:rsid w:val="735760D9"/>
    <w:rsid w:val="737C82B9"/>
    <w:rsid w:val="73F676A0"/>
    <w:rsid w:val="7496678D"/>
    <w:rsid w:val="74980757"/>
    <w:rsid w:val="75B10538"/>
    <w:rsid w:val="75CA0DE4"/>
    <w:rsid w:val="76472434"/>
    <w:rsid w:val="776BF4B5"/>
    <w:rsid w:val="7791148D"/>
    <w:rsid w:val="77AD276B"/>
    <w:rsid w:val="77C74EAF"/>
    <w:rsid w:val="77EB8CC9"/>
    <w:rsid w:val="791505C8"/>
    <w:rsid w:val="792E2380"/>
    <w:rsid w:val="7AB4796D"/>
    <w:rsid w:val="7AFFE270"/>
    <w:rsid w:val="7B3B62E0"/>
    <w:rsid w:val="7B9F4EFC"/>
    <w:rsid w:val="7C4B60AF"/>
    <w:rsid w:val="7CD97B5E"/>
    <w:rsid w:val="7D164783"/>
    <w:rsid w:val="7DCF4ABD"/>
    <w:rsid w:val="7E960D71"/>
    <w:rsid w:val="7E991353"/>
    <w:rsid w:val="7EF6B0D2"/>
    <w:rsid w:val="7EFDD55D"/>
    <w:rsid w:val="7F4F426F"/>
    <w:rsid w:val="7F57732E"/>
    <w:rsid w:val="7F7E9A9D"/>
    <w:rsid w:val="7FC9408A"/>
    <w:rsid w:val="A5DF2C01"/>
    <w:rsid w:val="B7FFD62C"/>
    <w:rsid w:val="BDCFFDC0"/>
    <w:rsid w:val="BFDF545D"/>
    <w:rsid w:val="D75BD6C3"/>
    <w:rsid w:val="DBEFD9B8"/>
    <w:rsid w:val="DDBE3C74"/>
    <w:rsid w:val="DF7FDB7D"/>
    <w:rsid w:val="DFDFE79E"/>
    <w:rsid w:val="EEFF4BD2"/>
    <w:rsid w:val="EFFE8151"/>
    <w:rsid w:val="F55F0157"/>
    <w:rsid w:val="F9AD1232"/>
    <w:rsid w:val="F9EF6F7E"/>
    <w:rsid w:val="FA6C4BE8"/>
    <w:rsid w:val="FDBD6ABB"/>
    <w:rsid w:val="FEADE6C9"/>
    <w:rsid w:val="FEFF0DB4"/>
    <w:rsid w:val="FFF61D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6">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ody Text"/>
    <w:basedOn w:val="1"/>
    <w:qFormat/>
    <w:uiPriority w:val="0"/>
    <w:pPr>
      <w:spacing w:after="120"/>
    </w:pPr>
    <w:rPr>
      <w:rFonts w:ascii="Calibri" w:hAnsi="Calibri" w:eastAsia="宋体" w:cs="Times New Roman"/>
      <w:szCs w:val="24"/>
      <w:lang w:bidi="ar-SA"/>
    </w:rPr>
  </w:style>
  <w:style w:type="paragraph" w:styleId="5">
    <w:name w:val="Date"/>
    <w:basedOn w:val="1"/>
    <w:next w:val="1"/>
    <w:link w:val="21"/>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22"/>
    <w:uiPriority w:val="0"/>
    <w:pPr>
      <w:tabs>
        <w:tab w:val="center" w:pos="4153"/>
        <w:tab w:val="right" w:pos="8306"/>
      </w:tabs>
      <w:snapToGrid w:val="0"/>
      <w:jc w:val="left"/>
    </w:pPr>
    <w:rPr>
      <w:sz w:val="18"/>
      <w:szCs w:val="18"/>
    </w:rPr>
  </w:style>
  <w:style w:type="paragraph" w:styleId="8">
    <w:name w:val="header"/>
    <w:basedOn w:val="1"/>
    <w:link w:val="23"/>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99"/>
    <w:pPr>
      <w:spacing w:after="120" w:line="480" w:lineRule="auto"/>
    </w:pPr>
    <w:rPr>
      <w:rFonts w:ascii="Calibri" w:hAnsi="Calibri" w:eastAsia="宋体" w:cs="Times New Roman"/>
      <w:szCs w:val="24"/>
      <w:lang w:bidi="ar-SA"/>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Autospacing="1" w:afterAutospacing="1"/>
      <w:jc w:val="left"/>
    </w:pPr>
    <w:rPr>
      <w:rFonts w:ascii="Calibri" w:hAnsi="Calibri" w:eastAsia="宋体" w:cs="Times New Roman"/>
      <w:kern w:val="0"/>
      <w:sz w:val="24"/>
      <w:szCs w:val="24"/>
      <w:lang w:bidi="ar-SA"/>
    </w:rPr>
  </w:style>
  <w:style w:type="paragraph" w:styleId="12">
    <w:name w:val="Title"/>
    <w:basedOn w:val="1"/>
    <w:next w:val="1"/>
    <w:qFormat/>
    <w:uiPriority w:val="10"/>
    <w:pPr>
      <w:adjustRightInd w:val="0"/>
      <w:snapToGrid w:val="0"/>
      <w:spacing w:line="560" w:lineRule="exact"/>
      <w:jc w:val="center"/>
    </w:pPr>
    <w:rPr>
      <w:rFonts w:ascii="方正小标宋简体" w:hAnsi="长城小标宋体" w:eastAsia="方正小标宋简体" w:cs="Times New Roman"/>
      <w:sz w:val="44"/>
      <w:szCs w:val="44"/>
      <w:lang w:bidi="ar-SA"/>
    </w:rPr>
  </w:style>
  <w:style w:type="paragraph" w:styleId="13">
    <w:name w:val="Body Text First Indent"/>
    <w:basedOn w:val="4"/>
    <w:qFormat/>
    <w:uiPriority w:val="0"/>
    <w:pPr>
      <w:ind w:firstLine="420" w:firstLineChars="100"/>
    </w:pPr>
    <w:rPr>
      <w:rFonts w:ascii="Calibri" w:hAnsi="Calibri" w:eastAsia="宋体" w:cs="Times New Roman"/>
    </w:rPr>
  </w:style>
  <w:style w:type="table" w:styleId="15">
    <w:name w:val="Table Grid"/>
    <w:basedOn w:val="14"/>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basedOn w:val="16"/>
    <w:qFormat/>
    <w:uiPriority w:val="0"/>
    <w:rPr>
      <w:rFonts w:ascii="Times New Roman" w:hAnsi="Times New Roman" w:eastAsia="宋体" w:cs="Times New Roman"/>
      <w:b/>
    </w:rPr>
  </w:style>
  <w:style w:type="character" w:styleId="18">
    <w:name w:val="page number"/>
    <w:basedOn w:val="16"/>
    <w:uiPriority w:val="0"/>
  </w:style>
  <w:style w:type="character" w:styleId="19">
    <w:name w:val="Hyperlink"/>
    <w:basedOn w:val="16"/>
    <w:uiPriority w:val="0"/>
    <w:rPr>
      <w:rFonts w:ascii="Times New Roman" w:hAnsi="Times New Roman" w:eastAsia="宋体" w:cs="Times New Roman"/>
      <w:color w:val="0000FF"/>
      <w:u w:val="single"/>
    </w:rPr>
  </w:style>
  <w:style w:type="paragraph" w:customStyle="1" w:styleId="20">
    <w:name w:val="1正文"/>
    <w:basedOn w:val="11"/>
    <w:qFormat/>
    <w:uiPriority w:val="0"/>
    <w:pPr>
      <w:spacing w:line="360" w:lineRule="auto"/>
      <w:ind w:firstLine="480" w:firstLineChars="200"/>
    </w:pPr>
    <w:rPr>
      <w:rFonts w:ascii="Times New Roman" w:hAnsi="Times New Roman" w:eastAsia="宋体" w:cs="Times New Roman"/>
      <w:color w:val="000000"/>
    </w:rPr>
  </w:style>
  <w:style w:type="character" w:customStyle="1" w:styleId="21">
    <w:name w:val=" Char Char2"/>
    <w:basedOn w:val="16"/>
    <w:link w:val="5"/>
    <w:uiPriority w:val="0"/>
    <w:rPr>
      <w:rFonts w:ascii="仿宋_GB2312" w:hAnsi="Times New Roman" w:eastAsia="仿宋_GB2312" w:cs="Times New Roman"/>
      <w:kern w:val="2"/>
      <w:sz w:val="32"/>
      <w:szCs w:val="24"/>
      <w:lang w:bidi="ar-SA"/>
    </w:rPr>
  </w:style>
  <w:style w:type="character" w:customStyle="1" w:styleId="22">
    <w:name w:val=" Char Char"/>
    <w:basedOn w:val="16"/>
    <w:link w:val="7"/>
    <w:semiHidden/>
    <w:uiPriority w:val="99"/>
    <w:rPr>
      <w:rFonts w:ascii="Times New Roman" w:hAnsi="Times New Roman" w:eastAsia="宋体" w:cs="Times New Roman"/>
      <w:kern w:val="2"/>
      <w:sz w:val="18"/>
      <w:szCs w:val="22"/>
    </w:rPr>
  </w:style>
  <w:style w:type="character" w:customStyle="1" w:styleId="23">
    <w:name w:val=" Char Char1"/>
    <w:basedOn w:val="16"/>
    <w:link w:val="8"/>
    <w:semiHidden/>
    <w:uiPriority w:val="99"/>
    <w:rPr>
      <w:rFonts w:ascii="Times New Roman" w:hAnsi="Times New Roman" w:eastAsia="宋体" w:cs="Times New Roman"/>
      <w:kern w:val="2"/>
      <w:sz w:val="18"/>
      <w:szCs w:val="22"/>
    </w:rPr>
  </w:style>
  <w:style w:type="character" w:customStyle="1" w:styleId="24">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5</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cp:lastModifiedBy>
  <cp:lastPrinted>2024-04-22T14:41:29Z</cp:lastPrinted>
  <dcterms:modified xsi:type="dcterms:W3CDTF">2024-04-30T02:01:42Z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