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0" w:firstLineChars="0"/>
        <w:textAlignment w:val="auto"/>
        <w:rPr>
          <w:rFonts w:hint="default" w:ascii="黑体" w:hAnsi="黑体" w:eastAsia="黑体" w:cs="黑体"/>
          <w:sz w:val="11"/>
          <w:szCs w:val="1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内蒙古自治区人民政府废止和宣布失效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行政规范性文件目录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11"/>
          <w:szCs w:val="1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0" w:firstLineChars="0"/>
        <w:jc w:val="center"/>
        <w:textAlignment w:val="auto"/>
        <w:rPr>
          <w:rFonts w:hint="eastAsia" w:ascii="楷体" w:hAnsi="楷体" w:eastAsia="楷体" w:cs="楷体"/>
          <w:sz w:val="11"/>
          <w:szCs w:val="11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（截至2023年7月底）</w:t>
      </w:r>
    </w:p>
    <w:p>
      <w:r>
        <w:rPr>
          <w:rFonts w:hint="eastAsia"/>
          <w:lang w:eastAsia="zh-CN"/>
        </w:rPr>
        <w:drawing>
          <wp:inline distT="0" distB="0" distL="114300" distR="114300">
            <wp:extent cx="5686425" cy="5916930"/>
            <wp:effectExtent l="0" t="0" r="9525" b="7620"/>
            <wp:docPr id="3" name="图片 1" descr="内政发27_页面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内政发27_页面_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91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1" name="图片 2" descr="内政发27_页面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内政发27_页面_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2" name="图片 3" descr="内政发27_页面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内政发27_页面_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3000502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C26E0E"/>
    <w:rsid w:val="54C26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next w:val="1"/>
    <w:qFormat/>
    <w:uiPriority w:val="0"/>
    <w:pPr>
      <w:suppressAutoHyphens/>
      <w:bidi w:val="0"/>
      <w:spacing w:before="0" w:after="140" w:line="276" w:lineRule="auto"/>
    </w:pPr>
    <w:rPr>
      <w:rFonts w:ascii="Calibri" w:hAnsi="Calibri" w:eastAsia="宋体" w:cs="Times New Roman"/>
      <w:color w:val="auto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2024-01-29T07:15:00Z</dcterms:created>
  <dc:creator>哈斯高娃</dc:creator>
  <cp:lastModifiedBy>哈斯高娃</cp:lastModifiedBy>
  <dcterms:modified xsi:type="dcterms:W3CDTF">2024-01-29T07:16:35Z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