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beforeAutospacing="0" w:afterAutospacing="0" w:line="700" w:lineRule="exact"/>
        <w:ind w:left="0" w:leftChars="0" w:right="0" w:rightChars="0" w:firstLine="160" w:firstLineChars="50"/>
        <w:jc w:val="left"/>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bookmarkStart w:id="0" w:name="标题"/>
      <w:bookmarkEnd w:id="0"/>
      <w:r>
        <w:rPr>
          <w:rFonts w:hint="eastAsia" w:ascii="方正小标宋_GBK" w:hAnsi="方正小标宋_GBK" w:eastAsia="方正小标宋_GBK" w:cs="方正小标宋_GBK"/>
          <w:spacing w:val="0"/>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28"/>
          <w:sz w:val="44"/>
          <w:szCs w:val="44"/>
          <w:lang w:eastAsia="zh-CN"/>
        </w:rPr>
        <w:t>《内蒙古自治区高新技术产</w:t>
      </w:r>
      <w:r>
        <w:rPr>
          <w:rFonts w:hint="eastAsia" w:ascii="方正小标宋_GBK" w:hAnsi="方正小标宋_GBK" w:eastAsia="方正小标宋_GBK" w:cs="方正小标宋_GBK"/>
          <w:spacing w:val="0"/>
          <w:sz w:val="44"/>
          <w:szCs w:val="44"/>
          <w:lang w:eastAsia="zh-CN"/>
        </w:rPr>
        <w:t>业</w:t>
      </w: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开发区管理办法》的通知</w:t>
      </w: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内政办发〔2022〕17号</w:t>
      </w: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200" w:lineRule="exact"/>
        <w:ind w:left="0" w:leftChars="0" w:right="0" w:rightChars="0" w:firstLine="0" w:firstLineChars="0"/>
        <w:jc w:val="both"/>
        <w:textAlignment w:val="auto"/>
        <w:outlineLvl w:val="9"/>
        <w:rPr>
          <w:rFonts w:hint="eastAsia" w:ascii="仿宋" w:hAnsi="仿宋" w:eastAsia="仿宋" w:cs="仿宋"/>
          <w:spacing w:val="0"/>
          <w:sz w:val="32"/>
          <w:szCs w:val="32"/>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340" w:lineRule="exact"/>
        <w:ind w:left="0" w:leftChars="0" w:right="0" w:rightChars="0"/>
        <w:jc w:val="both"/>
        <w:textAlignment w:val="auto"/>
        <w:outlineLvl w:val="9"/>
        <w:rPr>
          <w:rFonts w:hint="eastAsia" w:ascii="楷体" w:hAnsi="楷体" w:eastAsia="楷体" w:cs="楷体"/>
          <w:spacing w:val="0"/>
          <w:sz w:val="32"/>
          <w:szCs w:val="32"/>
          <w:lang w:eastAsia="zh-CN"/>
        </w:rPr>
      </w:pPr>
      <w:r>
        <w:rPr>
          <w:rFonts w:hint="eastAsia" w:ascii="楷体" w:hAnsi="楷体" w:eastAsia="楷体" w:cs="楷体"/>
          <w:spacing w:val="0"/>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340" w:lineRule="exact"/>
        <w:ind w:left="0" w:leftChars="0" w:right="0" w:rightChars="0" w:firstLine="600"/>
        <w:jc w:val="both"/>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经自治区人民政府同意，现将《内蒙古自治区高新技术产业开发区管理办法》印发给你们，请结合实际，认真贯彻执行。</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left="0" w:leftChars="0" w:right="0" w:rightChars="0" w:firstLine="601" w:firstLineChars="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200" w:lineRule="exact"/>
        <w:ind w:left="0" w:leftChars="0" w:right="0" w:rightChars="0" w:firstLine="601" w:firstLineChars="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200" w:lineRule="exact"/>
        <w:ind w:left="0" w:leftChars="0" w:right="0" w:rightChars="0" w:firstLine="601" w:firstLineChars="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200" w:lineRule="exact"/>
        <w:ind w:left="0" w:leftChars="0" w:right="0" w:rightChars="0" w:firstLine="601" w:firstLineChars="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00" w:lineRule="exact"/>
        <w:ind w:left="0" w:leftChars="0" w:right="0" w:rightChars="0" w:firstLine="601" w:firstLineChars="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beforeAutospacing="0" w:afterAutospacing="0" w:line="440" w:lineRule="exact"/>
        <w:ind w:left="0" w:leftChars="0" w:right="0" w:rightChars="0" w:firstLine="5120" w:firstLineChars="1600"/>
        <w:jc w:val="both"/>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2022年 2月24日</w:t>
      </w: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40" w:lineRule="exact"/>
        <w:ind w:left="0" w:leftChars="0" w:right="0" w:rightChars="0" w:firstLine="640" w:firstLineChars="200"/>
        <w:jc w:val="both"/>
        <w:textAlignment w:val="auto"/>
        <w:outlineLvl w:val="9"/>
        <w:rPr>
          <w:rFonts w:hint="eastAsia" w:ascii="楷体" w:hAnsi="楷体" w:eastAsia="楷体" w:cs="楷体"/>
          <w:spacing w:val="0"/>
          <w:sz w:val="32"/>
          <w:szCs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textAlignment w:val="auto"/>
        <w:outlineLvl w:val="9"/>
        <w:rPr>
          <w:rFonts w:hint="eastAsia" w:ascii="方正小标宋_GBK" w:hAnsi="方正小标宋_GBK" w:eastAsia="方正小标宋_GBK" w:cs="方正小标宋_GBK"/>
          <w:b w:val="0"/>
          <w:bCs w:val="0"/>
          <w:spacing w:val="0"/>
          <w:kern w:val="0"/>
          <w:sz w:val="44"/>
          <w:szCs w:val="44"/>
        </w:rPr>
      </w:pPr>
      <w:r>
        <w:rPr>
          <w:rFonts w:hint="eastAsia" w:ascii="方正小标宋_GBK" w:hAnsi="方正小标宋_GBK" w:eastAsia="方正小标宋_GBK" w:cs="方正小标宋_GBK"/>
          <w:b w:val="0"/>
          <w:bCs w:val="0"/>
          <w:spacing w:val="23"/>
          <w:kern w:val="0"/>
          <w:sz w:val="44"/>
          <w:szCs w:val="44"/>
        </w:rPr>
        <w:t>内蒙古自治区高新技术产</w:t>
      </w:r>
      <w:r>
        <w:rPr>
          <w:rFonts w:hint="eastAsia" w:ascii="方正小标宋_GBK" w:hAnsi="方正小标宋_GBK" w:eastAsia="方正小标宋_GBK" w:cs="方正小标宋_GBK"/>
          <w:b w:val="0"/>
          <w:bCs w:val="0"/>
          <w:spacing w:val="0"/>
          <w:kern w:val="0"/>
          <w:sz w:val="44"/>
          <w:szCs w:val="44"/>
        </w:rPr>
        <w:t>业</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textAlignment w:val="auto"/>
        <w:outlineLvl w:val="9"/>
        <w:rPr>
          <w:rFonts w:hint="eastAsia" w:ascii="方正小标宋_GBK" w:hAnsi="方正小标宋_GBK" w:eastAsia="方正小标宋_GBK" w:cs="方正小标宋_GBK"/>
          <w:b w:val="0"/>
          <w:bCs w:val="0"/>
          <w:spacing w:val="0"/>
          <w:kern w:val="0"/>
          <w:sz w:val="44"/>
          <w:szCs w:val="44"/>
        </w:rPr>
      </w:pPr>
      <w:r>
        <w:rPr>
          <w:rFonts w:hint="eastAsia" w:ascii="方正小标宋_GBK" w:hAnsi="方正小标宋_GBK" w:eastAsia="方正小标宋_GBK" w:cs="方正小标宋_GBK"/>
          <w:b w:val="0"/>
          <w:bCs w:val="0"/>
          <w:spacing w:val="68"/>
          <w:kern w:val="0"/>
          <w:sz w:val="44"/>
          <w:szCs w:val="44"/>
        </w:rPr>
        <w:t>开发区管理办</w:t>
      </w:r>
      <w:r>
        <w:rPr>
          <w:rFonts w:hint="eastAsia" w:ascii="方正小标宋_GBK" w:hAnsi="方正小标宋_GBK" w:eastAsia="方正小标宋_GBK" w:cs="方正小标宋_GBK"/>
          <w:b w:val="0"/>
          <w:bCs w:val="0"/>
          <w:spacing w:val="0"/>
          <w:kern w:val="0"/>
          <w:sz w:val="44"/>
          <w:szCs w:val="44"/>
        </w:rPr>
        <w:t>法</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textAlignment w:val="auto"/>
        <w:outlineLvl w:val="9"/>
        <w:rPr>
          <w:rFonts w:hint="eastAsia" w:ascii="仿宋" w:hAnsi="仿宋" w:eastAsia="仿宋" w:cs="仿宋"/>
          <w:bCs/>
          <w:spacing w:val="0"/>
          <w:kern w:val="0"/>
          <w:sz w:val="32"/>
          <w:szCs w:val="32"/>
        </w:rPr>
      </w:pPr>
    </w:p>
    <w:p>
      <w:pPr>
        <w:pStyle w:val="13"/>
        <w:keepNext w:val="0"/>
        <w:keepLines w:val="0"/>
        <w:pageBreakBefore w:val="0"/>
        <w:widowControl w:val="0"/>
        <w:numPr>
          <w:ilvl w:val="0"/>
          <w:numId w:val="0"/>
        </w:numPr>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outlineLvl w:val="9"/>
        <w:rPr>
          <w:rFonts w:hint="eastAsia" w:ascii="黑体" w:hAnsi="黑体" w:eastAsia="黑体" w:cs="黑体"/>
          <w:spacing w:val="0"/>
          <w:sz w:val="32"/>
          <w:szCs w:val="32"/>
        </w:rPr>
      </w:pPr>
      <w:r>
        <w:rPr>
          <w:rFonts w:hint="eastAsia" w:ascii="黑体" w:hAnsi="黑体" w:eastAsia="黑体" w:cs="黑体"/>
          <w:bCs/>
          <w:spacing w:val="0"/>
          <w:kern w:val="0"/>
          <w:sz w:val="32"/>
          <w:szCs w:val="32"/>
          <w:lang w:eastAsia="zh-CN"/>
        </w:rPr>
        <w:t>第一章</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rPr>
        <w:t>总</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rPr>
        <w:t>则</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第一条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rPr>
        <w:t>为贯彻落实《国务院关于促进国家高新技术产业开发区高质量发展的若干意见》（国发〔2020〕7号）精神，进一步规范自治区级高新技术产业开发区</w:t>
      </w:r>
      <w:r>
        <w:rPr>
          <w:rFonts w:hint="eastAsia" w:ascii="仿宋" w:hAnsi="仿宋" w:eastAsia="仿宋" w:cs="仿宋"/>
          <w:spacing w:val="0"/>
          <w:kern w:val="0"/>
          <w:sz w:val="32"/>
          <w:szCs w:val="32"/>
          <w:lang w:eastAsia="zh-CN"/>
        </w:rPr>
        <w:t>（以下简称高新区）</w:t>
      </w:r>
      <w:r>
        <w:rPr>
          <w:rFonts w:hint="eastAsia" w:ascii="仿宋" w:hAnsi="仿宋" w:eastAsia="仿宋" w:cs="仿宋"/>
          <w:spacing w:val="0"/>
          <w:kern w:val="0"/>
          <w:sz w:val="32"/>
          <w:szCs w:val="32"/>
        </w:rPr>
        <w:t xml:space="preserve">的设立和管理，促进全区高新区高质量发展，参照《国家高新技术产业开发区管理暂行办法》《国家高新技术产业开发区综合评价指标体系》，结合自治区实际，制定本办法。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第二条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rPr>
        <w:t>本办法适用</w:t>
      </w:r>
      <w:r>
        <w:rPr>
          <w:rFonts w:hint="eastAsia" w:ascii="仿宋" w:hAnsi="仿宋" w:eastAsia="仿宋" w:cs="仿宋"/>
          <w:spacing w:val="0"/>
          <w:kern w:val="0"/>
          <w:sz w:val="32"/>
          <w:szCs w:val="32"/>
          <w:lang w:eastAsia="zh-CN"/>
        </w:rPr>
        <w:t>于自治区行政区域内高新区</w:t>
      </w:r>
      <w:r>
        <w:rPr>
          <w:rFonts w:hint="eastAsia" w:ascii="仿宋" w:hAnsi="仿宋" w:eastAsia="仿宋" w:cs="仿宋"/>
          <w:spacing w:val="0"/>
          <w:kern w:val="0"/>
          <w:sz w:val="32"/>
          <w:szCs w:val="32"/>
        </w:rPr>
        <w:t xml:space="preserve">的认定、评价、管理。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第三条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rPr>
        <w:t>高</w:t>
      </w:r>
      <w:r>
        <w:rPr>
          <w:rFonts w:hint="eastAsia" w:ascii="仿宋" w:hAnsi="仿宋" w:eastAsia="仿宋" w:cs="仿宋"/>
          <w:spacing w:val="0"/>
          <w:kern w:val="0"/>
          <w:sz w:val="32"/>
          <w:szCs w:val="32"/>
          <w:lang w:eastAsia="zh-CN"/>
        </w:rPr>
        <w:t>新区建设应当深入实施创新驱动发展战略，深化体制机制改革，以“科技兴蒙”行动为统领，以提高自主创新能力为核心，积极营造良好创新创业生态，全面构建现代产业体系，将高新区建设成为自治区创新驱动发展示范区和高质量发展先行区。</w:t>
      </w:r>
    </w:p>
    <w:p>
      <w:pPr>
        <w:pStyle w:val="12"/>
        <w:keepNext w:val="0"/>
        <w:keepLines w:val="0"/>
        <w:pageBreakBefore w:val="0"/>
        <w:widowControl w:val="0"/>
        <w:numPr>
          <w:ilvl w:val="0"/>
          <w:numId w:val="0"/>
        </w:numPr>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outlineLvl w:val="9"/>
        <w:rPr>
          <w:rFonts w:hint="eastAsia" w:ascii="黑体" w:hAnsi="黑体" w:eastAsia="黑体" w:cs="黑体"/>
          <w:bCs/>
          <w:spacing w:val="0"/>
          <w:kern w:val="0"/>
          <w:sz w:val="32"/>
          <w:szCs w:val="32"/>
          <w:lang w:eastAsia="zh-CN"/>
        </w:rPr>
      </w:pPr>
      <w:r>
        <w:rPr>
          <w:rFonts w:hint="eastAsia" w:ascii="黑体" w:hAnsi="黑体" w:eastAsia="黑体" w:cs="黑体"/>
          <w:bCs/>
          <w:spacing w:val="0"/>
          <w:kern w:val="0"/>
          <w:sz w:val="32"/>
          <w:szCs w:val="32"/>
          <w:lang w:eastAsia="zh-CN"/>
        </w:rPr>
        <w:t>第二章　认</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lang w:eastAsia="zh-CN"/>
        </w:rPr>
        <w:t>定</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第四条</w:t>
      </w:r>
      <w:r>
        <w:rPr>
          <w:rFonts w:hint="eastAsia" w:ascii="仿宋" w:hAnsi="仿宋" w:eastAsia="仿宋" w:cs="仿宋"/>
          <w:spacing w:val="0"/>
          <w:kern w:val="0"/>
          <w:sz w:val="32"/>
          <w:szCs w:val="32"/>
        </w:rPr>
        <w:t>　申报高新区须符合以下条件：</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（一）基础条件完备</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1.</w:t>
      </w:r>
      <w:r>
        <w:rPr>
          <w:rFonts w:hint="eastAsia" w:ascii="仿宋" w:hAnsi="仿宋" w:eastAsia="仿宋" w:cs="仿宋"/>
          <w:spacing w:val="0"/>
          <w:kern w:val="0"/>
          <w:sz w:val="32"/>
          <w:szCs w:val="32"/>
          <w:lang w:eastAsia="zh-CN"/>
        </w:rPr>
        <w:t>属</w:t>
      </w:r>
      <w:r>
        <w:rPr>
          <w:rFonts w:hint="eastAsia" w:ascii="仿宋" w:hAnsi="仿宋" w:eastAsia="仿宋" w:cs="仿宋"/>
          <w:spacing w:val="0"/>
          <w:kern w:val="0"/>
          <w:sz w:val="32"/>
          <w:szCs w:val="32"/>
        </w:rPr>
        <w:t>盟市范围内创新资源、产业发展最好的自治区一类</w:t>
      </w:r>
      <w:r>
        <w:rPr>
          <w:rFonts w:hint="eastAsia" w:ascii="仿宋" w:hAnsi="仿宋" w:eastAsia="仿宋" w:cs="仿宋"/>
          <w:spacing w:val="0"/>
          <w:kern w:val="0"/>
          <w:sz w:val="32"/>
          <w:szCs w:val="32"/>
          <w:lang w:eastAsia="zh-CN"/>
        </w:rPr>
        <w:t>工业园区；</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2.符合所在盟市国民经济和社会发展规划、国土空间规划、生态环境保护规划</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3.符合国家关于土地节约集约利用等要求，用地布局集中，规模和土地利用结构合理，四至范围明确，发展空间充分，基础设施配套完备，产城融合规划科学，不占用永久基本农田</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4.符合生态环境保护和安全生产等要求，近三年未发生突发环境事件、重特大生产安全事故。</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（二）产业优势突出</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480"/>
        <w:textAlignment w:val="auto"/>
        <w:outlineLvl w:val="9"/>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1.主要经济指标增速高于自治区平均水平</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 xml:space="preserve">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val="en-US" w:eastAsia="zh-CN"/>
        </w:rPr>
        <w:t>2</w:t>
      </w:r>
      <w:r>
        <w:rPr>
          <w:rFonts w:hint="eastAsia" w:ascii="仿宋" w:hAnsi="仿宋" w:eastAsia="仿宋" w:cs="仿宋"/>
          <w:spacing w:val="0"/>
          <w:kern w:val="0"/>
          <w:sz w:val="32"/>
          <w:szCs w:val="32"/>
        </w:rPr>
        <w:t>.主导产业</w:t>
      </w:r>
      <w:r>
        <w:rPr>
          <w:rFonts w:hint="eastAsia" w:ascii="仿宋" w:hAnsi="仿宋" w:eastAsia="仿宋" w:cs="仿宋"/>
          <w:spacing w:val="0"/>
          <w:kern w:val="0"/>
          <w:sz w:val="32"/>
          <w:szCs w:val="32"/>
          <w:lang w:eastAsia="zh-CN"/>
        </w:rPr>
        <w:t>营业总收入</w:t>
      </w:r>
      <w:r>
        <w:rPr>
          <w:rFonts w:hint="eastAsia" w:ascii="仿宋" w:hAnsi="仿宋" w:eastAsia="仿宋" w:cs="仿宋"/>
          <w:spacing w:val="0"/>
          <w:kern w:val="0"/>
          <w:sz w:val="32"/>
          <w:szCs w:val="32"/>
        </w:rPr>
        <w:t>占园区</w:t>
      </w:r>
      <w:r>
        <w:rPr>
          <w:rFonts w:hint="eastAsia" w:ascii="仿宋" w:hAnsi="仿宋" w:eastAsia="仿宋" w:cs="仿宋"/>
          <w:spacing w:val="0"/>
          <w:kern w:val="0"/>
          <w:sz w:val="32"/>
          <w:szCs w:val="32"/>
          <w:lang w:eastAsia="zh-CN"/>
        </w:rPr>
        <w:t>营业总收入</w:t>
      </w:r>
      <w:r>
        <w:rPr>
          <w:rFonts w:hint="eastAsia" w:ascii="仿宋" w:hAnsi="仿宋" w:eastAsia="仿宋" w:cs="仿宋"/>
          <w:spacing w:val="0"/>
          <w:kern w:val="0"/>
          <w:sz w:val="32"/>
          <w:szCs w:val="32"/>
        </w:rPr>
        <w:t>比例不低于70%</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sz w:val="32"/>
          <w:szCs w:val="32"/>
        </w:rPr>
      </w:pPr>
      <w:r>
        <w:rPr>
          <w:rFonts w:hint="eastAsia" w:ascii="仿宋" w:hAnsi="仿宋" w:eastAsia="仿宋" w:cs="仿宋"/>
          <w:spacing w:val="0"/>
          <w:kern w:val="0"/>
          <w:sz w:val="32"/>
          <w:szCs w:val="32"/>
          <w:lang w:val="en-US" w:eastAsia="zh-CN"/>
        </w:rPr>
        <w:t>3.</w:t>
      </w:r>
      <w:r>
        <w:rPr>
          <w:rFonts w:hint="eastAsia" w:ascii="仿宋" w:hAnsi="仿宋" w:eastAsia="仿宋" w:cs="仿宋"/>
          <w:spacing w:val="0"/>
          <w:kern w:val="0"/>
          <w:sz w:val="32"/>
          <w:szCs w:val="32"/>
        </w:rPr>
        <w:t>制定了高新技术产业发展规划，</w:t>
      </w:r>
      <w:r>
        <w:rPr>
          <w:rFonts w:hint="eastAsia" w:ascii="仿宋" w:hAnsi="仿宋" w:eastAsia="仿宋" w:cs="仿宋"/>
          <w:spacing w:val="0"/>
          <w:sz w:val="32"/>
          <w:szCs w:val="32"/>
        </w:rPr>
        <w:t>高新技术产业</w:t>
      </w:r>
      <w:r>
        <w:rPr>
          <w:rFonts w:hint="eastAsia" w:ascii="仿宋" w:hAnsi="仿宋" w:eastAsia="仿宋" w:cs="仿宋"/>
          <w:spacing w:val="0"/>
          <w:kern w:val="0"/>
          <w:sz w:val="32"/>
          <w:szCs w:val="32"/>
          <w:lang w:eastAsia="zh-CN"/>
        </w:rPr>
        <w:t>营业总收入</w:t>
      </w:r>
      <w:r>
        <w:rPr>
          <w:rFonts w:hint="eastAsia" w:ascii="仿宋" w:hAnsi="仿宋" w:eastAsia="仿宋" w:cs="仿宋"/>
          <w:spacing w:val="0"/>
          <w:sz w:val="32"/>
          <w:szCs w:val="32"/>
        </w:rPr>
        <w:t>占园区</w:t>
      </w:r>
      <w:r>
        <w:rPr>
          <w:rFonts w:hint="eastAsia" w:ascii="仿宋" w:hAnsi="仿宋" w:eastAsia="仿宋" w:cs="仿宋"/>
          <w:spacing w:val="0"/>
          <w:kern w:val="0"/>
          <w:sz w:val="32"/>
          <w:szCs w:val="32"/>
          <w:lang w:eastAsia="zh-CN"/>
        </w:rPr>
        <w:t>营业总收入</w:t>
      </w:r>
      <w:r>
        <w:rPr>
          <w:rFonts w:hint="eastAsia" w:ascii="仿宋" w:hAnsi="仿宋" w:eastAsia="仿宋" w:cs="仿宋"/>
          <w:spacing w:val="0"/>
          <w:sz w:val="32"/>
          <w:szCs w:val="32"/>
        </w:rPr>
        <w:t>的30%以上</w:t>
      </w:r>
      <w:r>
        <w:rPr>
          <w:rFonts w:hint="eastAsia" w:ascii="仿宋" w:hAnsi="仿宋" w:eastAsia="仿宋" w:cs="仿宋"/>
          <w:spacing w:val="0"/>
          <w:sz w:val="32"/>
          <w:szCs w:val="32"/>
          <w:lang w:eastAsia="zh-CN"/>
        </w:rPr>
        <w:t>，并逐年增加</w:t>
      </w:r>
      <w:r>
        <w:rPr>
          <w:rFonts w:hint="eastAsia" w:ascii="仿宋" w:hAnsi="仿宋" w:eastAsia="仿宋" w:cs="仿宋"/>
          <w:spacing w:val="0"/>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firstLine="640" w:firstLineChars="200"/>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（三）创新体系完善</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1.研究开发经费投入增长幅度高于所在盟市增长水平</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2.高新技术企业和科技型中小企业数量占园区企业总数的30%以上</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3.自治区</w:t>
      </w:r>
      <w:r>
        <w:rPr>
          <w:rFonts w:hint="eastAsia" w:ascii="仿宋" w:hAnsi="仿宋" w:eastAsia="仿宋" w:cs="仿宋"/>
          <w:spacing w:val="0"/>
          <w:kern w:val="0"/>
          <w:sz w:val="32"/>
          <w:szCs w:val="32"/>
          <w:lang w:eastAsia="zh-CN"/>
        </w:rPr>
        <w:t>级</w:t>
      </w:r>
      <w:r>
        <w:rPr>
          <w:rFonts w:hint="eastAsia" w:ascii="仿宋" w:hAnsi="仿宋" w:eastAsia="仿宋" w:cs="仿宋"/>
          <w:spacing w:val="0"/>
          <w:kern w:val="0"/>
          <w:sz w:val="32"/>
          <w:szCs w:val="32"/>
        </w:rPr>
        <w:t>及以上科技创新平台或新型研发机构达到20家以上，拥有一批高层次科技创新人才，具有承担国家、自治区科研项目的能力</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4.建有科技企业孵化器、众创空间等创新创业孵化载体和服务科技创新的投融资机构</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5.建有科技成果管理和服务体系，每万人有效发明专利拥有量高于所在盟市平均值</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6.与科研机构、高等院校建有长期的科技合作关系，对外科技合作和产学研合作活跃。</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rPr>
        <w:t>（四）保障措施有力</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1.</w:t>
      </w:r>
      <w:r>
        <w:rPr>
          <w:rFonts w:hint="eastAsia" w:ascii="仿宋" w:hAnsi="仿宋" w:eastAsia="仿宋" w:cs="仿宋"/>
          <w:spacing w:val="0"/>
          <w:kern w:val="0"/>
          <w:sz w:val="32"/>
          <w:szCs w:val="32"/>
          <w:lang w:eastAsia="zh-CN"/>
        </w:rPr>
        <w:t>所在</w:t>
      </w:r>
      <w:r>
        <w:rPr>
          <w:rFonts w:hint="eastAsia" w:ascii="仿宋" w:hAnsi="仿宋" w:eastAsia="仿宋" w:cs="仿宋"/>
          <w:spacing w:val="0"/>
          <w:kern w:val="0"/>
          <w:sz w:val="32"/>
          <w:szCs w:val="32"/>
        </w:rPr>
        <w:t>盟</w:t>
      </w:r>
      <w:r>
        <w:rPr>
          <w:rFonts w:hint="eastAsia" w:ascii="仿宋" w:hAnsi="仿宋" w:eastAsia="仿宋" w:cs="仿宋"/>
          <w:spacing w:val="0"/>
          <w:kern w:val="0"/>
          <w:sz w:val="32"/>
          <w:szCs w:val="32"/>
          <w:lang w:eastAsia="zh-CN"/>
        </w:rPr>
        <w:t>行政公署、市人民政府</w:t>
      </w:r>
      <w:r>
        <w:rPr>
          <w:rFonts w:hint="eastAsia" w:ascii="仿宋" w:hAnsi="仿宋" w:eastAsia="仿宋" w:cs="仿宋"/>
          <w:spacing w:val="0"/>
          <w:kern w:val="0"/>
          <w:sz w:val="32"/>
          <w:szCs w:val="32"/>
        </w:rPr>
        <w:t>高度重视高新区建设，将高新区建设纳入当地国民经济和社会发展规划。能够承担高新区建设主体责任，形成政府牵头</w:t>
      </w:r>
      <w:r>
        <w:rPr>
          <w:rFonts w:hint="eastAsia" w:ascii="仿宋" w:hAnsi="仿宋" w:eastAsia="仿宋" w:cs="仿宋"/>
          <w:spacing w:val="0"/>
          <w:kern w:val="0"/>
          <w:sz w:val="32"/>
          <w:szCs w:val="32"/>
          <w:lang w:eastAsia="zh-CN"/>
        </w:rPr>
        <w:t>负责、</w:t>
      </w:r>
      <w:r>
        <w:rPr>
          <w:rFonts w:hint="eastAsia" w:ascii="仿宋" w:hAnsi="仿宋" w:eastAsia="仿宋" w:cs="仿宋"/>
          <w:spacing w:val="0"/>
          <w:kern w:val="0"/>
          <w:sz w:val="32"/>
          <w:szCs w:val="32"/>
        </w:rPr>
        <w:t>部门</w:t>
      </w:r>
      <w:r>
        <w:rPr>
          <w:rFonts w:hint="eastAsia" w:ascii="仿宋" w:hAnsi="仿宋" w:eastAsia="仿宋" w:cs="仿宋"/>
          <w:spacing w:val="0"/>
          <w:kern w:val="0"/>
          <w:sz w:val="32"/>
          <w:szCs w:val="32"/>
          <w:lang w:eastAsia="zh-CN"/>
        </w:rPr>
        <w:t>相互</w:t>
      </w:r>
      <w:r>
        <w:rPr>
          <w:rFonts w:hint="eastAsia" w:ascii="仿宋" w:hAnsi="仿宋" w:eastAsia="仿宋" w:cs="仿宋"/>
          <w:spacing w:val="0"/>
          <w:kern w:val="0"/>
          <w:sz w:val="32"/>
          <w:szCs w:val="32"/>
        </w:rPr>
        <w:t>配合</w:t>
      </w:r>
      <w:r>
        <w:rPr>
          <w:rFonts w:hint="eastAsia" w:ascii="仿宋" w:hAnsi="仿宋" w:eastAsia="仿宋" w:cs="仿宋"/>
          <w:spacing w:val="0"/>
          <w:kern w:val="0"/>
          <w:sz w:val="32"/>
          <w:szCs w:val="32"/>
          <w:lang w:eastAsia="zh-CN"/>
        </w:rPr>
        <w:t>的促进</w:t>
      </w:r>
      <w:r>
        <w:rPr>
          <w:rFonts w:hint="eastAsia" w:ascii="仿宋" w:hAnsi="仿宋" w:eastAsia="仿宋" w:cs="仿宋"/>
          <w:spacing w:val="0"/>
          <w:kern w:val="0"/>
          <w:sz w:val="32"/>
          <w:szCs w:val="32"/>
        </w:rPr>
        <w:t>高新区发展工作机制，出台支持高新区创新发展的政策措施，创新体制机制，集聚创新资源，优先布局和发展高新技术产业</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2.园区管理机构健全，设置科学精简高效，管理职能明确，拥有高素质、专业化的管理队伍</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管理制度健全，激励保障措施</w:t>
      </w:r>
      <w:r>
        <w:rPr>
          <w:rFonts w:hint="eastAsia" w:ascii="仿宋" w:hAnsi="仿宋" w:eastAsia="仿宋" w:cs="仿宋"/>
          <w:spacing w:val="6"/>
          <w:kern w:val="0"/>
          <w:sz w:val="32"/>
          <w:szCs w:val="32"/>
        </w:rPr>
        <w:t>到位，管理运行高效，能为创新创业和企业创新主体提供优质服务</w:t>
      </w:r>
      <w:r>
        <w:rPr>
          <w:rFonts w:hint="eastAsia" w:ascii="仿宋" w:hAnsi="仿宋" w:eastAsia="仿宋" w:cs="仿宋"/>
          <w:spacing w:val="6"/>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3.按照《内蒙古自治区人民政府关于促进高新技术产业开发区高质量发展的实施意见》</w:t>
      </w:r>
      <w:r>
        <w:rPr>
          <w:rFonts w:hint="eastAsia" w:ascii="仿宋" w:hAnsi="仿宋" w:eastAsia="仿宋" w:cs="仿宋"/>
          <w:spacing w:val="0"/>
          <w:kern w:val="0"/>
          <w:sz w:val="32"/>
          <w:szCs w:val="32"/>
          <w:lang w:eastAsia="zh-CN"/>
        </w:rPr>
        <w:t>（内政发</w:t>
      </w:r>
      <w:r>
        <w:rPr>
          <w:rFonts w:hint="eastAsia" w:ascii="仿宋" w:hAnsi="仿宋" w:eastAsia="仿宋" w:cs="仿宋"/>
          <w:spacing w:val="0"/>
          <w:kern w:val="0"/>
          <w:sz w:val="32"/>
          <w:szCs w:val="32"/>
          <w:lang w:val="en-US" w:eastAsia="zh-CN"/>
        </w:rPr>
        <w:t>〔2021〕13号</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要求，盟</w:t>
      </w:r>
      <w:r>
        <w:rPr>
          <w:rFonts w:hint="eastAsia" w:ascii="仿宋" w:hAnsi="仿宋" w:eastAsia="仿宋" w:cs="仿宋"/>
          <w:spacing w:val="0"/>
          <w:kern w:val="0"/>
          <w:sz w:val="32"/>
          <w:szCs w:val="32"/>
          <w:lang w:eastAsia="zh-CN"/>
        </w:rPr>
        <w:t>行政公署、</w:t>
      </w:r>
      <w:r>
        <w:rPr>
          <w:rFonts w:hint="eastAsia" w:ascii="仿宋" w:hAnsi="仿宋" w:eastAsia="仿宋" w:cs="仿宋"/>
          <w:kern w:val="0"/>
          <w:sz w:val="32"/>
          <w:szCs w:val="32"/>
        </w:rPr>
        <w:t>市</w:t>
      </w:r>
      <w:r>
        <w:rPr>
          <w:rFonts w:hint="eastAsia" w:ascii="仿宋" w:hAnsi="仿宋" w:eastAsia="仿宋" w:cs="仿宋"/>
          <w:spacing w:val="0"/>
          <w:kern w:val="0"/>
          <w:sz w:val="32"/>
          <w:szCs w:val="32"/>
          <w:lang w:eastAsia="zh-CN"/>
        </w:rPr>
        <w:t>人民</w:t>
      </w:r>
      <w:r>
        <w:rPr>
          <w:rFonts w:hint="eastAsia" w:ascii="仿宋" w:hAnsi="仿宋" w:eastAsia="仿宋" w:cs="仿宋"/>
          <w:kern w:val="0"/>
          <w:sz w:val="32"/>
          <w:szCs w:val="32"/>
        </w:rPr>
        <w:t>政府将相应的管理权限下放高新区，</w:t>
      </w:r>
      <w:r>
        <w:rPr>
          <w:rFonts w:hint="eastAsia" w:ascii="仿宋" w:hAnsi="仿宋" w:eastAsia="仿宋" w:cs="仿宋"/>
          <w:spacing w:val="0"/>
          <w:kern w:val="0"/>
          <w:sz w:val="32"/>
          <w:szCs w:val="32"/>
          <w:lang w:eastAsia="zh-CN"/>
        </w:rPr>
        <w:t>推动</w:t>
      </w:r>
      <w:r>
        <w:rPr>
          <w:rFonts w:hint="eastAsia" w:ascii="仿宋" w:hAnsi="仿宋" w:eastAsia="仿宋" w:cs="仿宋"/>
          <w:kern w:val="0"/>
          <w:sz w:val="32"/>
          <w:szCs w:val="32"/>
        </w:rPr>
        <w:t>高新区建立自主管理机制，营造良好的创新环境和营商环境</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“放管服”工作到位</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b/>
          <w:spacing w:val="0"/>
          <w:kern w:val="0"/>
          <w:sz w:val="32"/>
          <w:szCs w:val="32"/>
        </w:rPr>
      </w:pPr>
      <w:r>
        <w:rPr>
          <w:rFonts w:hint="eastAsia" w:ascii="黑体" w:hAnsi="黑体" w:eastAsia="黑体" w:cs="黑体"/>
          <w:spacing w:val="0"/>
          <w:kern w:val="0"/>
          <w:sz w:val="32"/>
          <w:szCs w:val="32"/>
        </w:rPr>
        <w:t>第五条</w:t>
      </w:r>
      <w:r>
        <w:rPr>
          <w:rFonts w:hint="eastAsia" w:ascii="仿宋" w:hAnsi="仿宋" w:eastAsia="仿宋" w:cs="仿宋"/>
          <w:spacing w:val="0"/>
          <w:kern w:val="0"/>
          <w:sz w:val="32"/>
          <w:szCs w:val="32"/>
        </w:rPr>
        <w:t>　申报高新区需提供以下材料：</w:t>
      </w:r>
      <w:r>
        <w:rPr>
          <w:rFonts w:hint="eastAsia" w:ascii="仿宋" w:hAnsi="仿宋" w:eastAsia="仿宋" w:cs="仿宋"/>
          <w:b/>
          <w:spacing w:val="0"/>
          <w:kern w:val="0"/>
          <w:sz w:val="32"/>
          <w:szCs w:val="32"/>
        </w:rPr>
        <w:t xml:space="preserve">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（一）所在盟行</w:t>
      </w:r>
      <w:r>
        <w:rPr>
          <w:rFonts w:hint="eastAsia" w:ascii="仿宋" w:hAnsi="仿宋" w:eastAsia="仿宋" w:cs="仿宋"/>
          <w:spacing w:val="0"/>
          <w:kern w:val="0"/>
          <w:sz w:val="32"/>
          <w:szCs w:val="32"/>
          <w:lang w:eastAsia="zh-CN"/>
        </w:rPr>
        <w:t>政公</w:t>
      </w:r>
      <w:r>
        <w:rPr>
          <w:rFonts w:hint="eastAsia" w:ascii="仿宋" w:hAnsi="仿宋" w:eastAsia="仿宋" w:cs="仿宋"/>
          <w:kern w:val="0"/>
          <w:sz w:val="32"/>
          <w:szCs w:val="32"/>
        </w:rPr>
        <w:t>署、市人民政府申请建设</w:t>
      </w:r>
      <w:r>
        <w:rPr>
          <w:rFonts w:hint="eastAsia" w:ascii="仿宋" w:hAnsi="仿宋" w:eastAsia="仿宋" w:cs="仿宋"/>
          <w:spacing w:val="-6"/>
          <w:kern w:val="0"/>
          <w:sz w:val="32"/>
          <w:szCs w:val="32"/>
        </w:rPr>
        <w:t>高新区的文件</w:t>
      </w:r>
      <w:r>
        <w:rPr>
          <w:rFonts w:hint="eastAsia" w:ascii="仿宋" w:hAnsi="仿宋" w:eastAsia="仿宋" w:cs="仿宋"/>
          <w:spacing w:val="-6"/>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（二）园区发展基本情况，包括基础条件、产业优势、创新体系、保障措施等。</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spacing w:val="-6"/>
          <w:kern w:val="0"/>
          <w:sz w:val="32"/>
          <w:szCs w:val="32"/>
        </w:rPr>
        <w:t>高新区的建设发展规划（含高新技术产业发展规划），</w:t>
      </w:r>
      <w:r>
        <w:rPr>
          <w:rFonts w:hint="eastAsia" w:ascii="仿宋" w:hAnsi="仿宋" w:eastAsia="仿宋" w:cs="仿宋"/>
          <w:kern w:val="0"/>
          <w:sz w:val="32"/>
          <w:szCs w:val="32"/>
        </w:rPr>
        <w:t>包括战略意义、总体思路和目标定位、重点任务、保障措施等。</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（四）高新区建设实施方案</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包括发展定位、主要目标、建设思路、具体措施、管理体制、运行机制、政策保障</w:t>
      </w:r>
      <w:r>
        <w:rPr>
          <w:rFonts w:hint="eastAsia" w:ascii="仿宋" w:hAnsi="仿宋" w:eastAsia="仿宋" w:cs="仿宋"/>
          <w:spacing w:val="0"/>
          <w:kern w:val="0"/>
          <w:sz w:val="32"/>
          <w:szCs w:val="32"/>
          <w:lang w:eastAsia="zh-CN"/>
        </w:rPr>
        <w:t>等</w:t>
      </w:r>
      <w:r>
        <w:rPr>
          <w:rFonts w:hint="eastAsia" w:ascii="仿宋" w:hAnsi="仿宋" w:eastAsia="仿宋" w:cs="仿宋"/>
          <w:kern w:val="0"/>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（五）其他相关附件：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1.设立园区的有关批准文件</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2.出具符合国土空间规划（主体功能区规划、土地利用总体规划和城市总体规划）、生态环境保护规划的证明材料</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3.所在地</w:t>
      </w:r>
      <w:r>
        <w:rPr>
          <w:rFonts w:hint="eastAsia" w:ascii="仿宋" w:hAnsi="仿宋" w:eastAsia="仿宋" w:cs="仿宋"/>
          <w:spacing w:val="0"/>
          <w:kern w:val="0"/>
          <w:sz w:val="32"/>
          <w:szCs w:val="32"/>
          <w:lang w:eastAsia="zh-CN"/>
        </w:rPr>
        <w:t>盟行政公署、市人民</w:t>
      </w:r>
      <w:r>
        <w:rPr>
          <w:rFonts w:hint="eastAsia" w:ascii="仿宋" w:hAnsi="仿宋" w:eastAsia="仿宋" w:cs="仿宋"/>
          <w:kern w:val="0"/>
          <w:sz w:val="32"/>
          <w:szCs w:val="32"/>
        </w:rPr>
        <w:t>政府支持创新创业环境建设、支持高新区建设和扶持高新技术产业发展的政策措施文件</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4.拟建高新区内高新技术企业、科技型中小企业、创新平台、研发机构、创新孵化载体、科技服务机构等清单</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5.园区近三年主要经济发展和创新指标</w:t>
      </w:r>
      <w:r>
        <w:rPr>
          <w:rFonts w:hint="eastAsia" w:ascii="仿宋" w:hAnsi="仿宋" w:eastAsia="仿宋" w:cs="仿宋"/>
          <w:spacing w:val="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6.其他相关材料。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b w:val="0"/>
          <w:kern w:val="0"/>
          <w:sz w:val="32"/>
          <w:szCs w:val="32"/>
        </w:rPr>
      </w:pPr>
      <w:r>
        <w:rPr>
          <w:rFonts w:hint="eastAsia" w:ascii="黑体" w:hAnsi="黑体" w:eastAsia="黑体" w:cs="黑体"/>
          <w:spacing w:val="0"/>
          <w:kern w:val="0"/>
          <w:sz w:val="32"/>
          <w:szCs w:val="32"/>
        </w:rPr>
        <w:t>第六条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kern w:val="0"/>
          <w:sz w:val="32"/>
          <w:szCs w:val="32"/>
        </w:rPr>
        <w:t>高新区认定程序：</w:t>
      </w:r>
      <w:r>
        <w:rPr>
          <w:rFonts w:hint="eastAsia" w:ascii="仿宋" w:hAnsi="仿宋" w:eastAsia="仿宋" w:cs="仿宋"/>
          <w:b w:val="0"/>
          <w:kern w:val="0"/>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5"/>
        <w:textAlignment w:val="auto"/>
        <w:rPr>
          <w:rFonts w:hint="eastAsia" w:ascii="仿宋" w:hAnsi="仿宋" w:eastAsia="仿宋" w:cs="仿宋"/>
          <w:kern w:val="0"/>
          <w:sz w:val="32"/>
          <w:szCs w:val="32"/>
        </w:rPr>
      </w:pPr>
      <w:r>
        <w:rPr>
          <w:rFonts w:hint="eastAsia" w:ascii="仿宋" w:hAnsi="仿宋" w:eastAsia="仿宋" w:cs="仿宋"/>
          <w:kern w:val="0"/>
          <w:sz w:val="32"/>
          <w:szCs w:val="32"/>
        </w:rPr>
        <w:t>（一）由所在盟行政公署、市人民政府组织制定高新区建设发展规划、实施方案，在政策保障措施</w:t>
      </w:r>
      <w:r>
        <w:rPr>
          <w:rFonts w:hint="eastAsia" w:ascii="仿宋" w:hAnsi="仿宋" w:eastAsia="仿宋" w:cs="仿宋"/>
          <w:spacing w:val="0"/>
          <w:kern w:val="0"/>
          <w:sz w:val="32"/>
          <w:szCs w:val="32"/>
          <w:lang w:eastAsia="zh-CN"/>
        </w:rPr>
        <w:t>较为</w:t>
      </w:r>
      <w:r>
        <w:rPr>
          <w:rFonts w:hint="eastAsia" w:ascii="仿宋" w:hAnsi="仿宋" w:eastAsia="仿宋" w:cs="仿宋"/>
          <w:kern w:val="0"/>
          <w:sz w:val="32"/>
          <w:szCs w:val="32"/>
        </w:rPr>
        <w:t>完善、符合高新区建设条件</w:t>
      </w:r>
      <w:r>
        <w:rPr>
          <w:rFonts w:hint="eastAsia" w:ascii="仿宋" w:hAnsi="仿宋" w:eastAsia="仿宋" w:cs="仿宋"/>
          <w:spacing w:val="0"/>
          <w:kern w:val="0"/>
          <w:sz w:val="32"/>
          <w:szCs w:val="32"/>
          <w:lang w:eastAsia="zh-CN"/>
        </w:rPr>
        <w:t>的</w:t>
      </w:r>
      <w:r>
        <w:rPr>
          <w:rFonts w:hint="eastAsia" w:ascii="仿宋" w:hAnsi="仿宋" w:eastAsia="仿宋" w:cs="仿宋"/>
          <w:kern w:val="0"/>
          <w:sz w:val="32"/>
          <w:szCs w:val="32"/>
        </w:rPr>
        <w:t>基础上，向自治区科技厅提出建设意向。</w:t>
      </w:r>
    </w:p>
    <w:p>
      <w:pPr>
        <w:topLinePunct/>
        <w:spacing w:line="58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（二）自治区科技厅会同自治区发展改革委、工业和信息化厅、自然资源厅、生态环境厅、商务厅</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统计局等部门</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组织专家组对提出建设意向的园区进行现场考察和论证，提出建设建议。盟</w:t>
      </w:r>
      <w:r>
        <w:rPr>
          <w:rFonts w:hint="eastAsia" w:ascii="仿宋" w:hAnsi="仿宋" w:eastAsia="仿宋" w:cs="仿宋"/>
          <w:spacing w:val="0"/>
          <w:kern w:val="0"/>
          <w:sz w:val="32"/>
          <w:szCs w:val="32"/>
          <w:lang w:eastAsia="zh-CN"/>
        </w:rPr>
        <w:t>行政公署</w:t>
      </w:r>
      <w:r>
        <w:rPr>
          <w:rFonts w:hint="eastAsia" w:ascii="仿宋" w:hAnsi="仿宋" w:eastAsia="仿宋" w:cs="仿宋"/>
          <w:kern w:val="0"/>
          <w:sz w:val="32"/>
          <w:szCs w:val="32"/>
        </w:rPr>
        <w:t>、市人民政府按</w:t>
      </w:r>
      <w:r>
        <w:rPr>
          <w:rFonts w:hint="eastAsia" w:ascii="仿宋" w:hAnsi="仿宋" w:eastAsia="仿宋" w:cs="仿宋"/>
          <w:spacing w:val="0"/>
          <w:kern w:val="0"/>
          <w:sz w:val="32"/>
          <w:szCs w:val="32"/>
          <w:lang w:eastAsia="zh-CN"/>
        </w:rPr>
        <w:t>照</w:t>
      </w:r>
      <w:r>
        <w:rPr>
          <w:rFonts w:hint="eastAsia" w:ascii="仿宋" w:hAnsi="仿宋" w:eastAsia="仿宋" w:cs="仿宋"/>
          <w:kern w:val="0"/>
          <w:sz w:val="32"/>
          <w:szCs w:val="32"/>
        </w:rPr>
        <w:t>考察论证意见组织修改完善建设发展规划和实施方案后，报自治区科技厅。</w:t>
      </w:r>
    </w:p>
    <w:p>
      <w:pPr>
        <w:topLinePunct/>
        <w:spacing w:line="58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spacing w:val="0"/>
          <w:kern w:val="0"/>
          <w:sz w:val="32"/>
          <w:szCs w:val="32"/>
          <w:lang w:eastAsia="zh-CN"/>
        </w:rPr>
        <w:t>拟建高新区</w:t>
      </w:r>
      <w:r>
        <w:rPr>
          <w:rFonts w:hint="eastAsia" w:ascii="仿宋" w:hAnsi="仿宋" w:eastAsia="仿宋" w:cs="仿宋"/>
          <w:spacing w:val="0"/>
          <w:kern w:val="0"/>
          <w:sz w:val="32"/>
          <w:szCs w:val="32"/>
        </w:rPr>
        <w:t>发展规划</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实施方案</w:t>
      </w:r>
      <w:r>
        <w:rPr>
          <w:rFonts w:hint="eastAsia" w:ascii="仿宋" w:hAnsi="仿宋" w:eastAsia="仿宋" w:cs="仿宋"/>
          <w:spacing w:val="0"/>
          <w:kern w:val="0"/>
          <w:sz w:val="32"/>
          <w:szCs w:val="32"/>
          <w:lang w:eastAsia="zh-CN"/>
        </w:rPr>
        <w:t>经自治区科技厅审核同意后，由</w:t>
      </w:r>
      <w:r>
        <w:rPr>
          <w:rFonts w:hint="eastAsia" w:ascii="仿宋" w:hAnsi="仿宋" w:eastAsia="仿宋" w:cs="仿宋"/>
          <w:kern w:val="0"/>
          <w:sz w:val="32"/>
          <w:szCs w:val="32"/>
        </w:rPr>
        <w:t>盟</w:t>
      </w:r>
      <w:r>
        <w:rPr>
          <w:rFonts w:hint="eastAsia" w:ascii="仿宋" w:hAnsi="仿宋" w:eastAsia="仿宋" w:cs="仿宋"/>
          <w:spacing w:val="0"/>
          <w:kern w:val="0"/>
          <w:sz w:val="32"/>
          <w:szCs w:val="32"/>
          <w:lang w:eastAsia="zh-CN"/>
        </w:rPr>
        <w:t>行政</w:t>
      </w:r>
      <w:r>
        <w:rPr>
          <w:rFonts w:hint="eastAsia" w:ascii="仿宋" w:hAnsi="仿宋" w:eastAsia="仿宋" w:cs="仿宋"/>
          <w:kern w:val="0"/>
          <w:sz w:val="32"/>
          <w:szCs w:val="32"/>
        </w:rPr>
        <w:t>行署、市人民政府会同自治区科技厅向自治区</w:t>
      </w:r>
      <w:r>
        <w:rPr>
          <w:rFonts w:hint="eastAsia" w:ascii="仿宋" w:hAnsi="仿宋" w:eastAsia="仿宋" w:cs="仿宋"/>
          <w:spacing w:val="0"/>
          <w:kern w:val="0"/>
          <w:sz w:val="32"/>
          <w:szCs w:val="32"/>
          <w:lang w:eastAsia="zh-CN"/>
        </w:rPr>
        <w:t>人民</w:t>
      </w:r>
      <w:r>
        <w:rPr>
          <w:rFonts w:hint="eastAsia" w:ascii="仿宋" w:hAnsi="仿宋" w:eastAsia="仿宋" w:cs="仿宋"/>
          <w:kern w:val="0"/>
          <w:sz w:val="32"/>
          <w:szCs w:val="32"/>
        </w:rPr>
        <w:t>政府提出建设申请，自治区</w:t>
      </w:r>
      <w:r>
        <w:rPr>
          <w:rFonts w:hint="eastAsia" w:ascii="仿宋" w:hAnsi="仿宋" w:eastAsia="仿宋" w:cs="仿宋"/>
          <w:spacing w:val="0"/>
          <w:kern w:val="0"/>
          <w:sz w:val="32"/>
          <w:szCs w:val="32"/>
          <w:lang w:eastAsia="zh-CN"/>
        </w:rPr>
        <w:t>人民</w:t>
      </w:r>
      <w:r>
        <w:rPr>
          <w:rFonts w:hint="eastAsia" w:ascii="仿宋" w:hAnsi="仿宋" w:eastAsia="仿宋" w:cs="仿宋"/>
          <w:kern w:val="0"/>
          <w:sz w:val="32"/>
          <w:szCs w:val="32"/>
        </w:rPr>
        <w:t>政府审核通过</w:t>
      </w:r>
      <w:r>
        <w:rPr>
          <w:rFonts w:hint="eastAsia" w:ascii="仿宋" w:hAnsi="仿宋" w:eastAsia="仿宋" w:cs="仿宋"/>
          <w:spacing w:val="0"/>
          <w:kern w:val="0"/>
          <w:sz w:val="32"/>
          <w:szCs w:val="32"/>
          <w:lang w:eastAsia="zh-CN"/>
        </w:rPr>
        <w:t>并</w:t>
      </w:r>
      <w:r>
        <w:rPr>
          <w:rFonts w:hint="eastAsia" w:ascii="仿宋" w:hAnsi="仿宋" w:eastAsia="仿宋" w:cs="仿宋"/>
          <w:kern w:val="0"/>
          <w:sz w:val="32"/>
          <w:szCs w:val="32"/>
        </w:rPr>
        <w:t>予以批复。</w:t>
      </w:r>
    </w:p>
    <w:p>
      <w:pPr>
        <w:pStyle w:val="12"/>
        <w:keepNext w:val="0"/>
        <w:keepLines w:val="0"/>
        <w:pageBreakBefore w:val="0"/>
        <w:widowControl w:val="0"/>
        <w:numPr>
          <w:ilvl w:val="0"/>
          <w:numId w:val="0"/>
        </w:numPr>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outlineLvl w:val="9"/>
        <w:rPr>
          <w:rFonts w:hint="eastAsia" w:ascii="黑体" w:hAnsi="黑体" w:eastAsia="黑体" w:cs="黑体"/>
          <w:bCs/>
          <w:spacing w:val="0"/>
          <w:kern w:val="0"/>
          <w:sz w:val="32"/>
          <w:szCs w:val="32"/>
          <w:lang w:eastAsia="zh-CN"/>
        </w:rPr>
      </w:pPr>
      <w:r>
        <w:rPr>
          <w:rFonts w:hint="eastAsia" w:ascii="黑体" w:hAnsi="黑体" w:eastAsia="黑体" w:cs="黑体"/>
          <w:bCs/>
          <w:spacing w:val="0"/>
          <w:kern w:val="0"/>
          <w:sz w:val="32"/>
          <w:szCs w:val="32"/>
          <w:lang w:eastAsia="zh-CN"/>
        </w:rPr>
        <w:t>第三章　评</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lang w:eastAsia="zh-CN"/>
        </w:rPr>
        <w:t>价</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第七条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建立高新区总体发展情况年度综合评价制度</w:t>
      </w:r>
      <w:r>
        <w:rPr>
          <w:rFonts w:hint="eastAsia" w:ascii="仿宋" w:hAnsi="仿宋" w:eastAsia="仿宋" w:cs="仿宋"/>
          <w:spacing w:val="0"/>
          <w:kern w:val="0"/>
          <w:sz w:val="32"/>
          <w:szCs w:val="32"/>
          <w:lang w:eastAsia="zh-CN"/>
        </w:rPr>
        <w:t>和</w:t>
      </w:r>
      <w:r>
        <w:rPr>
          <w:rFonts w:hint="eastAsia" w:ascii="仿宋" w:hAnsi="仿宋" w:eastAsia="仿宋" w:cs="仿宋"/>
          <w:kern w:val="0"/>
          <w:sz w:val="32"/>
          <w:szCs w:val="32"/>
        </w:rPr>
        <w:t>促优培育机制。</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第八条</w:t>
      </w:r>
      <w:r>
        <w:rPr>
          <w:rFonts w:hint="eastAsia" w:ascii="仿宋" w:hAnsi="仿宋" w:eastAsia="仿宋" w:cs="仿宋"/>
          <w:spacing w:val="0"/>
          <w:kern w:val="0"/>
          <w:sz w:val="32"/>
          <w:szCs w:val="32"/>
        </w:rPr>
        <w:t>　</w:t>
      </w:r>
      <w:r>
        <w:rPr>
          <w:rFonts w:hint="eastAsia" w:ascii="仿宋" w:hAnsi="仿宋" w:eastAsia="仿宋" w:cs="仿宋"/>
          <w:kern w:val="0"/>
          <w:sz w:val="32"/>
          <w:szCs w:val="32"/>
        </w:rPr>
        <w:t>高新区评价工作由自治区和盟市共同负责、分别实施。自治区评价工作由</w:t>
      </w:r>
      <w:r>
        <w:rPr>
          <w:rFonts w:hint="eastAsia" w:ascii="仿宋" w:hAnsi="仿宋" w:eastAsia="仿宋" w:cs="仿宋"/>
          <w:spacing w:val="0"/>
          <w:kern w:val="0"/>
          <w:sz w:val="32"/>
          <w:szCs w:val="32"/>
          <w:lang w:eastAsia="zh-CN"/>
        </w:rPr>
        <w:t>自治区</w:t>
      </w:r>
      <w:r>
        <w:rPr>
          <w:rFonts w:hint="eastAsia" w:ascii="仿宋" w:hAnsi="仿宋" w:eastAsia="仿宋" w:cs="仿宋"/>
          <w:kern w:val="0"/>
          <w:sz w:val="32"/>
          <w:szCs w:val="32"/>
        </w:rPr>
        <w:t>科技厅牵头，会同自治区有关部门组织实施。自治区科技厅会同自治区统计局委托第三方机构对高新区进行评价。要充分发挥盟市对高新区评价的主体作用，</w:t>
      </w:r>
      <w:r>
        <w:rPr>
          <w:rFonts w:hint="eastAsia" w:ascii="仿宋" w:hAnsi="仿宋" w:eastAsia="仿宋" w:cs="仿宋"/>
          <w:spacing w:val="0"/>
          <w:kern w:val="0"/>
          <w:sz w:val="32"/>
          <w:szCs w:val="32"/>
          <w:lang w:eastAsia="zh-CN"/>
        </w:rPr>
        <w:t>由</w:t>
      </w:r>
      <w:r>
        <w:rPr>
          <w:rFonts w:hint="eastAsia" w:ascii="仿宋" w:hAnsi="仿宋" w:eastAsia="仿宋" w:cs="仿宋"/>
          <w:kern w:val="0"/>
          <w:sz w:val="32"/>
          <w:szCs w:val="32"/>
        </w:rPr>
        <w:t>盟市定期对</w:t>
      </w:r>
      <w:r>
        <w:rPr>
          <w:rFonts w:hint="eastAsia" w:ascii="仿宋" w:hAnsi="仿宋" w:eastAsia="仿宋" w:cs="仿宋"/>
          <w:spacing w:val="0"/>
          <w:kern w:val="0"/>
          <w:sz w:val="32"/>
          <w:szCs w:val="32"/>
          <w:lang w:eastAsia="zh-CN"/>
        </w:rPr>
        <w:t>本行政区域</w:t>
      </w:r>
      <w:r>
        <w:rPr>
          <w:rFonts w:hint="eastAsia" w:ascii="仿宋" w:hAnsi="仿宋" w:eastAsia="仿宋" w:cs="仿宋"/>
          <w:kern w:val="0"/>
          <w:sz w:val="32"/>
          <w:szCs w:val="32"/>
        </w:rPr>
        <w:t>内高新区进行评价。注重</w:t>
      </w:r>
      <w:r>
        <w:rPr>
          <w:rFonts w:hint="eastAsia" w:ascii="仿宋" w:hAnsi="仿宋" w:eastAsia="仿宋" w:cs="仿宋"/>
          <w:spacing w:val="0"/>
          <w:kern w:val="0"/>
          <w:sz w:val="32"/>
          <w:szCs w:val="32"/>
          <w:lang w:eastAsia="zh-CN"/>
        </w:rPr>
        <w:t>对</w:t>
      </w:r>
      <w:r>
        <w:rPr>
          <w:rFonts w:hint="eastAsia" w:ascii="仿宋" w:hAnsi="仿宋" w:eastAsia="仿宋" w:cs="仿宋"/>
          <w:kern w:val="0"/>
          <w:sz w:val="32"/>
          <w:szCs w:val="32"/>
        </w:rPr>
        <w:t>高新区创新指数年度增长情况</w:t>
      </w:r>
      <w:r>
        <w:rPr>
          <w:rFonts w:hint="eastAsia" w:ascii="仿宋" w:hAnsi="仿宋" w:eastAsia="仿宋" w:cs="仿宋"/>
          <w:spacing w:val="0"/>
          <w:kern w:val="0"/>
          <w:sz w:val="32"/>
          <w:szCs w:val="32"/>
          <w:lang w:eastAsia="zh-CN"/>
        </w:rPr>
        <w:t>和</w:t>
      </w:r>
      <w:r>
        <w:rPr>
          <w:rFonts w:hint="eastAsia" w:ascii="仿宋" w:hAnsi="仿宋" w:eastAsia="仿宋" w:cs="仿宋"/>
          <w:kern w:val="0"/>
          <w:sz w:val="32"/>
          <w:szCs w:val="32"/>
        </w:rPr>
        <w:t>在</w:t>
      </w:r>
      <w:r>
        <w:rPr>
          <w:rFonts w:hint="eastAsia" w:ascii="仿宋" w:hAnsi="仿宋" w:eastAsia="仿宋" w:cs="仿宋"/>
          <w:spacing w:val="0"/>
          <w:kern w:val="0"/>
          <w:sz w:val="32"/>
          <w:szCs w:val="32"/>
          <w:lang w:eastAsia="zh-CN"/>
        </w:rPr>
        <w:t>所在盟市</w:t>
      </w:r>
      <w:r>
        <w:rPr>
          <w:rFonts w:hint="eastAsia" w:ascii="仿宋" w:hAnsi="仿宋" w:eastAsia="仿宋" w:cs="仿宋"/>
          <w:kern w:val="0"/>
          <w:sz w:val="32"/>
          <w:szCs w:val="32"/>
        </w:rPr>
        <w:t>工业园区范围内所处位置变化的评价，推动高新区在当地园区中走在前、</w:t>
      </w:r>
      <w:r>
        <w:rPr>
          <w:rFonts w:hint="eastAsia" w:ascii="仿宋" w:hAnsi="仿宋" w:eastAsia="仿宋" w:cs="仿宋"/>
          <w:spacing w:val="0"/>
          <w:kern w:val="0"/>
          <w:sz w:val="32"/>
          <w:szCs w:val="32"/>
          <w:lang w:eastAsia="zh-CN"/>
        </w:rPr>
        <w:t>作</w:t>
      </w:r>
      <w:r>
        <w:rPr>
          <w:rFonts w:hint="eastAsia" w:ascii="仿宋" w:hAnsi="仿宋" w:eastAsia="仿宋" w:cs="仿宋"/>
          <w:kern w:val="0"/>
          <w:sz w:val="32"/>
          <w:szCs w:val="32"/>
        </w:rPr>
        <w:t>表率。</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第九条</w:t>
      </w:r>
      <w:r>
        <w:rPr>
          <w:rFonts w:hint="eastAsia" w:ascii="仿宋" w:hAnsi="仿宋" w:eastAsia="仿宋" w:cs="仿宋"/>
          <w:spacing w:val="0"/>
          <w:kern w:val="0"/>
          <w:sz w:val="32"/>
          <w:szCs w:val="32"/>
        </w:rPr>
        <w:t>　</w:t>
      </w:r>
      <w:r>
        <w:rPr>
          <w:rFonts w:hint="eastAsia" w:ascii="仿宋" w:hAnsi="仿宋" w:eastAsia="仿宋" w:cs="仿宋"/>
          <w:kern w:val="0"/>
          <w:sz w:val="32"/>
          <w:szCs w:val="32"/>
        </w:rPr>
        <w:t>评价指标体系包括技术创新能力、结构优化能力与绿色发展水平、开放合作创新能力</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科技服务能力</w:t>
      </w:r>
      <w:r>
        <w:rPr>
          <w:rFonts w:hint="eastAsia" w:ascii="仿宋" w:hAnsi="仿宋" w:eastAsia="仿宋" w:cs="仿宋"/>
          <w:spacing w:val="0"/>
          <w:kern w:val="0"/>
          <w:sz w:val="32"/>
          <w:szCs w:val="32"/>
          <w:lang w:eastAsia="zh-CN"/>
        </w:rPr>
        <w:t>四个</w:t>
      </w:r>
      <w:r>
        <w:rPr>
          <w:rFonts w:hint="eastAsia" w:ascii="仿宋" w:hAnsi="仿宋" w:eastAsia="仿宋" w:cs="仿宋"/>
          <w:kern w:val="0"/>
          <w:sz w:val="32"/>
          <w:szCs w:val="32"/>
        </w:rPr>
        <w:t>方面，评价指标总权重100，对应总分数100分。</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第十条</w:t>
      </w:r>
      <w:r>
        <w:rPr>
          <w:rFonts w:hint="eastAsia" w:ascii="仿宋" w:hAnsi="仿宋" w:eastAsia="仿宋" w:cs="仿宋"/>
          <w:kern w:val="0"/>
          <w:sz w:val="32"/>
          <w:szCs w:val="32"/>
        </w:rPr>
        <w:t>　高新区应做好指标数据的日常统计工作，统计区域范围为高新区实际管辖面积。</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自治区统计局负责指标数据的收集、汇总、测算，自治区科技厅负责委托第三方机构进行评估</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各高新区、自治区有关部门应</w:t>
      </w:r>
      <w:r>
        <w:rPr>
          <w:rFonts w:hint="eastAsia" w:ascii="仿宋" w:hAnsi="仿宋" w:eastAsia="仿宋" w:cs="仿宋"/>
          <w:spacing w:val="0"/>
          <w:kern w:val="0"/>
          <w:sz w:val="32"/>
          <w:szCs w:val="32"/>
          <w:lang w:eastAsia="zh-CN"/>
        </w:rPr>
        <w:t>当</w:t>
      </w:r>
      <w:r>
        <w:rPr>
          <w:rFonts w:hint="eastAsia" w:ascii="仿宋" w:hAnsi="仿宋" w:eastAsia="仿宋" w:cs="仿宋"/>
          <w:kern w:val="0"/>
          <w:sz w:val="32"/>
          <w:szCs w:val="32"/>
        </w:rPr>
        <w:t>按要求向自治区统计局提供指标数据，并对数据质量负责。</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第十一条</w:t>
      </w:r>
      <w:r>
        <w:rPr>
          <w:rFonts w:hint="eastAsia" w:ascii="仿宋" w:hAnsi="仿宋" w:eastAsia="仿宋" w:cs="仿宋"/>
          <w:kern w:val="0"/>
          <w:sz w:val="32"/>
          <w:szCs w:val="32"/>
        </w:rPr>
        <w:t>　评价结果由自治区科技厅会同自治区统计局审核并公布。</w:t>
      </w:r>
    </w:p>
    <w:p>
      <w:pPr>
        <w:pStyle w:val="12"/>
        <w:keepNext w:val="0"/>
        <w:keepLines w:val="0"/>
        <w:pageBreakBefore w:val="0"/>
        <w:widowControl w:val="0"/>
        <w:numPr>
          <w:ilvl w:val="0"/>
          <w:numId w:val="0"/>
        </w:numPr>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outlineLvl w:val="9"/>
        <w:rPr>
          <w:rFonts w:hint="eastAsia" w:ascii="黑体" w:hAnsi="黑体" w:eastAsia="黑体" w:cs="黑体"/>
          <w:bCs/>
          <w:spacing w:val="0"/>
          <w:kern w:val="0"/>
          <w:sz w:val="32"/>
          <w:szCs w:val="32"/>
          <w:lang w:eastAsia="zh-CN"/>
        </w:rPr>
      </w:pPr>
      <w:r>
        <w:rPr>
          <w:rFonts w:hint="eastAsia" w:ascii="黑体" w:hAnsi="黑体" w:eastAsia="黑体" w:cs="黑体"/>
          <w:bCs/>
          <w:spacing w:val="0"/>
          <w:kern w:val="0"/>
          <w:sz w:val="32"/>
          <w:szCs w:val="32"/>
          <w:lang w:eastAsia="zh-CN"/>
        </w:rPr>
        <w:t>第四章　管</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lang w:eastAsia="zh-CN"/>
        </w:rPr>
        <w:t>理</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5"/>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第十二条</w:t>
      </w:r>
      <w:r>
        <w:rPr>
          <w:rFonts w:hint="eastAsia" w:ascii="仿宋" w:hAnsi="仿宋" w:eastAsia="仿宋" w:cs="仿宋"/>
          <w:spacing w:val="0"/>
          <w:kern w:val="0"/>
          <w:sz w:val="32"/>
          <w:szCs w:val="32"/>
        </w:rPr>
        <w:t>　</w:t>
      </w:r>
      <w:r>
        <w:rPr>
          <w:rFonts w:hint="eastAsia" w:ascii="仿宋" w:hAnsi="仿宋" w:eastAsia="仿宋" w:cs="仿宋"/>
          <w:kern w:val="0"/>
          <w:sz w:val="32"/>
          <w:szCs w:val="32"/>
        </w:rPr>
        <w:t>自治区科技厅负责高新区归口管理和协调指导，自治区发展改革委、工业和信息化厅、自然资源厅、生态环境厅、</w:t>
      </w:r>
      <w:r>
        <w:rPr>
          <w:rFonts w:hint="eastAsia" w:ascii="仿宋" w:hAnsi="仿宋" w:eastAsia="仿宋" w:cs="仿宋"/>
          <w:spacing w:val="6"/>
          <w:kern w:val="0"/>
          <w:sz w:val="32"/>
          <w:szCs w:val="32"/>
        </w:rPr>
        <w:t>商务厅</w:t>
      </w:r>
      <w:r>
        <w:rPr>
          <w:rFonts w:hint="eastAsia" w:ascii="仿宋" w:hAnsi="仿宋" w:eastAsia="仿宋" w:cs="仿宋"/>
          <w:spacing w:val="6"/>
          <w:kern w:val="0"/>
          <w:sz w:val="32"/>
          <w:szCs w:val="32"/>
          <w:lang w:eastAsia="zh-CN"/>
        </w:rPr>
        <w:t>、</w:t>
      </w:r>
      <w:r>
        <w:rPr>
          <w:rFonts w:hint="eastAsia" w:ascii="仿宋" w:hAnsi="仿宋" w:eastAsia="仿宋" w:cs="仿宋"/>
          <w:spacing w:val="6"/>
          <w:kern w:val="0"/>
          <w:sz w:val="32"/>
          <w:szCs w:val="32"/>
        </w:rPr>
        <w:t>统计局等有关部门按照职能职责对高新区进行指导和支持。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5"/>
        <w:textAlignment w:val="auto"/>
        <w:rPr>
          <w:rFonts w:hint="eastAsia" w:ascii="仿宋" w:hAnsi="仿宋" w:eastAsia="仿宋" w:cs="仿宋"/>
          <w:kern w:val="0"/>
          <w:sz w:val="32"/>
          <w:szCs w:val="32"/>
        </w:rPr>
      </w:pPr>
      <w:r>
        <w:rPr>
          <w:rFonts w:hint="eastAsia" w:ascii="黑体" w:hAnsi="黑体" w:eastAsia="黑体" w:cs="黑体"/>
          <w:spacing w:val="0"/>
          <w:kern w:val="0"/>
          <w:sz w:val="32"/>
          <w:szCs w:val="32"/>
        </w:rPr>
        <w:t>第十三条</w:t>
      </w:r>
      <w:r>
        <w:rPr>
          <w:rFonts w:hint="eastAsia" w:ascii="仿宋" w:hAnsi="仿宋" w:eastAsia="仿宋" w:cs="仿宋"/>
          <w:spacing w:val="0"/>
          <w:kern w:val="0"/>
          <w:sz w:val="32"/>
          <w:szCs w:val="32"/>
        </w:rPr>
        <w:t>　</w:t>
      </w:r>
      <w:r>
        <w:rPr>
          <w:rFonts w:hint="eastAsia" w:ascii="仿宋" w:hAnsi="仿宋" w:eastAsia="仿宋" w:cs="仿宋"/>
          <w:kern w:val="0"/>
          <w:sz w:val="32"/>
          <w:szCs w:val="32"/>
        </w:rPr>
        <w:t>高新区所在盟行政公署、市人民政府是高新区建设的责任主体，具体负责高新区的开发、建设、管理等工作</w:t>
      </w:r>
      <w:r>
        <w:rPr>
          <w:rFonts w:hint="eastAsia" w:ascii="仿宋" w:hAnsi="仿宋" w:eastAsia="仿宋" w:cs="仿宋"/>
          <w:spacing w:val="0"/>
          <w:kern w:val="0"/>
          <w:sz w:val="32"/>
          <w:szCs w:val="32"/>
          <w:lang w:eastAsia="zh-CN"/>
        </w:rPr>
        <w:t>，应当</w:t>
      </w:r>
      <w:r>
        <w:rPr>
          <w:rFonts w:hint="eastAsia" w:ascii="仿宋" w:hAnsi="仿宋" w:eastAsia="仿宋" w:cs="仿宋"/>
          <w:kern w:val="0"/>
          <w:sz w:val="32"/>
          <w:szCs w:val="32"/>
        </w:rPr>
        <w:t>制定促进高新区发展的具体实施方案和发展规划，提升高新区创新驱动发展水平。</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5"/>
        <w:textAlignment w:val="auto"/>
        <w:rPr>
          <w:rFonts w:hint="eastAsia" w:ascii="仿宋" w:hAnsi="仿宋" w:eastAsia="仿宋" w:cs="仿宋"/>
          <w:kern w:val="0"/>
          <w:sz w:val="32"/>
          <w:szCs w:val="32"/>
        </w:rPr>
      </w:pPr>
      <w:r>
        <w:rPr>
          <w:rFonts w:hint="eastAsia" w:ascii="仿宋" w:hAnsi="仿宋" w:eastAsia="仿宋" w:cs="仿宋"/>
          <w:kern w:val="0"/>
          <w:sz w:val="32"/>
          <w:szCs w:val="32"/>
        </w:rPr>
        <w:t>自治区支持盟行政公署、市人民政府采取“一区多园”等模式，按照有关规定扩展高新区管辖范围和发展空间，建立联动发展机制。鼓励盟行政公署、市人民政府制定支持高新区发展的先行先试政策。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6"/>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第十四条</w:t>
      </w:r>
      <w:r>
        <w:rPr>
          <w:rFonts w:hint="eastAsia" w:ascii="仿宋" w:hAnsi="仿宋" w:eastAsia="仿宋" w:cs="仿宋"/>
          <w:kern w:val="0"/>
          <w:sz w:val="32"/>
          <w:szCs w:val="32"/>
        </w:rPr>
        <w:t>　高新区管理机构应于每年年底前按要求编制年度工作报告，经盟市科技部门审核后，连同高新区重要年度统计数据一</w:t>
      </w:r>
      <w:r>
        <w:rPr>
          <w:rFonts w:hint="eastAsia" w:ascii="仿宋" w:hAnsi="仿宋" w:eastAsia="仿宋" w:cs="仿宋"/>
          <w:spacing w:val="0"/>
          <w:kern w:val="0"/>
          <w:sz w:val="32"/>
          <w:szCs w:val="32"/>
          <w:lang w:eastAsia="zh-CN"/>
        </w:rPr>
        <w:t>并</w:t>
      </w:r>
      <w:r>
        <w:rPr>
          <w:rFonts w:hint="eastAsia" w:ascii="仿宋" w:hAnsi="仿宋" w:eastAsia="仿宋" w:cs="仿宋"/>
          <w:kern w:val="0"/>
          <w:sz w:val="32"/>
          <w:szCs w:val="32"/>
        </w:rPr>
        <w:t>报自治区科技厅</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统计局。年度工作报告包括总体进展、重大创新措施、运行绩效、经验与问题及下年度重点工作等。</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6"/>
        <w:textAlignment w:val="auto"/>
        <w:outlineLvl w:val="9"/>
        <w:rPr>
          <w:rFonts w:hint="eastAsia" w:ascii="仿宋" w:hAnsi="仿宋" w:eastAsia="仿宋" w:cs="仿宋"/>
          <w:kern w:val="0"/>
          <w:sz w:val="32"/>
          <w:szCs w:val="32"/>
        </w:rPr>
      </w:pPr>
      <w:r>
        <w:rPr>
          <w:rFonts w:hint="eastAsia" w:ascii="黑体" w:hAnsi="黑体" w:eastAsia="黑体" w:cs="黑体"/>
          <w:spacing w:val="0"/>
          <w:kern w:val="0"/>
          <w:sz w:val="32"/>
          <w:szCs w:val="32"/>
        </w:rPr>
        <w:t>第十五条</w:t>
      </w:r>
      <w:r>
        <w:rPr>
          <w:rFonts w:hint="eastAsia" w:ascii="仿宋" w:hAnsi="仿宋" w:eastAsia="仿宋" w:cs="仿宋"/>
          <w:kern w:val="0"/>
          <w:sz w:val="32"/>
          <w:szCs w:val="32"/>
        </w:rPr>
        <w:t>　对高新区实施动态管理。按照高新区评价结果，优先推荐排名靠前、创新能力强、发展质量高、产业特色明显的高新区升级为国家</w:t>
      </w:r>
      <w:r>
        <w:rPr>
          <w:rFonts w:hint="eastAsia" w:ascii="仿宋" w:hAnsi="仿宋" w:eastAsia="仿宋" w:cs="仿宋"/>
          <w:spacing w:val="0"/>
          <w:kern w:val="0"/>
          <w:sz w:val="32"/>
          <w:szCs w:val="32"/>
          <w:lang w:eastAsia="zh-CN"/>
        </w:rPr>
        <w:t>级</w:t>
      </w:r>
      <w:r>
        <w:rPr>
          <w:rFonts w:hint="eastAsia" w:ascii="仿宋" w:hAnsi="仿宋" w:eastAsia="仿宋" w:cs="仿宋"/>
          <w:kern w:val="0"/>
          <w:sz w:val="32"/>
          <w:szCs w:val="32"/>
        </w:rPr>
        <w:t>高新区。对评价结果</w:t>
      </w:r>
      <w:r>
        <w:rPr>
          <w:rFonts w:hint="eastAsia" w:ascii="仿宋" w:hAnsi="仿宋" w:eastAsia="仿宋" w:cs="仿宋"/>
          <w:spacing w:val="0"/>
          <w:kern w:val="0"/>
          <w:sz w:val="32"/>
          <w:szCs w:val="32"/>
          <w:lang w:eastAsia="zh-CN"/>
        </w:rPr>
        <w:t>在</w:t>
      </w:r>
      <w:r>
        <w:rPr>
          <w:rFonts w:hint="eastAsia" w:ascii="仿宋" w:hAnsi="仿宋" w:eastAsia="仿宋" w:cs="仿宋"/>
          <w:kern w:val="0"/>
          <w:sz w:val="32"/>
          <w:szCs w:val="32"/>
        </w:rPr>
        <w:t>全区</w:t>
      </w:r>
      <w:r>
        <w:rPr>
          <w:rFonts w:hint="eastAsia" w:ascii="仿宋" w:hAnsi="仿宋" w:eastAsia="仿宋" w:cs="仿宋"/>
          <w:spacing w:val="0"/>
          <w:kern w:val="0"/>
          <w:sz w:val="32"/>
          <w:szCs w:val="32"/>
          <w:lang w:eastAsia="zh-CN"/>
        </w:rPr>
        <w:t>排名</w:t>
      </w:r>
      <w:r>
        <w:rPr>
          <w:rFonts w:hint="eastAsia" w:ascii="仿宋" w:hAnsi="仿宋" w:eastAsia="仿宋" w:cs="仿宋"/>
          <w:kern w:val="0"/>
          <w:sz w:val="32"/>
          <w:szCs w:val="32"/>
        </w:rPr>
        <w:t>靠后且评分较低的高新区</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责令限期整改；对连续两次评价结果位列全区最后一位且评分较低的高新区</w:t>
      </w:r>
      <w:r>
        <w:rPr>
          <w:rFonts w:hint="eastAsia" w:ascii="仿宋" w:hAnsi="仿宋" w:eastAsia="仿宋" w:cs="仿宋"/>
          <w:spacing w:val="0"/>
          <w:kern w:val="0"/>
          <w:sz w:val="32"/>
          <w:szCs w:val="32"/>
          <w:lang w:eastAsia="zh-CN"/>
        </w:rPr>
        <w:t>，</w:t>
      </w:r>
      <w:r>
        <w:rPr>
          <w:rFonts w:hint="eastAsia" w:ascii="仿宋" w:hAnsi="仿宋" w:eastAsia="仿宋" w:cs="仿宋"/>
          <w:kern w:val="0"/>
          <w:sz w:val="32"/>
          <w:szCs w:val="32"/>
        </w:rPr>
        <w:t>按有关程序报请自治区</w:t>
      </w:r>
      <w:r>
        <w:rPr>
          <w:rFonts w:hint="eastAsia" w:ascii="仿宋" w:hAnsi="仿宋" w:eastAsia="仿宋" w:cs="仿宋"/>
          <w:spacing w:val="0"/>
          <w:kern w:val="0"/>
          <w:sz w:val="32"/>
          <w:szCs w:val="32"/>
          <w:lang w:eastAsia="zh-CN"/>
        </w:rPr>
        <w:t>人民</w:t>
      </w:r>
      <w:r>
        <w:rPr>
          <w:rFonts w:hint="eastAsia" w:ascii="仿宋" w:hAnsi="仿宋" w:eastAsia="仿宋" w:cs="仿宋"/>
          <w:kern w:val="0"/>
          <w:sz w:val="32"/>
          <w:szCs w:val="32"/>
        </w:rPr>
        <w:t>政府取消其高新区资格。　　</w:t>
      </w:r>
    </w:p>
    <w:p>
      <w:pPr>
        <w:pStyle w:val="12"/>
        <w:keepNext w:val="0"/>
        <w:keepLines w:val="0"/>
        <w:pageBreakBefore w:val="0"/>
        <w:widowControl w:val="0"/>
        <w:numPr>
          <w:ilvl w:val="0"/>
          <w:numId w:val="0"/>
        </w:numPr>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outlineLvl w:val="9"/>
        <w:rPr>
          <w:rFonts w:hint="eastAsia" w:ascii="黑体" w:hAnsi="黑体" w:eastAsia="黑体" w:cs="黑体"/>
          <w:bCs/>
          <w:spacing w:val="0"/>
          <w:kern w:val="0"/>
          <w:sz w:val="32"/>
          <w:szCs w:val="32"/>
          <w:lang w:eastAsia="zh-CN"/>
        </w:rPr>
      </w:pPr>
      <w:r>
        <w:rPr>
          <w:rFonts w:hint="eastAsia" w:ascii="黑体" w:hAnsi="黑体" w:eastAsia="黑体" w:cs="黑体"/>
          <w:bCs/>
          <w:spacing w:val="0"/>
          <w:kern w:val="0"/>
          <w:sz w:val="32"/>
          <w:szCs w:val="32"/>
          <w:lang w:eastAsia="zh-CN"/>
        </w:rPr>
        <w:t>第五章　附</w:t>
      </w:r>
      <w:r>
        <w:rPr>
          <w:rFonts w:hint="eastAsia" w:ascii="黑体" w:hAnsi="黑体" w:eastAsia="黑体" w:cs="黑体"/>
          <w:bCs/>
          <w:spacing w:val="0"/>
          <w:kern w:val="0"/>
          <w:sz w:val="32"/>
          <w:szCs w:val="32"/>
          <w:lang w:val="en-US" w:eastAsia="zh-CN"/>
        </w:rPr>
        <w:t xml:space="preserve">    </w:t>
      </w:r>
      <w:r>
        <w:rPr>
          <w:rFonts w:hint="eastAsia" w:ascii="黑体" w:hAnsi="黑体" w:eastAsia="黑体" w:cs="黑体"/>
          <w:bCs/>
          <w:spacing w:val="0"/>
          <w:kern w:val="0"/>
          <w:sz w:val="32"/>
          <w:szCs w:val="32"/>
          <w:lang w:eastAsia="zh-CN"/>
        </w:rPr>
        <w:t>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6"/>
        <w:textAlignment w:val="auto"/>
        <w:rPr>
          <w:rFonts w:hint="eastAsia" w:ascii="仿宋" w:hAnsi="仿宋" w:eastAsia="仿宋" w:cs="仿宋"/>
          <w:kern w:val="0"/>
          <w:sz w:val="32"/>
          <w:szCs w:val="32"/>
        </w:rPr>
      </w:pPr>
      <w:r>
        <w:rPr>
          <w:rFonts w:hint="eastAsia" w:ascii="黑体" w:hAnsi="黑体" w:eastAsia="黑体" w:cs="黑体"/>
          <w:spacing w:val="0"/>
          <w:kern w:val="0"/>
          <w:sz w:val="32"/>
          <w:szCs w:val="32"/>
        </w:rPr>
        <w:t>第十六条</w:t>
      </w:r>
      <w:r>
        <w:rPr>
          <w:rFonts w:hint="eastAsia" w:ascii="仿宋" w:hAnsi="仿宋" w:eastAsia="仿宋" w:cs="仿宋"/>
          <w:spacing w:val="0"/>
          <w:kern w:val="0"/>
          <w:sz w:val="32"/>
          <w:szCs w:val="32"/>
        </w:rPr>
        <w:t>　</w:t>
      </w:r>
      <w:r>
        <w:rPr>
          <w:rFonts w:hint="eastAsia" w:ascii="仿宋" w:hAnsi="仿宋" w:eastAsia="仿宋" w:cs="仿宋"/>
          <w:kern w:val="0"/>
          <w:sz w:val="32"/>
          <w:szCs w:val="32"/>
        </w:rPr>
        <w:t>本办法自</w:t>
      </w:r>
      <w:r>
        <w:rPr>
          <w:rFonts w:hint="eastAsia" w:ascii="仿宋" w:hAnsi="仿宋" w:eastAsia="仿宋" w:cs="仿宋"/>
          <w:kern w:val="0"/>
          <w:sz w:val="32"/>
          <w:szCs w:val="32"/>
          <w:lang w:eastAsia="zh-CN"/>
        </w:rPr>
        <w:t>印发</w:t>
      </w:r>
      <w:r>
        <w:rPr>
          <w:rFonts w:hint="eastAsia" w:ascii="仿宋" w:hAnsi="仿宋" w:eastAsia="仿宋" w:cs="仿宋"/>
          <w:kern w:val="0"/>
          <w:sz w:val="32"/>
          <w:szCs w:val="32"/>
        </w:rPr>
        <w:t>之日起施行。</w:t>
      </w:r>
      <w:r>
        <w:rPr>
          <w:rFonts w:hint="eastAsia" w:ascii="仿宋" w:hAnsi="仿宋" w:eastAsia="仿宋" w:cs="仿宋"/>
          <w:spacing w:val="0"/>
          <w:kern w:val="0"/>
          <w:sz w:val="32"/>
          <w:szCs w:val="32"/>
          <w:lang w:eastAsia="zh-CN"/>
        </w:rPr>
        <w:t>原</w:t>
      </w:r>
      <w:r>
        <w:rPr>
          <w:rFonts w:hint="eastAsia" w:ascii="仿宋" w:hAnsi="仿宋" w:eastAsia="仿宋" w:cs="仿宋"/>
          <w:kern w:val="0"/>
          <w:sz w:val="32"/>
          <w:szCs w:val="32"/>
        </w:rPr>
        <w:t>《内蒙古自治区人</w:t>
      </w:r>
      <w:r>
        <w:rPr>
          <w:rFonts w:hint="eastAsia" w:ascii="仿宋" w:hAnsi="仿宋" w:eastAsia="仿宋" w:cs="仿宋"/>
          <w:spacing w:val="0"/>
          <w:kern w:val="0"/>
          <w:sz w:val="32"/>
          <w:szCs w:val="32"/>
        </w:rPr>
        <w:t>民政府办公厅关于印发高新技术产业开发区管理办法的通知》</w:t>
      </w:r>
      <w:r>
        <w:rPr>
          <w:rFonts w:hint="eastAsia" w:ascii="仿宋" w:hAnsi="仿宋" w:eastAsia="仿宋" w:cs="仿宋"/>
          <w:kern w:val="0"/>
          <w:sz w:val="32"/>
          <w:szCs w:val="32"/>
        </w:rPr>
        <w:t>（内政办字〔2003〕114号）同时废止。</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6"/>
        <w:textAlignment w:val="auto"/>
        <w:rPr>
          <w:rFonts w:hint="eastAsia" w:ascii="仿宋" w:hAnsi="仿宋" w:eastAsia="仿宋" w:cs="仿宋"/>
          <w:spacing w:val="0"/>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6"/>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spacing w:val="0"/>
          <w:kern w:val="0"/>
          <w:sz w:val="32"/>
          <w:szCs w:val="32"/>
        </w:rPr>
      </w:pPr>
      <w:r>
        <w:rPr>
          <w:rFonts w:hint="eastAsia" w:ascii="仿宋" w:hAnsi="仿宋" w:eastAsia="仿宋" w:cs="仿宋"/>
          <w:kern w:val="0"/>
          <w:sz w:val="32"/>
          <w:szCs w:val="32"/>
        </w:rPr>
        <w:t>附件：</w:t>
      </w:r>
      <w:r>
        <w:rPr>
          <w:rFonts w:hint="eastAsia" w:ascii="仿宋" w:hAnsi="仿宋" w:eastAsia="仿宋" w:cs="仿宋"/>
          <w:spacing w:val="0"/>
          <w:kern w:val="0"/>
          <w:sz w:val="32"/>
          <w:szCs w:val="32"/>
        </w:rPr>
        <w:t>1.内蒙古自治区高新技术产业开发区评价指标体系</w:t>
      </w:r>
    </w:p>
    <w:p>
      <w:pPr>
        <w:topLinePunct/>
        <w:spacing w:line="580" w:lineRule="exact"/>
        <w:ind w:firstLine="1600" w:firstLineChars="500"/>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2.内蒙古自治区高新技术产业开发区评价指标解释</w:t>
      </w:r>
    </w:p>
    <w:p>
      <w:pPr>
        <w:pStyle w:val="11"/>
        <w:ind w:firstLine="640"/>
        <w:rPr>
          <w:rFonts w:ascii="Times New Roman" w:hAnsi="Times New Roman" w:eastAsia="仿宋_GB2312" w:cs="Times New Roman"/>
          <w:kern w:val="0"/>
          <w:sz w:val="32"/>
          <w:szCs w:val="32"/>
        </w:rPr>
      </w:pPr>
    </w:p>
    <w:p>
      <w:pPr>
        <w:ind w:firstLine="645"/>
        <w:rPr>
          <w:rFonts w:ascii="Times New Roman" w:hAnsi="Times New Roman" w:eastAsia="仿宋_GB2312" w:cs="Times New Roman"/>
          <w:kern w:val="0"/>
          <w:sz w:val="32"/>
          <w:szCs w:val="32"/>
        </w:rPr>
      </w:pPr>
    </w:p>
    <w:p>
      <w:pPr>
        <w:ind w:firstLine="645"/>
        <w:rPr>
          <w:rFonts w:ascii="Times New Roman" w:hAnsi="Times New Roman" w:eastAsia="仿宋_GB2312" w:cs="Times New Roman"/>
          <w:kern w:val="0"/>
          <w:sz w:val="32"/>
          <w:szCs w:val="32"/>
        </w:rPr>
      </w:pPr>
    </w:p>
    <w:p>
      <w:pPr>
        <w:ind w:firstLine="645"/>
        <w:rPr>
          <w:rFonts w:ascii="Times New Roman" w:hAnsi="Times New Roman" w:eastAsia="仿宋_GB2312" w:cs="Times New Roman"/>
          <w:kern w:val="0"/>
          <w:sz w:val="32"/>
          <w:szCs w:val="32"/>
        </w:rPr>
      </w:pPr>
    </w:p>
    <w:p>
      <w:pPr>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黑体" w:hAnsi="黑体" w:eastAsia="黑体" w:cs="Times New Roman"/>
          <w:bCs/>
          <w:kern w:val="0"/>
          <w:sz w:val="30"/>
          <w:szCs w:val="30"/>
        </w:rPr>
      </w:pPr>
      <w:r>
        <w:rPr>
          <w:rFonts w:ascii="黑体" w:hAnsi="黑体" w:eastAsia="黑体" w:cs="Times New Roman"/>
          <w:bCs/>
          <w:kern w:val="0"/>
          <w:sz w:val="30"/>
          <w:szCs w:val="30"/>
        </w:rPr>
        <w:t>附件</w:t>
      </w:r>
      <w:r>
        <w:rPr>
          <w:rFonts w:hint="eastAsia" w:ascii="黑体" w:hAnsi="黑体" w:eastAsia="黑体" w:cs="Times New Roman"/>
          <w:bCs/>
          <w:kern w:val="0"/>
          <w:sz w:val="30"/>
          <w:szCs w:val="30"/>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黑体" w:hAnsi="黑体" w:eastAsia="黑体" w:cs="Times New Roman"/>
          <w:bCs/>
          <w:kern w:val="0"/>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内蒙古自治区高新技术产业开发区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spacing w:val="170"/>
          <w:kern w:val="0"/>
          <w:sz w:val="44"/>
          <w:szCs w:val="44"/>
        </w:rPr>
        <w:t>评价指标体</w:t>
      </w:r>
      <w:r>
        <w:rPr>
          <w:rFonts w:hint="eastAsia" w:ascii="方正小标宋_GBK" w:hAnsi="方正小标宋_GBK" w:eastAsia="方正小标宋_GBK" w:cs="方正小标宋_GBK"/>
          <w:bCs/>
          <w:kern w:val="0"/>
          <w:sz w:val="44"/>
          <w:szCs w:val="44"/>
        </w:rPr>
        <w:t>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ascii="Times New Roman" w:hAnsi="Times New Roman" w:eastAsia="方正小标宋简体" w:cs="Times New Roman"/>
          <w:bCs/>
          <w:kern w:val="0"/>
          <w:sz w:val="36"/>
          <w:szCs w:val="36"/>
        </w:rPr>
      </w:pPr>
    </w:p>
    <w:tbl>
      <w:tblPr>
        <w:tblStyle w:val="8"/>
        <w:tblW w:w="9148" w:type="dxa"/>
        <w:jc w:val="center"/>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6247"/>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85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一级指标</w:t>
            </w:r>
          </w:p>
        </w:tc>
        <w:tc>
          <w:tcPr>
            <w:tcW w:w="62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二</w:t>
            </w:r>
            <w:r>
              <w:rPr>
                <w:rFonts w:hint="eastAsia" w:ascii="黑体" w:hAnsi="黑体" w:eastAsia="黑体" w:cs="黑体"/>
                <w:bCs/>
                <w:kern w:val="0"/>
                <w:sz w:val="28"/>
                <w:szCs w:val="28"/>
                <w:lang w:val="en-US" w:eastAsia="zh-CN"/>
              </w:rPr>
              <w:t xml:space="preserve">   </w:t>
            </w:r>
            <w:r>
              <w:rPr>
                <w:rFonts w:hint="eastAsia" w:ascii="黑体" w:hAnsi="黑体" w:eastAsia="黑体" w:cs="黑体"/>
                <w:bCs/>
                <w:kern w:val="0"/>
                <w:sz w:val="28"/>
                <w:szCs w:val="28"/>
              </w:rPr>
              <w:t>级</w:t>
            </w:r>
            <w:r>
              <w:rPr>
                <w:rFonts w:hint="eastAsia" w:ascii="黑体" w:hAnsi="黑体" w:eastAsia="黑体" w:cs="黑体"/>
                <w:bCs/>
                <w:kern w:val="0"/>
                <w:sz w:val="28"/>
                <w:szCs w:val="28"/>
                <w:lang w:val="en-US" w:eastAsia="zh-CN"/>
              </w:rPr>
              <w:t xml:space="preserve">   </w:t>
            </w:r>
            <w:r>
              <w:rPr>
                <w:rFonts w:hint="eastAsia" w:ascii="黑体" w:hAnsi="黑体" w:eastAsia="黑体" w:cs="黑体"/>
                <w:bCs/>
                <w:kern w:val="0"/>
                <w:sz w:val="28"/>
                <w:szCs w:val="28"/>
              </w:rPr>
              <w:t>指</w:t>
            </w:r>
            <w:r>
              <w:rPr>
                <w:rFonts w:hint="eastAsia" w:ascii="黑体" w:hAnsi="黑体" w:eastAsia="黑体" w:cs="黑体"/>
                <w:bCs/>
                <w:kern w:val="0"/>
                <w:sz w:val="28"/>
                <w:szCs w:val="28"/>
                <w:lang w:val="en-US" w:eastAsia="zh-CN"/>
              </w:rPr>
              <w:t xml:space="preserve">   </w:t>
            </w:r>
            <w:r>
              <w:rPr>
                <w:rFonts w:hint="eastAsia" w:ascii="黑体" w:hAnsi="黑体" w:eastAsia="黑体" w:cs="黑体"/>
                <w:bCs/>
                <w:kern w:val="0"/>
                <w:sz w:val="28"/>
                <w:szCs w:val="28"/>
              </w:rPr>
              <w:t>标</w:t>
            </w:r>
          </w:p>
        </w:tc>
        <w:tc>
          <w:tcPr>
            <w:tcW w:w="104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left"/>
              <w:textAlignment w:val="auto"/>
              <w:outlineLvl w:val="9"/>
              <w:rPr>
                <w:rFonts w:hint="eastAsia" w:ascii="仿宋" w:hAnsi="仿宋" w:eastAsia="仿宋" w:cs="仿宋"/>
                <w:bCs/>
                <w:spacing w:val="-11"/>
                <w:kern w:val="0"/>
                <w:sz w:val="28"/>
                <w:szCs w:val="28"/>
              </w:rPr>
            </w:pPr>
            <w:r>
              <w:rPr>
                <w:rFonts w:hint="eastAsia" w:ascii="仿宋" w:hAnsi="仿宋" w:eastAsia="仿宋" w:cs="仿宋"/>
                <w:bCs/>
                <w:spacing w:val="-11"/>
                <w:kern w:val="0"/>
                <w:sz w:val="28"/>
                <w:szCs w:val="28"/>
              </w:rPr>
              <w:t>1.技术创新能力（30%）</w:t>
            </w: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1.1 研发经费内部支出占营业收入比例</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1.2 财政科技支出占一般公共预算支出比例</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1.3 孵化面积及每千平米孵化场地中在孵企业数</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1.4 从业人员中研发人员全时当量数占比</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1.5 每百户法人企业拥有自治区级以上创新平台数量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1.6 每万名从业人员发明专利拥有量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1.7 人均技术合同交易额</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contextualSpacing/>
              <w:jc w:val="left"/>
              <w:textAlignment w:val="auto"/>
              <w:outlineLvl w:val="9"/>
              <w:rPr>
                <w:rFonts w:hint="eastAsia" w:ascii="仿宋" w:hAnsi="仿宋" w:eastAsia="仿宋" w:cs="仿宋"/>
                <w:bCs/>
                <w:spacing w:val="-11"/>
                <w:kern w:val="0"/>
                <w:sz w:val="28"/>
                <w:szCs w:val="28"/>
              </w:rPr>
            </w:pPr>
            <w:r>
              <w:rPr>
                <w:rFonts w:hint="eastAsia" w:ascii="仿宋" w:hAnsi="仿宋" w:eastAsia="仿宋" w:cs="仿宋"/>
                <w:bCs/>
                <w:spacing w:val="-11"/>
                <w:kern w:val="0"/>
                <w:sz w:val="28"/>
                <w:szCs w:val="28"/>
              </w:rPr>
              <w:t>结构优化能力与绿色发展水平（35%）</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2.1 当年净增高新技术企业数</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contextualSpacing/>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2.2 当年净增科技型中小企业数</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2.3 高技术制造业企业营收占工业企业营收比重及年增长幅度</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2.4 营业收入中高技术服务业营收占比及年增长幅度</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2.5 获得风险投资的企业数</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2.6 单位土地产出强度及存量土地盘活比例</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2.7 园区二氧化碳排放增长率</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2.8 促进产城融合、共享发展、生态环保、绿色发展、引领示范作用发挥</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jc w:val="center"/>
        </w:trPr>
        <w:tc>
          <w:tcPr>
            <w:tcW w:w="18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r>
              <w:rPr>
                <w:rFonts w:hint="eastAsia" w:ascii="仿宋" w:hAnsi="仿宋" w:eastAsia="仿宋" w:cs="仿宋"/>
                <w:bCs/>
                <w:spacing w:val="-11"/>
                <w:kern w:val="0"/>
                <w:sz w:val="28"/>
                <w:szCs w:val="28"/>
              </w:rPr>
              <w:t>3.开放合作创新能力（20%）</w:t>
            </w: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3.1 企业区内外产学研合作经费支出总额占营业收入比例</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3.2</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引进或联合建设的创新平台数量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3.3 引进的高新技术企业数量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3.4 引进的科技型中小企业数量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3.5 营业收入中高新技术企业出口总额占比</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Cs/>
                <w:spacing w:val="-11"/>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3.6</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吸纳区外技术合同交易额</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left"/>
              <w:textAlignment w:val="auto"/>
              <w:outlineLvl w:val="9"/>
              <w:rPr>
                <w:rFonts w:hint="eastAsia" w:ascii="仿宋" w:hAnsi="仿宋" w:eastAsia="仿宋" w:cs="仿宋"/>
                <w:bCs/>
                <w:spacing w:val="-11"/>
                <w:kern w:val="0"/>
                <w:sz w:val="28"/>
                <w:szCs w:val="28"/>
              </w:rPr>
            </w:pPr>
            <w:r>
              <w:rPr>
                <w:rFonts w:hint="eastAsia" w:ascii="仿宋" w:hAnsi="仿宋" w:eastAsia="仿宋" w:cs="仿宋"/>
                <w:bCs/>
                <w:spacing w:val="-11"/>
                <w:kern w:val="0"/>
                <w:sz w:val="28"/>
                <w:szCs w:val="28"/>
              </w:rPr>
              <w:t>4.综合服务能力（15%）</w:t>
            </w: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4.1 有效开展科技服务的机构数量</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bCs/>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 xml:space="preserve">4.2 </w:t>
            </w:r>
            <w:r>
              <w:rPr>
                <w:rFonts w:hint="eastAsia" w:ascii="仿宋" w:hAnsi="仿宋" w:eastAsia="仿宋" w:cs="仿宋"/>
                <w:bCs/>
                <w:spacing w:val="-11"/>
                <w:kern w:val="0"/>
                <w:sz w:val="28"/>
                <w:szCs w:val="28"/>
              </w:rPr>
              <w:t>盟</w:t>
            </w:r>
            <w:r>
              <w:rPr>
                <w:rFonts w:hint="eastAsia" w:ascii="仿宋" w:hAnsi="仿宋" w:eastAsia="仿宋" w:cs="仿宋"/>
                <w:bCs/>
                <w:spacing w:val="-11"/>
                <w:kern w:val="0"/>
                <w:sz w:val="28"/>
                <w:szCs w:val="28"/>
                <w:lang w:eastAsia="zh-CN"/>
              </w:rPr>
              <w:t>行政公署、</w:t>
            </w:r>
            <w:r>
              <w:rPr>
                <w:rFonts w:hint="eastAsia" w:ascii="仿宋" w:hAnsi="仿宋" w:eastAsia="仿宋" w:cs="仿宋"/>
                <w:bCs/>
                <w:spacing w:val="-11"/>
                <w:kern w:val="0"/>
                <w:sz w:val="28"/>
                <w:szCs w:val="28"/>
              </w:rPr>
              <w:t>市</w:t>
            </w:r>
            <w:r>
              <w:rPr>
                <w:rFonts w:hint="eastAsia" w:ascii="仿宋" w:hAnsi="仿宋" w:eastAsia="仿宋" w:cs="仿宋"/>
                <w:bCs/>
                <w:spacing w:val="-11"/>
                <w:kern w:val="0"/>
                <w:sz w:val="28"/>
                <w:szCs w:val="28"/>
                <w:lang w:eastAsia="zh-CN"/>
              </w:rPr>
              <w:t>人民</w:t>
            </w:r>
            <w:r>
              <w:rPr>
                <w:rFonts w:hint="eastAsia" w:ascii="仿宋" w:hAnsi="仿宋" w:eastAsia="仿宋" w:cs="仿宋"/>
                <w:bCs/>
                <w:spacing w:val="-11"/>
                <w:kern w:val="0"/>
                <w:sz w:val="28"/>
                <w:szCs w:val="28"/>
              </w:rPr>
              <w:t>政府</w:t>
            </w:r>
            <w:r>
              <w:rPr>
                <w:rFonts w:hint="eastAsia" w:ascii="仿宋" w:hAnsi="仿宋" w:eastAsia="仿宋" w:cs="仿宋"/>
                <w:bCs/>
                <w:spacing w:val="-11"/>
                <w:kern w:val="0"/>
                <w:sz w:val="28"/>
                <w:szCs w:val="28"/>
                <w:lang w:eastAsia="zh-CN"/>
              </w:rPr>
              <w:t>向</w:t>
            </w:r>
            <w:r>
              <w:rPr>
                <w:rFonts w:hint="eastAsia" w:ascii="仿宋" w:hAnsi="仿宋" w:eastAsia="仿宋" w:cs="仿宋"/>
                <w:bCs/>
                <w:spacing w:val="-11"/>
                <w:kern w:val="0"/>
                <w:sz w:val="28"/>
                <w:szCs w:val="28"/>
              </w:rPr>
              <w:t>高新区放权赋能情况</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bCs/>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4.3 高新区管理体制机制情况</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bCs/>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4.4 园区管委会可支配财力情况</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bCs/>
                <w:kern w:val="0"/>
                <w:sz w:val="28"/>
                <w:szCs w:val="28"/>
              </w:rPr>
            </w:pPr>
          </w:p>
        </w:tc>
        <w:tc>
          <w:tcPr>
            <w:tcW w:w="62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4.5 园区开展政策先行先试情况</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合</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计</w:t>
            </w:r>
          </w:p>
        </w:tc>
        <w:tc>
          <w:tcPr>
            <w:tcW w:w="10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100分</w:t>
            </w:r>
          </w:p>
        </w:tc>
      </w:tr>
    </w:tbl>
    <w:p>
      <w:pPr>
        <w:rPr>
          <w:rFonts w:ascii="Times New Roman" w:hAnsi="Times New Roman" w:eastAsia="方正小标宋简体" w:cs="Times New Roman"/>
          <w:bCs/>
          <w:kern w:val="0"/>
          <w:sz w:val="28"/>
          <w:szCs w:val="28"/>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r>
        <w:br w:type="page"/>
      </w:r>
      <w:r>
        <w:rPr>
          <w:rFonts w:hint="eastAsia" w:ascii="黑体" w:hAnsi="黑体" w:eastAsia="黑体" w:cs="黑体"/>
          <w:sz w:val="32"/>
          <w:szCs w:val="32"/>
        </w:rPr>
        <w:t>附件2</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内蒙古自治区高新</w:t>
      </w:r>
      <w:r>
        <w:rPr>
          <w:rFonts w:hint="eastAsia" w:ascii="方正小标宋_GBK" w:hAnsi="方正小标宋_GBK" w:eastAsia="方正小标宋_GBK" w:cs="方正小标宋_GBK"/>
          <w:bCs/>
          <w:sz w:val="44"/>
          <w:szCs w:val="44"/>
          <w:lang w:eastAsia="zh-CN"/>
        </w:rPr>
        <w:t>技术产业开发</w:t>
      </w:r>
      <w:r>
        <w:rPr>
          <w:rFonts w:hint="eastAsia" w:ascii="方正小标宋_GBK" w:hAnsi="方正小标宋_GBK" w:eastAsia="方正小标宋_GBK" w:cs="方正小标宋_GBK"/>
          <w:bCs/>
          <w:sz w:val="44"/>
          <w:szCs w:val="44"/>
        </w:rPr>
        <w:t>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pacing w:val="170"/>
          <w:sz w:val="44"/>
          <w:szCs w:val="44"/>
        </w:rPr>
        <w:t>评价指标解</w:t>
      </w:r>
      <w:r>
        <w:rPr>
          <w:rFonts w:hint="eastAsia" w:ascii="方正小标宋_GBK" w:hAnsi="方正小标宋_GBK" w:eastAsia="方正小标宋_GBK" w:cs="方正小标宋_GBK"/>
          <w:bCs/>
          <w:sz w:val="44"/>
          <w:szCs w:val="44"/>
        </w:rPr>
        <w:t>释</w:t>
      </w:r>
    </w:p>
    <w:p>
      <w:pPr>
        <w:pStyle w:val="11"/>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1.1</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研发经费内部支出占营业收入比例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计算公式：企业R&amp;D经费内部支出核算值/企业营业收入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指标解释：衡量企业研发投入强度的通用指标，反映园区企业对研发和技术创新的重视程度以及投入能力。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财政科技支出占一般公共预算支出比例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计算公式：财政科技支出/一般公共预算支出×100%</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指标解释：财政科技支出指当年高新区管委会财政用于支持科技活动的支出决算数</w:t>
      </w:r>
      <w:r>
        <w:rPr>
          <w:rFonts w:hint="eastAsia" w:ascii="仿宋" w:hAnsi="仿宋" w:eastAsia="仿宋" w:cs="仿宋"/>
          <w:sz w:val="32"/>
          <w:szCs w:val="32"/>
          <w:lang w:eastAsia="zh-CN"/>
        </w:rPr>
        <w:t>；</w:t>
      </w:r>
      <w:r>
        <w:rPr>
          <w:rFonts w:hint="eastAsia" w:ascii="仿宋" w:hAnsi="仿宋" w:eastAsia="仿宋" w:cs="仿宋"/>
          <w:sz w:val="32"/>
          <w:szCs w:val="32"/>
        </w:rPr>
        <w:t>一般公共预算支出指当年高新区提供公共产品和服务，满足社会共同需要而进行的财政资金的支出决算数〔不属于单独一级财政的高新区采用其所在旗县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财政科技支出决算数和一般公共预算支出决算数〕。反映高新区管理部门对科技创新的重视程度和投入力度。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孵化面积及每千平米孵化场地中在孵企业数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计算公式：在孵企业数/（孵化面积/1000）</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contextualSpacing/>
        <w:textAlignment w:val="auto"/>
        <w:outlineLvl w:val="9"/>
        <w:rPr>
          <w:rFonts w:hint="eastAsia" w:ascii="仿宋" w:hAnsi="仿宋" w:eastAsia="仿宋" w:cs="仿宋"/>
          <w:spacing w:val="-6"/>
          <w:sz w:val="32"/>
          <w:szCs w:val="32"/>
        </w:rPr>
      </w:pPr>
      <w:r>
        <w:rPr>
          <w:rFonts w:hint="eastAsia" w:ascii="仿宋" w:hAnsi="仿宋" w:eastAsia="仿宋" w:cs="仿宋"/>
          <w:spacing w:val="-6"/>
          <w:sz w:val="32"/>
          <w:szCs w:val="32"/>
        </w:rPr>
        <w:t>指标解释：孵化面积指经认定的科技企业孵化器建筑面积。在孵企业数指在科技企业孵化器内经营并接受该孵化器所提供的孵化服务的企业数量。反映高新区创新创业孵化能力及孵化强度。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从业人员中研发人员全时当量数占比</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计算公式：企业R&amp;D人员折合全时当量核算值/从业人员期末数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指标解释：衡量园区企业研发人员的实际投入强度，鼓励企业强化自主创新人力的投入。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每百户法人企业拥有自治区级以上创新平台数量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计算公式：自治区级以上研发机构总数/（园区内法人企业数/100）</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指标解释：创新平台数量指国家及自治区有关部门认定的重点实验室、联合实验室、技术创新中心、工程（技术）研究中心、企业研发中心、临床医学研究中心、协同创新中心、产业创新中</w:t>
      </w:r>
      <w:r>
        <w:rPr>
          <w:rFonts w:hint="eastAsia" w:ascii="仿宋" w:hAnsi="仿宋" w:eastAsia="仿宋" w:cs="仿宋"/>
          <w:spacing w:val="6"/>
          <w:sz w:val="32"/>
          <w:szCs w:val="32"/>
        </w:rPr>
        <w:t>心、制造业创新中心、企业技术中心、工业设计中心、质检中心、技术标准创新基地等的数量。此项指标反映高新区企业创新实力。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1.6</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每万名从业人员发明专利拥有量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计算公式：发明专利拥有量/（企业从业人员数/10000）</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
          <w:kern w:val="0"/>
          <w:sz w:val="32"/>
          <w:szCs w:val="32"/>
        </w:rPr>
      </w:pPr>
      <w:r>
        <w:rPr>
          <w:rFonts w:hint="eastAsia" w:ascii="仿宋" w:hAnsi="仿宋" w:eastAsia="仿宋" w:cs="仿宋"/>
          <w:sz w:val="32"/>
          <w:szCs w:val="32"/>
        </w:rPr>
        <w:t>指标解释：发明专利拥有量指高新区范围内拥有的有效发明专利数量。反映高新区知识产权创造能力。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1.7</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人均技术合同交易额</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计算公式：技术合同交易额/从业人员期末数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指标解释：衡量园区技术交易活跃度，体现园区科技研发服务业和科技成果转化的发展态势。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2.1</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当年净增高新技术企业数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计算公式：当年高新技术企业数－上年高新技术企业数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指标解释：引导企业申报高新技术企业，衡量园区科技型企业的培育情况，促进产业价值链提升。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当年净增科技型中小企业数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计算公式：当年科技型中小企业数－上年科技型中小企业数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指标解释：引导企业入库登记科技型中小企业，反映园区科技型企业的新生力量培育情况。</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高技术制造业企业营收占工业企业营收比重及年增长幅度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计算公式：高技术制造业企业营收合计/入统工业企业营收合计×100%及当年比重值－上年度比重值</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指标解释：高技术制造业企业营收是指国民经济行业中R&amp;D投入强度相对高的制造业企业的营业收入值。反映高新区高新技术产业的发展水平。</w:t>
      </w:r>
      <w:r>
        <w:rPr>
          <w:rFonts w:hint="eastAsia" w:ascii="仿宋" w:hAnsi="仿宋" w:eastAsia="仿宋" w:cs="仿宋"/>
          <w:sz w:val="32"/>
          <w:szCs w:val="32"/>
        </w:rPr>
        <w:t>　</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营业收入中高技术服务业营收占比及年增长幅度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计算公式：高技术服务业企业营业收入合计/所有入统企业营业收入及当年占比值</w:t>
      </w:r>
      <w:r>
        <w:rPr>
          <w:rFonts w:hint="eastAsia" w:ascii="仿宋" w:hAnsi="仿宋" w:eastAsia="仿宋" w:cs="仿宋"/>
          <w:bCs/>
          <w:kern w:val="0"/>
          <w:sz w:val="32"/>
          <w:szCs w:val="32"/>
        </w:rPr>
        <w:t>－</w:t>
      </w:r>
      <w:r>
        <w:rPr>
          <w:rFonts w:hint="eastAsia" w:ascii="仿宋" w:hAnsi="仿宋" w:eastAsia="仿宋" w:cs="仿宋"/>
          <w:sz w:val="32"/>
          <w:szCs w:val="32"/>
        </w:rPr>
        <w:t>上年度占比值</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指标解释：反映园区产业结构调整情况，同时强调和鼓励发展知识密集型服务业。</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获得风险投资的企业数</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计算公式：当年园区内获得风险投资的企业数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4" w:firstLineChars="200"/>
        <w:contextualSpacing/>
        <w:jc w:val="left"/>
        <w:textAlignment w:val="auto"/>
        <w:outlineLvl w:val="9"/>
        <w:rPr>
          <w:rFonts w:hint="eastAsia" w:ascii="仿宋" w:hAnsi="仿宋" w:eastAsia="仿宋" w:cs="仿宋"/>
          <w:b/>
          <w:spacing w:val="-4"/>
          <w:kern w:val="0"/>
          <w:sz w:val="32"/>
          <w:szCs w:val="32"/>
        </w:rPr>
      </w:pPr>
      <w:r>
        <w:rPr>
          <w:rFonts w:hint="eastAsia" w:ascii="仿宋" w:hAnsi="仿宋" w:eastAsia="仿宋" w:cs="仿宋"/>
          <w:spacing w:val="-4"/>
          <w:sz w:val="32"/>
          <w:szCs w:val="32"/>
        </w:rPr>
        <w:t>指标解释：反映园区内科技金融和风险投资的发展状况，体现“源于技术，成于资本”，推动新产业形成，提高出现独角兽企业的潜力。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2.6</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单位土地产出强度及存量土地盘活比例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计算公式：单位土地产出强度=工业总产值/园区实际开发面积</w:t>
      </w:r>
      <w:r>
        <w:rPr>
          <w:rFonts w:hint="eastAsia" w:ascii="仿宋" w:hAnsi="仿宋" w:eastAsia="仿宋" w:cs="仿宋"/>
          <w:sz w:val="32"/>
          <w:szCs w:val="32"/>
          <w:lang w:eastAsia="zh-CN"/>
        </w:rPr>
        <w:t>；</w:t>
      </w:r>
      <w:r>
        <w:rPr>
          <w:rFonts w:hint="eastAsia" w:ascii="仿宋" w:hAnsi="仿宋" w:eastAsia="仿宋" w:cs="仿宋"/>
          <w:sz w:val="32"/>
          <w:szCs w:val="32"/>
        </w:rPr>
        <w:t>存量土地盘活比例=盘活存量土地面积/存量土地总面积</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指标解释：此项指标反映高新区经济发展质量。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2.7</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园区二氧化碳排放增长率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计算公式：（当年园区二氧化碳排量</w:t>
      </w:r>
      <w:r>
        <w:rPr>
          <w:rFonts w:hint="eastAsia" w:ascii="仿宋" w:hAnsi="仿宋" w:eastAsia="仿宋" w:cs="仿宋"/>
          <w:bCs/>
          <w:kern w:val="0"/>
          <w:sz w:val="32"/>
          <w:szCs w:val="32"/>
        </w:rPr>
        <w:t>－</w:t>
      </w:r>
      <w:r>
        <w:rPr>
          <w:rFonts w:hint="eastAsia" w:ascii="仿宋" w:hAnsi="仿宋" w:eastAsia="仿宋" w:cs="仿宋"/>
          <w:sz w:val="32"/>
          <w:szCs w:val="32"/>
        </w:rPr>
        <w:t>上年园区二氧化碳排量）/上年园区二氧化碳排量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指标解释：衡量园区排放温室气体总量变化的趋势，也反映产业结构调整力度。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2.8</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促进产城融合、共享发展、生态环保、绿色发展、引领示范作用发挥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计算方法：对参与评价的自治区高新区进行问卷调查，同时结合专家评分，进行综合判断。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
          <w:kern w:val="0"/>
          <w:sz w:val="32"/>
          <w:szCs w:val="32"/>
        </w:rPr>
      </w:pPr>
      <w:r>
        <w:rPr>
          <w:rFonts w:hint="eastAsia" w:ascii="仿宋" w:hAnsi="仿宋" w:eastAsia="仿宋" w:cs="仿宋"/>
          <w:bCs/>
          <w:kern w:val="0"/>
          <w:sz w:val="32"/>
          <w:szCs w:val="32"/>
        </w:rPr>
        <w:t>指标解释：衡量园区推动产城融合发展，绿色发展，建设生态环保、宜居宜业科技新城，着力打造以人为本、共享发展的行政效能。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3.1</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企业区内外产学研合作经费支出总额占营业收入比例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计算公式：企业当年（委托境内研究院所研发费用支出+委</w:t>
      </w:r>
      <w:r>
        <w:rPr>
          <w:rFonts w:hint="eastAsia" w:ascii="仿宋" w:hAnsi="仿宋" w:eastAsia="仿宋" w:cs="仿宋"/>
          <w:bCs/>
          <w:spacing w:val="-6"/>
          <w:kern w:val="0"/>
          <w:sz w:val="32"/>
          <w:szCs w:val="32"/>
        </w:rPr>
        <w:t>托境内高等学校研发费用支出+委托境内其他企业研发费用支出+</w:t>
      </w:r>
      <w:r>
        <w:rPr>
          <w:rFonts w:hint="eastAsia" w:ascii="仿宋" w:hAnsi="仿宋" w:eastAsia="仿宋" w:cs="仿宋"/>
          <w:bCs/>
          <w:kern w:val="0"/>
          <w:sz w:val="32"/>
          <w:szCs w:val="32"/>
        </w:rPr>
        <w:t>委托境外开展研发活动经费支出+引进境外技术经费支出+引进境外技术的消化吸收经费支出）/企业营业收入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指标解释：衡量园区企业通过委外研发、技术引进、消化吸收再创新等方式，整合国内外创新资源进行开放式创新的情况，也反</w:t>
      </w:r>
      <w:r>
        <w:rPr>
          <w:rFonts w:hint="eastAsia" w:ascii="仿宋" w:hAnsi="仿宋" w:eastAsia="仿宋" w:cs="仿宋"/>
          <w:bCs/>
          <w:kern w:val="0"/>
          <w:sz w:val="32"/>
          <w:szCs w:val="32"/>
          <w:lang w:eastAsia="zh-CN"/>
        </w:rPr>
        <w:t>映</w:t>
      </w:r>
      <w:r>
        <w:rPr>
          <w:rFonts w:hint="eastAsia" w:ascii="仿宋" w:hAnsi="仿宋" w:eastAsia="仿宋" w:cs="仿宋"/>
          <w:bCs/>
          <w:kern w:val="0"/>
          <w:sz w:val="32"/>
          <w:szCs w:val="32"/>
        </w:rPr>
        <w:t>企业外部研发投入的强度。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引进或联合建设的创新平台数量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指标解释：指高新区引进或联合建设的以研发、成果转化为主要功能的独立法人机构。</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引进的高新技术企业数量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指标解释：指高新区通过招商引资等方式引进的已经在其他省</w:t>
      </w:r>
      <w:r>
        <w:rPr>
          <w:rFonts w:hint="eastAsia" w:ascii="仿宋" w:hAnsi="仿宋" w:eastAsia="仿宋" w:cs="仿宋"/>
          <w:bCs/>
          <w:kern w:val="0"/>
          <w:sz w:val="32"/>
          <w:szCs w:val="32"/>
          <w:lang w:eastAsia="zh-CN"/>
        </w:rPr>
        <w:t>（区、</w:t>
      </w:r>
      <w:r>
        <w:rPr>
          <w:rFonts w:hint="eastAsia" w:ascii="仿宋" w:hAnsi="仿宋" w:eastAsia="仿宋" w:cs="仿宋"/>
          <w:bCs/>
          <w:kern w:val="0"/>
          <w:sz w:val="32"/>
          <w:szCs w:val="32"/>
        </w:rPr>
        <w:t>市</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认定的并在有效期内的高新技术企业总数。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引进的科技型中小企业数量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指标解释：指高新区通过招商引资等方式引进的已经在其他省</w:t>
      </w:r>
      <w:r>
        <w:rPr>
          <w:rFonts w:hint="eastAsia" w:ascii="仿宋" w:hAnsi="仿宋" w:eastAsia="仿宋" w:cs="仿宋"/>
          <w:kern w:val="0"/>
          <w:sz w:val="32"/>
          <w:szCs w:val="32"/>
          <w:lang w:eastAsia="zh-CN"/>
        </w:rPr>
        <w:t>（区、</w:t>
      </w:r>
      <w:r>
        <w:rPr>
          <w:rFonts w:hint="eastAsia" w:ascii="仿宋" w:hAnsi="仿宋" w:eastAsia="仿宋" w:cs="仿宋"/>
          <w:kern w:val="0"/>
          <w:sz w:val="32"/>
          <w:szCs w:val="32"/>
        </w:rPr>
        <w:t>市</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认定的并入库登记的科技型中小企业总数。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营业收入中高新技术企业出口总额占比</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计算公式：高新技术企业的出口额合计/企业营业收入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spacing w:val="9"/>
          <w:sz w:val="32"/>
          <w:szCs w:val="32"/>
          <w:shd w:val="clear" w:color="auto" w:fill="FFFFFF"/>
        </w:rPr>
      </w:pPr>
      <w:r>
        <w:rPr>
          <w:rFonts w:hint="eastAsia" w:ascii="仿宋" w:hAnsi="仿宋" w:eastAsia="仿宋" w:cs="仿宋"/>
          <w:bCs/>
          <w:kern w:val="0"/>
          <w:sz w:val="32"/>
          <w:szCs w:val="32"/>
        </w:rPr>
        <w:t>指标解释：衡量企业以自主知识产权参与国际竞争的能力，高新技术企业出口额比高新技术产品出口额更能反映本土创新型企业的国际竞争力。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3.6</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吸纳区外技术合同交易额</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both"/>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指标解释：指引进区外科技成果在高新区转化的交易额。反映高新区自治区外科技成果运用效果。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4.1</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有效开展科技服务的机构数量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科技服务机构是指从事以下服务的机构，包括：1.科学研究开发与服务；2.技术转移服务；3.创业孵化服务；4.知识产权服务；5.科技咨询服务；6.科技金融服务；7.检验检测认证服务；8.科学技术普及社会化服务；9.综合科技服务等。具体参见《国务院关于加快科技服务业发展的若干意见》（国发〔2014〕49号）和《内蒙古自治区人民政府关于加快科技服务业发展的意见》（内政发〔2015〕142号）。</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4.2</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盟</w:t>
      </w:r>
      <w:r>
        <w:rPr>
          <w:rFonts w:hint="eastAsia" w:ascii="黑体" w:hAnsi="黑体" w:eastAsia="黑体" w:cs="黑体"/>
          <w:b w:val="0"/>
          <w:bCs w:val="0"/>
          <w:sz w:val="32"/>
          <w:szCs w:val="32"/>
          <w:lang w:eastAsia="zh-CN"/>
        </w:rPr>
        <w:t>行政公署、</w:t>
      </w:r>
      <w:r>
        <w:rPr>
          <w:rFonts w:hint="eastAsia" w:ascii="黑体" w:hAnsi="黑体" w:eastAsia="黑体" w:cs="黑体"/>
          <w:b w:val="0"/>
          <w:bCs w:val="0"/>
          <w:sz w:val="32"/>
          <w:szCs w:val="32"/>
        </w:rPr>
        <w:t>市</w:t>
      </w:r>
      <w:r>
        <w:rPr>
          <w:rFonts w:hint="eastAsia" w:ascii="黑体" w:hAnsi="黑体" w:eastAsia="黑体" w:cs="黑体"/>
          <w:b w:val="0"/>
          <w:bCs w:val="0"/>
          <w:sz w:val="32"/>
          <w:szCs w:val="32"/>
          <w:lang w:eastAsia="zh-CN"/>
        </w:rPr>
        <w:t>人民</w:t>
      </w:r>
      <w:r>
        <w:rPr>
          <w:rFonts w:hint="eastAsia" w:ascii="黑体" w:hAnsi="黑体" w:eastAsia="黑体" w:cs="黑体"/>
          <w:b w:val="0"/>
          <w:bCs w:val="0"/>
          <w:sz w:val="32"/>
          <w:szCs w:val="32"/>
        </w:rPr>
        <w:t>政府</w:t>
      </w:r>
      <w:r>
        <w:rPr>
          <w:rFonts w:hint="eastAsia" w:ascii="黑体" w:hAnsi="黑体" w:eastAsia="黑体" w:cs="黑体"/>
          <w:b w:val="0"/>
          <w:bCs w:val="0"/>
          <w:sz w:val="32"/>
          <w:szCs w:val="32"/>
          <w:lang w:eastAsia="zh-CN"/>
        </w:rPr>
        <w:t>向</w:t>
      </w:r>
      <w:r>
        <w:rPr>
          <w:rFonts w:hint="eastAsia" w:ascii="黑体" w:hAnsi="黑体" w:eastAsia="黑体" w:cs="黑体"/>
          <w:b w:val="0"/>
          <w:bCs w:val="0"/>
          <w:sz w:val="32"/>
          <w:szCs w:val="32"/>
        </w:rPr>
        <w:t>高新区放权赋能情况</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计算方法：对参与评价的自治区高新区进行问卷调查，同时结合专家评分，进行综合判断。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指标解释：衡量高新区所在地政府赋予高新区相应的科技创新、产业促进、人才引进、市场准入、项目审批、财政金融等盟市级经济管理权限，深层次激活园区高质量发展潜能。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4.3</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高新区管理体制机制情况</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计算方法：对参与评价的自治区高新区进行问卷调查，同时结合专家评分，进行</w:t>
      </w:r>
      <w:bookmarkStart w:id="1" w:name="_GoBack"/>
      <w:bookmarkEnd w:id="1"/>
      <w:r>
        <w:rPr>
          <w:rFonts w:hint="eastAsia" w:ascii="仿宋" w:hAnsi="仿宋" w:eastAsia="仿宋" w:cs="仿宋"/>
          <w:bCs/>
          <w:kern w:val="0"/>
          <w:sz w:val="32"/>
          <w:szCs w:val="32"/>
        </w:rPr>
        <w:t>综合判断。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指标解释：衡量高新区管委会率先改革探索，不断提升综合管理和行政服务效能。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4.4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园区管委会可支配财力情况</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计算公式：高新区管委会当年可支配财力（没有一级财政的高新区使用“管委会管理并支出的园区发展专项资金额”代替）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4" w:firstLineChars="200"/>
        <w:contextualSpacing/>
        <w:textAlignment w:val="auto"/>
        <w:outlineLvl w:val="9"/>
        <w:rPr>
          <w:rFonts w:hint="eastAsia" w:ascii="仿宋" w:hAnsi="仿宋" w:eastAsia="仿宋" w:cs="仿宋"/>
          <w:bCs/>
          <w:spacing w:val="-4"/>
          <w:kern w:val="0"/>
          <w:sz w:val="32"/>
          <w:szCs w:val="32"/>
        </w:rPr>
      </w:pPr>
      <w:r>
        <w:rPr>
          <w:rFonts w:hint="eastAsia" w:ascii="仿宋" w:hAnsi="仿宋" w:eastAsia="仿宋" w:cs="仿宋"/>
          <w:bCs/>
          <w:spacing w:val="-4"/>
          <w:kern w:val="0"/>
          <w:sz w:val="32"/>
          <w:szCs w:val="32"/>
        </w:rPr>
        <w:t>指标解释：衡量主园区管委会整体财政实力，体现园区综合统筹各类资源的财政储备情况，也反映园区全面协调可持续发展的综合创新实力。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4.5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园区开展政策先行先试情况</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计算方法：对参与评价的自治区高新区进行问卷调查，同时结合专家评分，进行综合判断。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contextualSpacing/>
        <w:jc w:val="left"/>
        <w:textAlignment w:val="auto"/>
        <w:outlineLvl w:val="9"/>
        <w:rPr>
          <w:rFonts w:hint="eastAsia" w:ascii="仿宋" w:hAnsi="仿宋" w:eastAsia="仿宋" w:cs="仿宋"/>
          <w:bCs/>
          <w:kern w:val="0"/>
          <w:sz w:val="32"/>
          <w:szCs w:val="32"/>
        </w:rPr>
      </w:pPr>
      <w:r>
        <w:rPr>
          <w:rFonts w:hint="eastAsia" w:ascii="仿宋" w:hAnsi="仿宋" w:eastAsia="仿宋" w:cs="仿宋"/>
          <w:bCs/>
          <w:kern w:val="0"/>
          <w:sz w:val="32"/>
          <w:szCs w:val="32"/>
        </w:rPr>
        <w:t>指标解释：衡量园区管委会重视党建工作，严守党纪政纪，率先改革探索，不断提升综合管理和行政服务效能。</w:t>
      </w:r>
    </w:p>
    <w:p>
      <w:pPr>
        <w:rPr>
          <w:rFonts w:hint="eastAsia" w:eastAsia="宋体"/>
          <w:sz w:val="32"/>
          <w:szCs w:val="32"/>
          <w:lang w:eastAsia="zh-CN"/>
        </w:rPr>
      </w:pPr>
    </w:p>
    <w:p>
      <w:pPr>
        <w:contextualSpacing/>
        <w:jc w:val="left"/>
        <w:rPr>
          <w:rFonts w:hint="eastAsia"/>
          <w:sz w:val="32"/>
          <w:szCs w:val="32"/>
        </w:rPr>
      </w:pPr>
    </w:p>
    <w:p>
      <w:pPr>
        <w:contextualSpacing/>
        <w:jc w:val="left"/>
        <w:rPr>
          <w:rFonts w:hint="eastAsia"/>
          <w:sz w:val="32"/>
          <w:szCs w:val="32"/>
        </w:rPr>
      </w:pPr>
    </w:p>
    <w:p>
      <w:pPr>
        <w:contextualSpacing/>
        <w:jc w:val="left"/>
        <w:rPr>
          <w:rFonts w:hint="eastAsia"/>
          <w:sz w:val="32"/>
          <w:szCs w:val="32"/>
        </w:rPr>
      </w:pPr>
    </w:p>
    <w:p>
      <w:pPr>
        <w:contextualSpacing/>
        <w:jc w:val="left"/>
        <w:rPr>
          <w:rFonts w:hint="eastAsia"/>
          <w:sz w:val="32"/>
          <w:szCs w:val="32"/>
        </w:rPr>
      </w:pPr>
    </w:p>
    <w:p>
      <w:pPr>
        <w:contextualSpacing/>
        <w:jc w:val="left"/>
        <w:rPr>
          <w:rFonts w:hint="eastAsia"/>
          <w:sz w:val="32"/>
          <w:szCs w:val="32"/>
        </w:rPr>
      </w:pPr>
    </w:p>
    <w:p>
      <w:pPr>
        <w:contextualSpacing/>
        <w:jc w:val="left"/>
        <w:rPr>
          <w:rFonts w:hint="eastAsia"/>
          <w:sz w:val="32"/>
          <w:szCs w:val="32"/>
        </w:rPr>
      </w:pPr>
    </w:p>
    <w:p>
      <w:pPr>
        <w:contextualSpacing/>
        <w:jc w:val="left"/>
        <w:rPr>
          <w:rFonts w:hint="eastAsia"/>
          <w:sz w:val="32"/>
          <w:szCs w:val="32"/>
        </w:rPr>
      </w:pPr>
    </w:p>
    <w:tbl>
      <w:tblPr>
        <w:tblStyle w:val="7"/>
        <w:tblpPr w:leftFromText="180" w:rightFromText="180" w:vertAnchor="text" w:horzAnchor="page" w:tblpXSpec="center" w:tblpY="623"/>
        <w:tblOverlap w:val="never"/>
        <w:tblW w:w="889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3"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371FA"/>
    <w:multiLevelType w:val="singleLevel"/>
    <w:tmpl w:val="500371F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4CF3328"/>
    <w:rsid w:val="0533681A"/>
    <w:rsid w:val="06287AAD"/>
    <w:rsid w:val="074D26E8"/>
    <w:rsid w:val="07D44EC2"/>
    <w:rsid w:val="0C316EC4"/>
    <w:rsid w:val="0C3B00BC"/>
    <w:rsid w:val="0CF90FB4"/>
    <w:rsid w:val="0EB05F9B"/>
    <w:rsid w:val="0FDE6763"/>
    <w:rsid w:val="109104FE"/>
    <w:rsid w:val="13404ED0"/>
    <w:rsid w:val="1652FB00"/>
    <w:rsid w:val="17EE285A"/>
    <w:rsid w:val="1A7D41CF"/>
    <w:rsid w:val="1EDDE472"/>
    <w:rsid w:val="1FD3237E"/>
    <w:rsid w:val="20521969"/>
    <w:rsid w:val="21CE0EBF"/>
    <w:rsid w:val="24485B15"/>
    <w:rsid w:val="25E5B75B"/>
    <w:rsid w:val="26EF00E2"/>
    <w:rsid w:val="2B6FDD39"/>
    <w:rsid w:val="2FF3B89C"/>
    <w:rsid w:val="2FFDC960"/>
    <w:rsid w:val="2FFF03D5"/>
    <w:rsid w:val="31DE9514"/>
    <w:rsid w:val="32574C86"/>
    <w:rsid w:val="33FFEECE"/>
    <w:rsid w:val="377F0B2C"/>
    <w:rsid w:val="39FFF3AC"/>
    <w:rsid w:val="3AFE8591"/>
    <w:rsid w:val="3D6F34FB"/>
    <w:rsid w:val="3D9FFEAB"/>
    <w:rsid w:val="3EAB0813"/>
    <w:rsid w:val="3F7DB051"/>
    <w:rsid w:val="3FBA8390"/>
    <w:rsid w:val="3FF93F8D"/>
    <w:rsid w:val="43055E19"/>
    <w:rsid w:val="4BB12688"/>
    <w:rsid w:val="4BBFD446"/>
    <w:rsid w:val="4BD46107"/>
    <w:rsid w:val="4D794992"/>
    <w:rsid w:val="4EB058DD"/>
    <w:rsid w:val="4EF11DAF"/>
    <w:rsid w:val="51650C56"/>
    <w:rsid w:val="55AF2B43"/>
    <w:rsid w:val="55ED612C"/>
    <w:rsid w:val="55FF2E7D"/>
    <w:rsid w:val="59864ED9"/>
    <w:rsid w:val="5BAE3879"/>
    <w:rsid w:val="5BEF4001"/>
    <w:rsid w:val="5CFF22B5"/>
    <w:rsid w:val="5D380771"/>
    <w:rsid w:val="5DBF97B4"/>
    <w:rsid w:val="5DFF5543"/>
    <w:rsid w:val="5F9F465A"/>
    <w:rsid w:val="5FB94800"/>
    <w:rsid w:val="5FBF5B66"/>
    <w:rsid w:val="5FD77302"/>
    <w:rsid w:val="5FD7F8A1"/>
    <w:rsid w:val="5FFF8D95"/>
    <w:rsid w:val="64B86B45"/>
    <w:rsid w:val="66472655"/>
    <w:rsid w:val="69DB79AC"/>
    <w:rsid w:val="6AF8F276"/>
    <w:rsid w:val="6DBF6C60"/>
    <w:rsid w:val="6E1B7523"/>
    <w:rsid w:val="6F2C465B"/>
    <w:rsid w:val="6F7F5BEC"/>
    <w:rsid w:val="6FD6D32F"/>
    <w:rsid w:val="6FFD219B"/>
    <w:rsid w:val="717E2BF1"/>
    <w:rsid w:val="724B1E47"/>
    <w:rsid w:val="75183DED"/>
    <w:rsid w:val="75B7DF1D"/>
    <w:rsid w:val="75B82B98"/>
    <w:rsid w:val="75FD499A"/>
    <w:rsid w:val="76ABBA84"/>
    <w:rsid w:val="76FF6D64"/>
    <w:rsid w:val="77BD0B9E"/>
    <w:rsid w:val="788E816C"/>
    <w:rsid w:val="78A53398"/>
    <w:rsid w:val="7A3A1103"/>
    <w:rsid w:val="7ADEA79C"/>
    <w:rsid w:val="7BFF95D5"/>
    <w:rsid w:val="7D164783"/>
    <w:rsid w:val="7D3CF576"/>
    <w:rsid w:val="7DEF915E"/>
    <w:rsid w:val="7DFF3690"/>
    <w:rsid w:val="7E75B4BA"/>
    <w:rsid w:val="7E960D71"/>
    <w:rsid w:val="7F0A41B7"/>
    <w:rsid w:val="7F5D143D"/>
    <w:rsid w:val="7F7FA234"/>
    <w:rsid w:val="7F7FCA7F"/>
    <w:rsid w:val="7FBDF4A9"/>
    <w:rsid w:val="7FF95526"/>
    <w:rsid w:val="9EE3D9DD"/>
    <w:rsid w:val="9EEF9C38"/>
    <w:rsid w:val="AEE9DC47"/>
    <w:rsid w:val="BC3D7747"/>
    <w:rsid w:val="BDEB282C"/>
    <w:rsid w:val="BFF7C0EE"/>
    <w:rsid w:val="D66F07E4"/>
    <w:rsid w:val="D73B26FC"/>
    <w:rsid w:val="D7DEF29A"/>
    <w:rsid w:val="D7E65221"/>
    <w:rsid w:val="D8F9F69B"/>
    <w:rsid w:val="DB97650A"/>
    <w:rsid w:val="DDC2F1E3"/>
    <w:rsid w:val="DDD72BF8"/>
    <w:rsid w:val="DF691F01"/>
    <w:rsid w:val="DF9B924C"/>
    <w:rsid w:val="E2FF7FB7"/>
    <w:rsid w:val="E75F2544"/>
    <w:rsid w:val="EFB32FB7"/>
    <w:rsid w:val="EFDC60FA"/>
    <w:rsid w:val="F1BD688E"/>
    <w:rsid w:val="F5D1D9C9"/>
    <w:rsid w:val="F6EE8CEA"/>
    <w:rsid w:val="F6F3C687"/>
    <w:rsid w:val="F74484C8"/>
    <w:rsid w:val="F9FF87C2"/>
    <w:rsid w:val="FB5F694E"/>
    <w:rsid w:val="FBF57843"/>
    <w:rsid w:val="FC776FC4"/>
    <w:rsid w:val="FCBFCFE0"/>
    <w:rsid w:val="FDBE74EB"/>
    <w:rsid w:val="FDF7EA0F"/>
    <w:rsid w:val="FDFF330F"/>
    <w:rsid w:val="FDFFE072"/>
    <w:rsid w:val="FF3F44A0"/>
    <w:rsid w:val="FF53A13C"/>
    <w:rsid w:val="FF77CE0F"/>
    <w:rsid w:val="FFAF4BDE"/>
    <w:rsid w:val="FFBF6935"/>
    <w:rsid w:val="FFD1DE84"/>
    <w:rsid w:val="FFEDE530"/>
    <w:rsid w:val="FFFDF3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4"/>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正文缩进1"/>
    <w:basedOn w:val="1"/>
    <w:qFormat/>
    <w:uiPriority w:val="0"/>
    <w:pPr>
      <w:spacing w:line="660" w:lineRule="exact"/>
      <w:ind w:firstLine="720" w:firstLineChars="200"/>
    </w:pPr>
    <w:rPr>
      <w:rFonts w:ascii="Calibri" w:hAnsi="Calibri" w:eastAsia="楷体_GB2312" w:cs="Mongolian Baiti"/>
      <w:sz w:val="36"/>
      <w:szCs w:val="28"/>
      <w:lang w:bidi="mn-Mong-CN"/>
    </w:rPr>
  </w:style>
  <w:style w:type="paragraph" w:customStyle="1" w:styleId="12">
    <w:name w:val="_Style 1"/>
    <w:basedOn w:val="1"/>
    <w:qFormat/>
    <w:uiPriority w:val="99"/>
    <w:pPr>
      <w:ind w:firstLine="420" w:firstLineChars="200"/>
    </w:pPr>
    <w:rPr>
      <w:rFonts w:ascii="Calibri" w:hAnsi="Calibri" w:eastAsia="宋体" w:cs="Mongolian Baiti"/>
      <w:szCs w:val="28"/>
      <w:lang w:bidi="mn-Mong-CN"/>
    </w:rPr>
  </w:style>
  <w:style w:type="paragraph" w:styleId="13">
    <w:name w:val="List Paragraph"/>
    <w:basedOn w:val="1"/>
    <w:qFormat/>
    <w:uiPriority w:val="99"/>
    <w:pPr>
      <w:ind w:firstLine="420" w:firstLineChars="200"/>
    </w:pPr>
    <w:rPr>
      <w:rFonts w:ascii="Calibri" w:hAnsi="Calibri" w:eastAsia="宋体" w:cs="Mongolian Baiti"/>
      <w:szCs w:val="28"/>
      <w:lang w:bidi="mn-Mong-CN"/>
    </w:rPr>
  </w:style>
  <w:style w:type="character" w:customStyle="1" w:styleId="14">
    <w:name w:val=" Char Char2"/>
    <w:basedOn w:val="9"/>
    <w:link w:val="3"/>
    <w:uiPriority w:val="0"/>
    <w:rPr>
      <w:rFonts w:ascii="仿宋_GB2312" w:hAnsi="Times New Roman" w:eastAsia="仿宋_GB2312" w:cs="Times New Roman"/>
      <w:kern w:val="2"/>
      <w:sz w:val="32"/>
      <w:szCs w:val="24"/>
      <w:lang w:bidi="ar-SA"/>
    </w:rPr>
  </w:style>
  <w:style w:type="character" w:customStyle="1" w:styleId="15">
    <w:name w:val=" Char Char"/>
    <w:basedOn w:val="9"/>
    <w:link w:val="5"/>
    <w:semiHidden/>
    <w:uiPriority w:val="99"/>
    <w:rPr>
      <w:rFonts w:ascii="Calibri" w:hAnsi="Calibri" w:eastAsia="宋体" w:cs="Mongolian Baiti"/>
      <w:kern w:val="2"/>
      <w:sz w:val="18"/>
      <w:szCs w:val="22"/>
    </w:rPr>
  </w:style>
  <w:style w:type="character" w:customStyle="1" w:styleId="16">
    <w:name w:val=" Char Char1"/>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2022-03-07T10:00:54Z</cp:lastPrinted>
  <dcterms:modified xsi:type="dcterms:W3CDTF">2022-03-10T07:33:04Z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