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小标宋_GBK" w:hAnsi="方正小标宋_GBK" w:eastAsia="方正小标宋_GBK" w:cs="方正小标宋_GBK"/>
          <w:sz w:val="44"/>
          <w:szCs w:val="44"/>
        </w:rPr>
      </w:pPr>
      <w:bookmarkStart w:id="0" w:name="缓急"/>
      <w:bookmarkEnd w:id="0"/>
      <w:r>
        <w:rPr>
          <w:rFonts w:hint="eastAsia" w:ascii="黑体" w:eastAsia="黑体"/>
          <w:sz w:val="32"/>
          <w:szCs w:val="32"/>
          <w:lang w:eastAsia="zh-CN"/>
        </w:rPr>
        <w:t>　</w:t>
      </w: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snapToGrid/>
        <w:spacing w:line="740" w:lineRule="exact"/>
        <w:jc w:val="center"/>
        <w:textAlignment w:val="auto"/>
        <w:rPr>
          <w:rFonts w:hint="eastAsia" w:ascii="方正小标宋_GBK" w:hAnsi="方正小标宋_GBK" w:eastAsia="方正小标宋_GBK" w:cs="方正小标宋_GBK"/>
          <w:sz w:val="44"/>
          <w:szCs w:val="44"/>
          <w:lang w:eastAsia="zh-CN"/>
        </w:rPr>
      </w:pPr>
      <w:bookmarkStart w:id="1" w:name="标题"/>
      <w:bookmarkEnd w:id="1"/>
      <w:r>
        <w:rPr>
          <w:rFonts w:hint="eastAsia" w:ascii="方正小标宋_GBK" w:hAnsi="方正小标宋_GBK" w:eastAsia="方正小标宋_GBK" w:cs="方正小标宋_GBK"/>
          <w:sz w:val="44"/>
          <w:szCs w:val="44"/>
          <w:lang w:eastAsia="zh-CN"/>
        </w:rPr>
        <w:t>内蒙古自治区人民政府关于印发自治区</w:t>
      </w:r>
    </w:p>
    <w:p>
      <w:pPr>
        <w:keepNext w:val="0"/>
        <w:keepLines w:val="0"/>
        <w:pageBreakBefore w:val="0"/>
        <w:widowControl w:val="0"/>
        <w:kinsoku/>
        <w:wordWrap/>
        <w:overflowPunct/>
        <w:topLinePunct/>
        <w:autoSpaceDE/>
        <w:autoSpaceDN/>
        <w:bidi w:val="0"/>
        <w:adjustRightInd/>
        <w:snapToGrid/>
        <w:spacing w:line="7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理顺公路交通投资建设体制机制</w:t>
      </w:r>
    </w:p>
    <w:p>
      <w:pPr>
        <w:keepNext w:val="0"/>
        <w:keepLines w:val="0"/>
        <w:pageBreakBefore w:val="0"/>
        <w:widowControl w:val="0"/>
        <w:kinsoku/>
        <w:wordWrap/>
        <w:overflowPunct/>
        <w:topLinePunct/>
        <w:autoSpaceDE/>
        <w:autoSpaceDN/>
        <w:bidi w:val="0"/>
        <w:adjustRightInd/>
        <w:snapToGrid/>
        <w:spacing w:line="7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六条政策措施的通知</w:t>
      </w:r>
    </w:p>
    <w:p>
      <w:pPr>
        <w:keepNext w:val="0"/>
        <w:keepLines w:val="0"/>
        <w:pageBreakBefore w:val="0"/>
        <w:widowControl w:val="0"/>
        <w:kinsoku/>
        <w:wordWrap/>
        <w:overflowPunct/>
        <w:topLinePunct/>
        <w:autoSpaceDE/>
        <w:autoSpaceDN/>
        <w:bidi w:val="0"/>
        <w:adjustRightInd/>
        <w:snapToGrid/>
        <w:spacing w:line="74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内政发〔2022〕29号</w:t>
      </w:r>
    </w:p>
    <w:p>
      <w:pPr>
        <w:keepNext w:val="0"/>
        <w:keepLines w:val="0"/>
        <w:pageBreakBefore w:val="0"/>
        <w:widowControl w:val="0"/>
        <w:kinsoku/>
        <w:wordWrap/>
        <w:overflowPunct/>
        <w:topLinePunct/>
        <w:autoSpaceDE/>
        <w:autoSpaceDN/>
        <w:bidi w:val="0"/>
        <w:adjustRightInd/>
        <w:snapToGrid/>
        <w:spacing w:line="740" w:lineRule="exact"/>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740" w:lineRule="exact"/>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740" w:lineRule="exact"/>
        <w:ind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现将《内蒙古自治区理顺公路交通投资建设体制机制六条政策措施》印发给你们，请结合实际，认真贯彻落实。</w:t>
      </w:r>
    </w:p>
    <w:p>
      <w:pPr>
        <w:keepNext w:val="0"/>
        <w:keepLines w:val="0"/>
        <w:pageBreakBefore w:val="0"/>
        <w:widowControl w:val="0"/>
        <w:kinsoku/>
        <w:wordWrap/>
        <w:overflowPunct/>
        <w:topLinePunct/>
        <w:autoSpaceDE/>
        <w:autoSpaceDN/>
        <w:bidi w:val="0"/>
        <w:spacing w:line="580" w:lineRule="exact"/>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p>
    <w:p>
      <w:pPr>
        <w:keepNext w:val="0"/>
        <w:keepLines w:val="0"/>
        <w:pageBreakBefore w:val="0"/>
        <w:widowControl w:val="0"/>
        <w:kinsoku/>
        <w:wordWrap/>
        <w:overflowPunct/>
        <w:topLinePunct/>
        <w:autoSpaceDE/>
        <w:autoSpaceDN/>
        <w:bidi w:val="0"/>
        <w:spacing w:line="58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tabs>
          <w:tab w:val="left" w:pos="7560"/>
        </w:tabs>
        <w:kinsoku/>
        <w:wordWrap/>
        <w:overflowPunct/>
        <w:topLinePunct/>
        <w:autoSpaceDE/>
        <w:autoSpaceDN/>
        <w:bidi w:val="0"/>
        <w:spacing w:line="580" w:lineRule="exact"/>
        <w:ind w:firstLine="5120" w:firstLineChars="16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2022年10月3日</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（此件公开发布）</w:t>
      </w:r>
    </w:p>
    <w:p>
      <w:pPr>
        <w:keepNext w:val="0"/>
        <w:keepLines w:val="0"/>
        <w:pageBreakBefore w:val="0"/>
        <w:widowControl w:val="0"/>
        <w:kinsoku/>
        <w:wordWrap/>
        <w:overflowPunct/>
        <w:topLinePunct/>
        <w:autoSpaceDE/>
        <w:autoSpaceDN/>
        <w:bidi w:val="0"/>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autoSpaceDE/>
        <w:autoSpaceDN/>
        <w:bidi w:val="0"/>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autoSpaceDE/>
        <w:autoSpaceDN/>
        <w:bidi w:val="0"/>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autoSpaceDE/>
        <w:autoSpaceDN/>
        <w:bidi w:val="0"/>
        <w:snapToGrid/>
        <w:spacing w:line="5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内蒙古自治区理</w:t>
      </w:r>
      <w:r>
        <w:rPr>
          <w:rFonts w:hint="eastAsia" w:ascii="方正小标宋_GBK" w:hAnsi="方正小标宋_GBK" w:eastAsia="方正小标宋_GBK" w:cs="方正小标宋_GBK"/>
          <w:b w:val="0"/>
          <w:bCs w:val="0"/>
          <w:sz w:val="44"/>
          <w:szCs w:val="44"/>
        </w:rPr>
        <w:t>顺公路交通</w:t>
      </w:r>
    </w:p>
    <w:p>
      <w:pPr>
        <w:keepNext w:val="0"/>
        <w:keepLines w:val="0"/>
        <w:pageBreakBefore w:val="0"/>
        <w:widowControl w:val="0"/>
        <w:kinsoku/>
        <w:wordWrap/>
        <w:overflowPunct/>
        <w:topLinePunct/>
        <w:autoSpaceDE/>
        <w:autoSpaceDN/>
        <w:bidi w:val="0"/>
        <w:snapToGrid/>
        <w:spacing w:line="5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投资建设体制机制六条政策措施</w:t>
      </w:r>
    </w:p>
    <w:p>
      <w:pPr>
        <w:keepNext w:val="0"/>
        <w:keepLines w:val="0"/>
        <w:pageBreakBefore w:val="0"/>
        <w:widowControl w:val="0"/>
        <w:kinsoku/>
        <w:wordWrap/>
        <w:overflowPunct/>
        <w:topLinePunct/>
        <w:autoSpaceDE/>
        <w:autoSpaceDN/>
        <w:bidi w:val="0"/>
        <w:snapToGrid/>
        <w:spacing w:line="580" w:lineRule="exact"/>
        <w:jc w:val="both"/>
        <w:textAlignment w:val="auto"/>
        <w:rPr>
          <w:rFonts w:hint="eastAsia" w:ascii="仿宋" w:hAnsi="仿宋" w:eastAsia="仿宋" w:cs="仿宋"/>
          <w:b w:val="0"/>
          <w:bCs w:val="0"/>
          <w:sz w:val="32"/>
          <w:szCs w:val="32"/>
        </w:rPr>
      </w:pPr>
    </w:p>
    <w:p>
      <w:pPr>
        <w:pStyle w:val="8"/>
        <w:keepNext w:val="0"/>
        <w:keepLines w:val="0"/>
        <w:pageBreakBefore w:val="0"/>
        <w:widowControl w:val="0"/>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为适应新形势</w:t>
      </w:r>
      <w:r>
        <w:rPr>
          <w:rFonts w:hint="eastAsia" w:ascii="仿宋" w:hAnsi="仿宋" w:eastAsia="仿宋" w:cs="仿宋"/>
          <w:b w:val="0"/>
          <w:bCs w:val="0"/>
          <w:sz w:val="32"/>
          <w:szCs w:val="32"/>
          <w:lang w:eastAsia="zh-CN"/>
        </w:rPr>
        <w:t>新任务</w:t>
      </w:r>
      <w:r>
        <w:rPr>
          <w:rFonts w:hint="eastAsia" w:ascii="仿宋" w:hAnsi="仿宋" w:eastAsia="仿宋" w:cs="仿宋"/>
          <w:b w:val="0"/>
          <w:bCs w:val="0"/>
          <w:sz w:val="32"/>
          <w:szCs w:val="32"/>
        </w:rPr>
        <w:t>新要求，确保“十四五”公路交通规划任务顺利完成，在《内蒙古自治区人民政府关于加快现代综合交通基础设施建设的意见》（内政发〔2017〕82号）基础上，现就理顺公路交通投资建设体制机制提出如下政策措施。</w:t>
      </w:r>
    </w:p>
    <w:p>
      <w:pPr>
        <w:pStyle w:val="8"/>
        <w:keepNext w:val="0"/>
        <w:keepLines w:val="0"/>
        <w:pageBreakBefore w:val="0"/>
        <w:widowControl w:val="0"/>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理顺投资建设体制</w:t>
      </w:r>
    </w:p>
    <w:p>
      <w:pPr>
        <w:pStyle w:val="8"/>
        <w:keepNext w:val="0"/>
        <w:keepLines w:val="0"/>
        <w:pageBreakBefore w:val="0"/>
        <w:widowControl w:val="0"/>
        <w:numPr>
          <w:ilvl w:val="0"/>
          <w:numId w:val="0"/>
        </w:numPr>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充分发挥自治区国有交通企业职能作用，集聚资源要素，自治区确定本级国有交通企业作为本级重点公路项目投资建设主</w:t>
      </w:r>
      <w:r>
        <w:rPr>
          <w:rFonts w:hint="eastAsia" w:ascii="仿宋" w:hAnsi="仿宋" w:eastAsia="仿宋" w:cs="仿宋"/>
          <w:b w:val="0"/>
          <w:bCs w:val="0"/>
          <w:spacing w:val="6"/>
          <w:sz w:val="32"/>
          <w:szCs w:val="32"/>
        </w:rPr>
        <w:t>体，盟市、旗县</w:t>
      </w:r>
      <w:r>
        <w:rPr>
          <w:rFonts w:hint="eastAsia" w:ascii="仿宋" w:hAnsi="仿宋" w:eastAsia="仿宋" w:cs="仿宋"/>
          <w:b w:val="0"/>
          <w:bCs w:val="0"/>
          <w:spacing w:val="6"/>
          <w:sz w:val="32"/>
          <w:szCs w:val="32"/>
          <w:lang w:eastAsia="zh-CN"/>
        </w:rPr>
        <w:t>（市、区）</w:t>
      </w:r>
      <w:r>
        <w:rPr>
          <w:rFonts w:hint="eastAsia" w:ascii="仿宋" w:hAnsi="仿宋" w:eastAsia="仿宋" w:cs="仿宋"/>
          <w:b w:val="0"/>
          <w:bCs w:val="0"/>
          <w:spacing w:val="6"/>
          <w:sz w:val="32"/>
          <w:szCs w:val="32"/>
        </w:rPr>
        <w:t>根据筹资主体层级可确定同级国有交通企业作为公路投资建设主体</w:t>
      </w:r>
      <w:r>
        <w:rPr>
          <w:rFonts w:hint="eastAsia" w:ascii="仿宋" w:hAnsi="仿宋" w:eastAsia="仿宋" w:cs="仿宋"/>
          <w:b w:val="0"/>
          <w:bCs w:val="0"/>
          <w:spacing w:val="6"/>
          <w:kern w:val="2"/>
          <w:sz w:val="32"/>
          <w:szCs w:val="32"/>
        </w:rPr>
        <w:t>，逐步构建责权利对等的投资建设体制</w:t>
      </w:r>
      <w:r>
        <w:rPr>
          <w:rFonts w:hint="eastAsia" w:ascii="仿宋" w:hAnsi="仿宋" w:eastAsia="仿宋" w:cs="仿宋"/>
          <w:b w:val="0"/>
          <w:bCs w:val="0"/>
          <w:spacing w:val="6"/>
          <w:sz w:val="32"/>
          <w:szCs w:val="32"/>
        </w:rPr>
        <w:t>，建立全生命周期项目投资管理模式，激发企业内生动力。</w:t>
      </w:r>
    </w:p>
    <w:p>
      <w:pPr>
        <w:pStyle w:val="8"/>
        <w:keepNext w:val="0"/>
        <w:keepLines w:val="0"/>
        <w:pageBreakBefore w:val="0"/>
        <w:widowControl w:val="0"/>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二、拓宽筹融资渠道</w:t>
      </w:r>
    </w:p>
    <w:p>
      <w:pPr>
        <w:pStyle w:val="8"/>
        <w:keepNext w:val="0"/>
        <w:keepLines w:val="0"/>
        <w:pageBreakBefore w:val="0"/>
        <w:widowControl w:val="0"/>
        <w:numPr>
          <w:ilvl w:val="0"/>
          <w:numId w:val="0"/>
        </w:numPr>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sz w:val="32"/>
          <w:szCs w:val="32"/>
        </w:rPr>
        <w:t>加大公路项目</w:t>
      </w:r>
      <w:r>
        <w:rPr>
          <w:rFonts w:hint="eastAsia" w:ascii="仿宋" w:hAnsi="仿宋" w:eastAsia="仿宋" w:cs="仿宋"/>
          <w:b w:val="0"/>
          <w:bCs w:val="0"/>
          <w:sz w:val="32"/>
          <w:szCs w:val="32"/>
          <w:lang w:eastAsia="zh-CN"/>
        </w:rPr>
        <w:t>政府和社会资本合作（</w:t>
      </w:r>
      <w:r>
        <w:rPr>
          <w:rFonts w:hint="eastAsia" w:ascii="仿宋" w:hAnsi="仿宋" w:eastAsia="仿宋" w:cs="仿宋"/>
          <w:b w:val="0"/>
          <w:bCs w:val="0"/>
          <w:sz w:val="32"/>
          <w:szCs w:val="32"/>
        </w:rPr>
        <w:t>PPP</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等模式推进力度，利用好国家新出台的政策性开发性金融工具，必要时给予可行性缺口补助。加大政府专项债券向公路建设项目倾斜力度。深化与金融机构合作，在依法合规、风险可控的前提下，支持通过资产证券化（ABS）和发行基础设施领域不动产投资信托基金（REITs）等多种方式盘活存量资产，引导和撬动社会资本参与公路交通建设。</w:t>
      </w:r>
      <w:r>
        <w:rPr>
          <w:rFonts w:hint="eastAsia" w:ascii="仿宋" w:hAnsi="仿宋" w:eastAsia="仿宋" w:cs="仿宋"/>
          <w:b w:val="0"/>
          <w:bCs w:val="0"/>
          <w:color w:val="000000"/>
          <w:sz w:val="32"/>
          <w:szCs w:val="32"/>
        </w:rPr>
        <w:t>支持保险资金以权益性资金性质参与公路交通建设。</w:t>
      </w:r>
    </w:p>
    <w:p>
      <w:pPr>
        <w:pStyle w:val="8"/>
        <w:keepNext w:val="0"/>
        <w:keepLines w:val="0"/>
        <w:pageBreakBefore w:val="0"/>
        <w:widowControl w:val="0"/>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三、建立健全规划衔接机制</w:t>
      </w:r>
    </w:p>
    <w:p>
      <w:pPr>
        <w:pStyle w:val="8"/>
        <w:keepNext w:val="0"/>
        <w:keepLines w:val="0"/>
        <w:pageBreakBefore w:val="0"/>
        <w:widowControl w:val="0"/>
        <w:numPr>
          <w:ilvl w:val="0"/>
          <w:numId w:val="0"/>
        </w:numPr>
        <w:shd w:val="clear" w:color="auto" w:fill="FFFFFF"/>
        <w:kinsoku/>
        <w:wordWrap/>
        <w:overflowPunct/>
        <w:topLinePunct/>
        <w:autoSpaceDE/>
        <w:autoSpaceDN/>
        <w:bidi w:val="0"/>
        <w:adjustRightInd w:val="0"/>
        <w:snapToGrid/>
        <w:spacing w:before="0" w:beforeAutospacing="0" w:after="0" w:afterAutospacing="0" w:line="580" w:lineRule="exact"/>
        <w:ind w:firstLine="664" w:firstLineChars="200"/>
        <w:contextualSpacing/>
        <w:jc w:val="both"/>
        <w:textAlignment w:val="auto"/>
        <w:rPr>
          <w:rFonts w:hint="eastAsia" w:ascii="仿宋" w:hAnsi="仿宋" w:eastAsia="仿宋" w:cs="仿宋"/>
          <w:b w:val="0"/>
          <w:bCs w:val="0"/>
          <w:sz w:val="32"/>
          <w:szCs w:val="32"/>
        </w:rPr>
      </w:pPr>
      <w:r>
        <w:rPr>
          <w:rFonts w:hint="eastAsia" w:ascii="仿宋" w:hAnsi="仿宋" w:eastAsia="仿宋" w:cs="仿宋"/>
          <w:b w:val="0"/>
          <w:bCs w:val="0"/>
          <w:spacing w:val="6"/>
          <w:sz w:val="32"/>
          <w:szCs w:val="32"/>
        </w:rPr>
        <w:t>加强公路交通与国土空间、生态保护、林草、水利、文旅、</w:t>
      </w:r>
      <w:r>
        <w:rPr>
          <w:rFonts w:hint="eastAsia" w:ascii="仿宋" w:hAnsi="仿宋" w:eastAsia="仿宋" w:cs="仿宋"/>
          <w:b w:val="0"/>
          <w:bCs w:val="0"/>
          <w:sz w:val="32"/>
          <w:szCs w:val="32"/>
        </w:rPr>
        <w:t>能源等规划</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衔接。优先支持公路交通项目纳入全区各级国土空间规划，线性交通工程廊道和线位可结合国土空间规划“一年一体检、五年一评估”要求进行动态调整。加强城市道路与高速公路、干线公路的线位、标准、实施时序等有效衔接。</w:t>
      </w:r>
    </w:p>
    <w:p>
      <w:pPr>
        <w:pStyle w:val="8"/>
        <w:keepNext w:val="0"/>
        <w:keepLines w:val="0"/>
        <w:pageBreakBefore w:val="0"/>
        <w:widowControl w:val="0"/>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四、加大用地保障力度</w:t>
      </w:r>
    </w:p>
    <w:p>
      <w:pPr>
        <w:pStyle w:val="8"/>
        <w:keepNext w:val="0"/>
        <w:keepLines w:val="0"/>
        <w:pageBreakBefore w:val="0"/>
        <w:widowControl w:val="0"/>
        <w:numPr>
          <w:ilvl w:val="0"/>
          <w:numId w:val="0"/>
        </w:numPr>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仿宋" w:hAnsi="仿宋" w:eastAsia="仿宋" w:cs="仿宋"/>
          <w:b w:val="0"/>
          <w:bCs w:val="0"/>
          <w:color w:val="FF0000"/>
          <w:sz w:val="32"/>
          <w:szCs w:val="32"/>
        </w:rPr>
      </w:pPr>
      <w:r>
        <w:rPr>
          <w:rFonts w:hint="eastAsia" w:ascii="仿宋" w:hAnsi="仿宋" w:eastAsia="仿宋" w:cs="仿宋"/>
          <w:b w:val="0"/>
          <w:bCs w:val="0"/>
          <w:sz w:val="32"/>
          <w:szCs w:val="32"/>
        </w:rPr>
        <w:t>优先保障公路建设项目新增建设用地和补充耕地指标，补充耕地指标实行自治区内统筹解决。国家重点公路建设项目控制工期的单体工程和急需动工建设特殊段落，给予先行用地和占用林</w:t>
      </w:r>
      <w:r>
        <w:rPr>
          <w:rFonts w:hint="eastAsia" w:ascii="仿宋" w:hAnsi="仿宋" w:eastAsia="仿宋" w:cs="仿宋"/>
          <w:b w:val="0"/>
          <w:bCs w:val="0"/>
          <w:spacing w:val="6"/>
          <w:sz w:val="32"/>
          <w:szCs w:val="32"/>
          <w:lang w:eastAsia="zh-CN"/>
        </w:rPr>
        <w:t>地、</w:t>
      </w:r>
      <w:r>
        <w:rPr>
          <w:rFonts w:hint="eastAsia" w:ascii="仿宋" w:hAnsi="仿宋" w:eastAsia="仿宋" w:cs="仿宋"/>
          <w:b w:val="0"/>
          <w:bCs w:val="0"/>
          <w:spacing w:val="6"/>
          <w:sz w:val="32"/>
          <w:szCs w:val="32"/>
        </w:rPr>
        <w:t>草</w:t>
      </w:r>
      <w:r>
        <w:rPr>
          <w:rFonts w:hint="eastAsia" w:ascii="仿宋" w:hAnsi="仿宋" w:eastAsia="仿宋" w:cs="仿宋"/>
          <w:b w:val="0"/>
          <w:bCs w:val="0"/>
          <w:spacing w:val="6"/>
          <w:sz w:val="32"/>
          <w:szCs w:val="32"/>
          <w:lang w:eastAsia="zh-CN"/>
        </w:rPr>
        <w:t>原</w:t>
      </w:r>
      <w:r>
        <w:rPr>
          <w:rFonts w:hint="eastAsia" w:ascii="仿宋" w:hAnsi="仿宋" w:eastAsia="仿宋" w:cs="仿宋"/>
          <w:b w:val="0"/>
          <w:bCs w:val="0"/>
          <w:spacing w:val="6"/>
          <w:sz w:val="32"/>
          <w:szCs w:val="32"/>
        </w:rPr>
        <w:t>支持。其他项目中存在特殊控制工程需要先行开工的，</w:t>
      </w:r>
      <w:r>
        <w:rPr>
          <w:rFonts w:hint="eastAsia" w:ascii="仿宋" w:hAnsi="仿宋" w:eastAsia="仿宋" w:cs="仿宋"/>
          <w:b w:val="0"/>
          <w:bCs w:val="0"/>
          <w:sz w:val="32"/>
          <w:szCs w:val="32"/>
        </w:rPr>
        <w:t>在项目工程可行性研究报告中合理确定分期实施方案，其控制性节点工程可单独设计并报批建设用地。</w:t>
      </w:r>
    </w:p>
    <w:p>
      <w:pPr>
        <w:pStyle w:val="8"/>
        <w:keepNext w:val="0"/>
        <w:keepLines w:val="0"/>
        <w:pageBreakBefore w:val="0"/>
        <w:widowControl w:val="0"/>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五、优化前期审批流程</w:t>
      </w:r>
    </w:p>
    <w:p>
      <w:pPr>
        <w:pStyle w:val="8"/>
        <w:keepNext w:val="0"/>
        <w:keepLines w:val="0"/>
        <w:pageBreakBefore w:val="0"/>
        <w:widowControl w:val="0"/>
        <w:numPr>
          <w:ilvl w:val="0"/>
          <w:numId w:val="0"/>
        </w:numPr>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推行并联审查审批、平行作业。强化全国投资项目在线审批</w:t>
      </w:r>
      <w:r>
        <w:rPr>
          <w:rFonts w:hint="eastAsia" w:ascii="仿宋" w:hAnsi="仿宋" w:eastAsia="仿宋" w:cs="仿宋"/>
          <w:b w:val="0"/>
          <w:bCs w:val="0"/>
          <w:spacing w:val="6"/>
          <w:sz w:val="32"/>
          <w:szCs w:val="32"/>
        </w:rPr>
        <w:t>监管平台应用，确保平台提交的资料实现互联互通和数据共享。</w:t>
      </w:r>
      <w:r>
        <w:rPr>
          <w:rFonts w:hint="eastAsia" w:ascii="仿宋" w:hAnsi="仿宋" w:eastAsia="仿宋" w:cs="仿宋"/>
          <w:b w:val="0"/>
          <w:bCs w:val="0"/>
          <w:sz w:val="32"/>
          <w:szCs w:val="32"/>
        </w:rPr>
        <w:t>实行公路建设项目支撑性文件并联审批，在工程可行性研究阶段，林草、自然资源、文物等部门应提前对项目是否穿过生态敏感点、压覆重要矿产资源、重要文物等出具核查意见。重点工程可行性研究和勘测设计工作可以相互交叉进行，在路线布设和建设方案基本确定的前提下，可提前开展勘测设计等工作。</w:t>
      </w:r>
    </w:p>
    <w:p>
      <w:pPr>
        <w:pStyle w:val="8"/>
        <w:keepNext w:val="0"/>
        <w:keepLines w:val="0"/>
        <w:pageBreakBefore w:val="0"/>
        <w:widowControl w:val="0"/>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六、支持充电基础设施建设</w:t>
      </w:r>
    </w:p>
    <w:p>
      <w:pPr>
        <w:pStyle w:val="8"/>
        <w:keepNext w:val="0"/>
        <w:keepLines w:val="0"/>
        <w:pageBreakBefore w:val="0"/>
        <w:widowControl w:val="0"/>
        <w:numPr>
          <w:ilvl w:val="0"/>
          <w:numId w:val="0"/>
        </w:numPr>
        <w:shd w:val="clear" w:color="auto" w:fill="FFFFFF"/>
        <w:kinsoku/>
        <w:wordWrap/>
        <w:overflowPunct/>
        <w:topLinePunct/>
        <w:autoSpaceDE/>
        <w:autoSpaceDN/>
        <w:bidi w:val="0"/>
        <w:adjustRightInd w:val="0"/>
        <w:snapToGrid/>
        <w:spacing w:before="0" w:beforeAutospacing="0" w:after="0" w:afterAutospacing="0" w:line="580" w:lineRule="exact"/>
        <w:ind w:firstLine="640" w:firstLineChars="200"/>
        <w:contextualSpacing/>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加快推进新能源汽车充电基础设施建设，优化公路沿线充电设施布局。根据</w:t>
      </w:r>
      <w:r>
        <w:rPr>
          <w:rFonts w:hint="eastAsia" w:ascii="仿宋" w:hAnsi="仿宋" w:eastAsia="仿宋" w:cs="仿宋"/>
          <w:b w:val="0"/>
          <w:bCs w:val="0"/>
          <w:sz w:val="32"/>
          <w:szCs w:val="32"/>
          <w:lang w:eastAsia="zh-CN"/>
        </w:rPr>
        <w:t>公路</w:t>
      </w:r>
      <w:r>
        <w:rPr>
          <w:rFonts w:hint="eastAsia" w:ascii="仿宋" w:hAnsi="仿宋" w:eastAsia="仿宋" w:cs="仿宋"/>
          <w:b w:val="0"/>
          <w:bCs w:val="0"/>
          <w:sz w:val="32"/>
          <w:szCs w:val="32"/>
        </w:rPr>
        <w:t>交通实际需求，按照规定给予电力增容政策支持和费用减免。利用公路沿线土地、服务区、养护站所和收费站所等空间资源，布局分布式光伏发电项目，打造交通能源自给系统，确保交通行业发电全额自发自用。</w:t>
      </w:r>
    </w:p>
    <w:p>
      <w:pPr>
        <w:keepNext w:val="0"/>
        <w:keepLines w:val="0"/>
        <w:pageBreakBefore w:val="0"/>
        <w:widowControl w:val="0"/>
        <w:tabs>
          <w:tab w:val="left" w:pos="2748"/>
        </w:tabs>
        <w:kinsoku/>
        <w:wordWrap/>
        <w:overflowPunct/>
        <w:topLinePunct/>
        <w:autoSpaceDE/>
        <w:autoSpaceDN/>
        <w:bidi w:val="0"/>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本文件所列政策与内政发〔2017〕82号</w:t>
      </w:r>
      <w:r>
        <w:rPr>
          <w:rFonts w:hint="eastAsia" w:ascii="仿宋" w:hAnsi="仿宋" w:eastAsia="仿宋" w:cs="仿宋"/>
          <w:b w:val="0"/>
          <w:bCs w:val="0"/>
          <w:sz w:val="32"/>
          <w:szCs w:val="32"/>
          <w:lang w:eastAsia="zh-CN"/>
        </w:rPr>
        <w:t>文件</w:t>
      </w:r>
      <w:r>
        <w:rPr>
          <w:rFonts w:hint="eastAsia" w:ascii="仿宋" w:hAnsi="仿宋" w:eastAsia="仿宋" w:cs="仿宋"/>
          <w:b w:val="0"/>
          <w:bCs w:val="0"/>
          <w:sz w:val="32"/>
          <w:szCs w:val="32"/>
        </w:rPr>
        <w:t>内容不一致的，以</w:t>
      </w:r>
      <w:r>
        <w:rPr>
          <w:rFonts w:hint="eastAsia" w:ascii="仿宋" w:hAnsi="仿宋" w:eastAsia="仿宋" w:cs="仿宋"/>
          <w:b w:val="0"/>
          <w:bCs w:val="0"/>
          <w:sz w:val="32"/>
          <w:szCs w:val="32"/>
          <w:lang w:eastAsia="zh-CN"/>
        </w:rPr>
        <w:t>本</w:t>
      </w:r>
      <w:r>
        <w:rPr>
          <w:rFonts w:hint="eastAsia" w:ascii="仿宋" w:hAnsi="仿宋" w:eastAsia="仿宋" w:cs="仿宋"/>
          <w:b w:val="0"/>
          <w:bCs w:val="0"/>
          <w:sz w:val="32"/>
          <w:szCs w:val="32"/>
        </w:rPr>
        <w:t>文件为准。</w:t>
      </w: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bookmarkStart w:id="2" w:name="_GoBack"/>
      <w:bookmarkEnd w:id="2"/>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tbl>
      <w:tblPr>
        <w:tblStyle w:val="10"/>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93"/>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99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99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8</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华文仿宋">
    <w:panose1 w:val="02010600040101010101"/>
    <w:charset w:val="86"/>
    <w:family w:val="auto"/>
    <w:pitch w:val="default"/>
    <w:sig w:usb0="00000287" w:usb1="080F0000" w:usb2="00000000" w:usb3="00000000" w:csb0="0004009F" w:csb1="DFD70000"/>
  </w:font>
  <w:font w:name="方正小标宋_GBK">
    <w:altName w:val="Arial Unicode MS"/>
    <w:panose1 w:val="03000502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921DEA"/>
    <w:rsid w:val="0A002B81"/>
    <w:rsid w:val="0AD10D97"/>
    <w:rsid w:val="0F6E701B"/>
    <w:rsid w:val="1A1D5C0C"/>
    <w:rsid w:val="1DD11934"/>
    <w:rsid w:val="1ED24BFE"/>
    <w:rsid w:val="1F48029C"/>
    <w:rsid w:val="28B640A0"/>
    <w:rsid w:val="2DA956E3"/>
    <w:rsid w:val="2E84799A"/>
    <w:rsid w:val="370A6D13"/>
    <w:rsid w:val="3AE86B28"/>
    <w:rsid w:val="3B1A7AEC"/>
    <w:rsid w:val="3F5616EB"/>
    <w:rsid w:val="44A243B5"/>
    <w:rsid w:val="49B422E4"/>
    <w:rsid w:val="4E57733E"/>
    <w:rsid w:val="5BBE6A30"/>
    <w:rsid w:val="6A1C2667"/>
    <w:rsid w:val="6A3F0FFE"/>
    <w:rsid w:val="6DFA1037"/>
    <w:rsid w:val="6ECF23D3"/>
    <w:rsid w:val="72DEDB4B"/>
    <w:rsid w:val="9E778668"/>
    <w:rsid w:val="9FFFAE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unhideWhenUsed/>
    <w:qFormat/>
    <w:uiPriority w:val="99"/>
    <w:pPr>
      <w:spacing w:after="120"/>
    </w:pPr>
    <w:rPr>
      <w:rFonts w:ascii="Calibri" w:hAnsi="Calibri" w:eastAsia="宋体" w:cs="Times New Roman"/>
      <w:szCs w:val="22"/>
      <w:lang w:bidi="ar-SA"/>
    </w:rPr>
  </w:style>
  <w:style w:type="paragraph" w:styleId="4">
    <w:name w:val="Date"/>
    <w:basedOn w:val="1"/>
    <w:next w:val="1"/>
    <w:link w:val="14"/>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lang w:bidi="ar-SA"/>
    </w:rPr>
  </w:style>
  <w:style w:type="paragraph" w:styleId="9">
    <w:name w:val="Body Text First Indent"/>
    <w:basedOn w:val="3"/>
    <w:qFormat/>
    <w:uiPriority w:val="99"/>
    <w:pPr>
      <w:autoSpaceDE w:val="0"/>
      <w:autoSpaceDN w:val="0"/>
      <w:adjustRightInd w:val="0"/>
      <w:spacing w:after="0"/>
      <w:ind w:firstLine="420" w:firstLineChars="100"/>
      <w:jc w:val="left"/>
    </w:pPr>
    <w:rPr>
      <w:rFonts w:ascii="宋体" w:hAnsi="Times New Roman" w:cs="宋体"/>
      <w:kern w:val="0"/>
      <w:sz w:val="45"/>
      <w:szCs w:val="45"/>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customStyle="1" w:styleId="14">
    <w:name w:val=" Char Char1"/>
    <w:basedOn w:val="12"/>
    <w:link w:val="4"/>
    <w:uiPriority w:val="0"/>
    <w:rPr>
      <w:rFonts w:ascii="仿宋_GB2312" w:hAnsi="Times New Roman" w:eastAsia="仿宋_GB2312" w:cs="Times New Roman"/>
      <w:kern w:val="2"/>
      <w:sz w:val="32"/>
      <w:szCs w:val="24"/>
      <w:lang w:bidi="ar-SA"/>
    </w:rPr>
  </w:style>
  <w:style w:type="character" w:customStyle="1" w:styleId="15">
    <w:name w:val=" Char Char2"/>
    <w:basedOn w:val="12"/>
    <w:link w:val="6"/>
    <w:semiHidden/>
    <w:uiPriority w:val="99"/>
    <w:rPr>
      <w:rFonts w:ascii="Calibri" w:hAnsi="Calibri" w:eastAsia="宋体" w:cs="Mongolian Baiti"/>
      <w:kern w:val="2"/>
      <w:sz w:val="18"/>
      <w:szCs w:val="22"/>
    </w:rPr>
  </w:style>
  <w:style w:type="character" w:customStyle="1" w:styleId="16">
    <w:name w:val=" Char Char"/>
    <w:basedOn w:val="12"/>
    <w:link w:val="7"/>
    <w:semiHidden/>
    <w:uiPriority w:val="99"/>
    <w:rPr>
      <w:rFonts w:ascii="Calibri" w:hAnsi="Calibri" w:eastAsia="宋体" w:cs="Mongolian Baiti"/>
      <w:kern w:val="2"/>
      <w:sz w:val="18"/>
      <w:szCs w:val="22"/>
    </w:rPr>
  </w:style>
  <w:style w:type="character" w:customStyle="1" w:styleId="17">
    <w:name w:val="font11"/>
    <w:qFormat/>
    <w:uiPriority w:val="0"/>
    <w:rPr>
      <w:rFonts w:hint="eastAsia" w:ascii="仿宋_GB2312" w:hAnsi="Times New Roman" w:eastAsia="仿宋_GB2312" w:cs="仿宋_GB2312"/>
      <w:color w:val="000000"/>
      <w:sz w:val="20"/>
      <w:szCs w:val="20"/>
      <w:u w:val="none"/>
    </w:rPr>
  </w:style>
  <w:style w:type="paragraph" w:styleId="18">
    <w:name w:val="List Paragraph"/>
    <w:basedOn w:val="1"/>
    <w:qFormat/>
    <w:uiPriority w:val="34"/>
    <w:pPr>
      <w:ind w:firstLine="420" w:firstLineChars="200"/>
    </w:pPr>
    <w:rPr>
      <w:rFonts w:ascii="Calibri" w:hAnsi="Calibri" w:eastAsia="宋体" w:cs="Times New Roman"/>
      <w:szCs w:val="22"/>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Lenovo (Beijing) Limited</Company>
  <Pages>6</Pages>
  <Words>1403</Words>
  <Characters>1431</Characters>
  <Lines>1</Lines>
  <Paragraphs>1</Paragraphs>
  <TotalTime>0</TotalTime>
  <ScaleCrop>false</ScaleCrop>
  <LinksUpToDate>false</LinksUpToDate>
  <CharactersWithSpaces>1447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ZWGK</cp:lastModifiedBy>
  <cp:lastPrinted>2022-10-11T16:53:40Z</cp:lastPrinted>
  <dcterms:modified xsi:type="dcterms:W3CDTF">2022-10-12T08:47:28Z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AC61F3CD89C24BA9A30BB841E70EB661</vt:lpwstr>
  </property>
</Properties>
</file>