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500" w:lineRule="exact"/>
        <w:ind w:left="0" w:leftChars="0"/>
        <w:jc w:val="both"/>
        <w:textAlignment w:val="auto"/>
        <w:rPr>
          <w:rFonts w:hint="eastAsia"/>
        </w:rPr>
      </w:pPr>
    </w:p>
    <w:p>
      <w:pPr>
        <w:keepNext w:val="0"/>
        <w:keepLines w:val="0"/>
        <w:pageBreakBefore w:val="0"/>
        <w:widowControl w:val="0"/>
        <w:kinsoku/>
        <w:wordWrap/>
        <w:overflowPunct/>
        <w:topLinePunct/>
        <w:autoSpaceDE/>
        <w:autoSpaceDN/>
        <w:bidi w:val="0"/>
        <w:spacing w:line="500" w:lineRule="exact"/>
        <w:ind w:left="0" w:leftChars="0"/>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50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印发《内蒙古自治区本级国有资本经营</w:t>
      </w:r>
    </w:p>
    <w:p>
      <w:pPr>
        <w:keepNext w:val="0"/>
        <w:keepLines w:val="0"/>
        <w:pageBreakBefore w:val="0"/>
        <w:widowControl w:val="0"/>
        <w:kinsoku/>
        <w:wordWrap/>
        <w:overflowPunct/>
        <w:topLinePunct/>
        <w:autoSpaceDE/>
        <w:autoSpaceDN/>
        <w:bidi w:val="0"/>
        <w:spacing w:line="50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预算管理办法》的通知</w:t>
      </w:r>
    </w:p>
    <w:p>
      <w:pPr>
        <w:pStyle w:val="2"/>
        <w:rPr>
          <w:rFonts w:hint="eastAsia"/>
          <w:lang w:eastAsia="zh-CN"/>
        </w:rPr>
      </w:pPr>
    </w:p>
    <w:p>
      <w:pPr>
        <w:adjustRightInd w:val="0"/>
        <w:snapToGrid w:val="0"/>
        <w:spacing w:line="480" w:lineRule="exact"/>
        <w:ind w:firstLine="160" w:firstLineChars="50"/>
        <w:jc w:val="center"/>
        <w:rPr>
          <w:rFonts w:hint="eastAsia" w:ascii="仿宋_GB2312" w:hAnsi="华文仿宋" w:eastAsia="仿宋_GB2312"/>
          <w:sz w:val="32"/>
          <w:lang w:eastAsia="zh-CN"/>
        </w:rPr>
      </w:pPr>
      <w:r>
        <w:rPr>
          <w:rFonts w:hint="eastAsia" w:ascii="仿宋_GB2312" w:hAnsi="华文仿宋" w:eastAsia="仿宋_GB2312"/>
          <w:sz w:val="32"/>
          <w:lang w:eastAsia="zh-CN"/>
        </w:rPr>
        <w:t>内政发〔2024〕21号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pacing w:line="400" w:lineRule="exact"/>
        <w:ind w:left="0" w:leftChars="0"/>
        <w:jc w:val="both"/>
        <w:textAlignment w:val="auto"/>
        <w:rPr>
          <w:rFonts w:hint="eastAsia" w:ascii="方正楷体_GBK" w:hAnsi="方正楷体_GBK" w:eastAsia="方正楷体_GBK" w:cs="方正楷体_GBK"/>
          <w:sz w:val="32"/>
          <w:szCs w:val="32"/>
        </w:rPr>
      </w:pPr>
    </w:p>
    <w:p>
      <w:pPr>
        <w:keepNext w:val="0"/>
        <w:keepLines w:val="0"/>
        <w:pageBreakBefore w:val="0"/>
        <w:kinsoku/>
        <w:wordWrap/>
        <w:overflowPunct/>
        <w:topLinePunct/>
        <w:autoSpaceDE/>
        <w:autoSpaceDN/>
        <w:bidi w:val="0"/>
        <w:adjustRightInd/>
        <w:spacing w:line="400" w:lineRule="exact"/>
        <w:ind w:left="0" w:leftChars="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pStyle w:val="2"/>
        <w:keepNext w:val="0"/>
        <w:keepLines w:val="0"/>
        <w:pageBreakBefore w:val="0"/>
        <w:kinsoku/>
        <w:wordWrap/>
        <w:overflowPunct/>
        <w:topLinePunct/>
        <w:autoSpaceDE/>
        <w:autoSpaceDN/>
        <w:bidi w:val="0"/>
        <w:adjustRightInd/>
        <w:spacing w:line="40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现将《内蒙古自治区本级国有资本经营预算管理办法》印发给你们，请结合实际，认真贯彻落实。</w:t>
      </w:r>
    </w:p>
    <w:p>
      <w:pPr>
        <w:pStyle w:val="3"/>
        <w:keepNext w:val="0"/>
        <w:keepLines w:val="0"/>
        <w:pageBreakBefore w:val="0"/>
        <w:kinsoku/>
        <w:wordWrap/>
        <w:overflowPunct/>
        <w:topLinePunct/>
        <w:autoSpaceDE/>
        <w:autoSpaceDN/>
        <w:bidi w:val="0"/>
        <w:adjustRightInd/>
        <w:spacing w:after="0" w:line="400" w:lineRule="exact"/>
        <w:ind w:left="0" w:leftChars="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kinsoku/>
        <w:wordWrap/>
        <w:overflowPunct/>
        <w:autoSpaceDE/>
        <w:autoSpaceDN/>
        <w:bidi w:val="0"/>
        <w:adjustRightInd/>
        <w:spacing w:line="4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kinsoku/>
        <w:wordWrap/>
        <w:overflowPunct/>
        <w:autoSpaceDE/>
        <w:autoSpaceDN/>
        <w:bidi w:val="0"/>
        <w:adjustRightInd/>
        <w:spacing w:line="400" w:lineRule="exact"/>
        <w:textAlignment w:val="auto"/>
        <w:rPr>
          <w:rFonts w:hint="eastAsia" w:ascii="方正楷体_GBK" w:hAnsi="方正楷体_GBK" w:eastAsia="方正楷体_GBK" w:cs="方正楷体_GBK"/>
          <w:sz w:val="32"/>
          <w:szCs w:val="32"/>
          <w:lang w:val="en-US" w:eastAsia="zh-CN"/>
        </w:rPr>
      </w:pPr>
    </w:p>
    <w:p>
      <w:pPr>
        <w:pStyle w:val="3"/>
        <w:keepNext w:val="0"/>
        <w:keepLines w:val="0"/>
        <w:pageBreakBefore w:val="0"/>
        <w:kinsoku/>
        <w:wordWrap/>
        <w:overflowPunct/>
        <w:autoSpaceDE/>
        <w:autoSpaceDN/>
        <w:bidi w:val="0"/>
        <w:adjustRightInd/>
        <w:spacing w:line="400" w:lineRule="exact"/>
        <w:textAlignment w:val="auto"/>
        <w:rPr>
          <w:rFonts w:hint="eastAsia"/>
          <w:lang w:val="en-US" w:eastAsia="zh-CN"/>
        </w:rPr>
      </w:pPr>
    </w:p>
    <w:p>
      <w:pPr>
        <w:keepNext w:val="0"/>
        <w:keepLines w:val="0"/>
        <w:pageBreakBefore w:val="0"/>
        <w:kinsoku/>
        <w:wordWrap/>
        <w:overflowPunct/>
        <w:topLinePunct/>
        <w:autoSpaceDE/>
        <w:autoSpaceDN/>
        <w:bidi w:val="0"/>
        <w:adjustRightInd/>
        <w:spacing w:line="400" w:lineRule="exact"/>
        <w:ind w:left="0" w:leftChars="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2024年7月16日</w:t>
      </w:r>
    </w:p>
    <w:p>
      <w:pPr>
        <w:pStyle w:val="2"/>
        <w:keepNext w:val="0"/>
        <w:keepLines w:val="0"/>
        <w:pageBreakBefore w:val="0"/>
        <w:kinsoku/>
        <w:wordWrap/>
        <w:overflowPunct/>
        <w:topLinePunct/>
        <w:autoSpaceDE/>
        <w:autoSpaceDN/>
        <w:bidi w:val="0"/>
        <w:adjustRightInd/>
        <w:spacing w:line="40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3"/>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3"/>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jc w:val="both"/>
        <w:textAlignment w:val="auto"/>
        <w:rPr>
          <w:rFonts w:hint="eastAsia"/>
          <w:sz w:val="44"/>
        </w:rPr>
      </w:pPr>
    </w:p>
    <w:p>
      <w:pPr>
        <w:pStyle w:val="8"/>
        <w:keepNext w:val="0"/>
        <w:keepLines w:val="0"/>
        <w:pageBreakBefore w:val="0"/>
        <w:widowControl w:val="0"/>
        <w:numPr>
          <w:ins w:id="0" w:author="印刷厂" w:date="2024-07-23T10:38:00Z"/>
        </w:numPr>
        <w:kinsoku/>
        <w:wordWrap/>
        <w:overflowPunct/>
        <w:topLinePunct/>
        <w:autoSpaceDE/>
        <w:autoSpaceDN/>
        <w:bidi w:val="0"/>
        <w:spacing w:before="0" w:after="0" w:line="580" w:lineRule="exact"/>
        <w:ind w:left="0" w:leftChars="0"/>
        <w:jc w:val="center"/>
        <w:textAlignment w:val="auto"/>
        <w:outlineLvl w:val="2"/>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内蒙古自治区本级国有资本经营</w:t>
      </w:r>
    </w:p>
    <w:p>
      <w:pPr>
        <w:pStyle w:val="8"/>
        <w:keepNext w:val="0"/>
        <w:keepLines w:val="0"/>
        <w:pageBreakBefore w:val="0"/>
        <w:widowControl w:val="0"/>
        <w:numPr>
          <w:ins w:id="1" w:author="印刷厂" w:date="2024-07-23T10:38:00Z"/>
        </w:numPr>
        <w:kinsoku/>
        <w:wordWrap/>
        <w:overflowPunct/>
        <w:topLinePunct/>
        <w:autoSpaceDE/>
        <w:autoSpaceDN/>
        <w:bidi w:val="0"/>
        <w:spacing w:before="0" w:after="0" w:line="580" w:lineRule="exact"/>
        <w:ind w:left="0" w:leftChars="0"/>
        <w:jc w:val="center"/>
        <w:textAlignment w:val="auto"/>
        <w:outlineLvl w:val="2"/>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预</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算</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管</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办</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法</w:t>
      </w:r>
    </w:p>
    <w:p>
      <w:pPr>
        <w:keepNext w:val="0"/>
        <w:keepLines w:val="0"/>
        <w:pageBreakBefore w:val="0"/>
        <w:widowControl w:val="0"/>
        <w:numPr>
          <w:ins w:id="2" w:author="印刷厂" w:date="2024-07-23T10:38:00Z"/>
        </w:numPr>
        <w:kinsoku/>
        <w:wordWrap/>
        <w:overflowPunct/>
        <w:topLinePunct/>
        <w:autoSpaceDE/>
        <w:autoSpaceDN/>
        <w:bidi w:val="0"/>
        <w:spacing w:line="580" w:lineRule="exact"/>
        <w:ind w:left="0" w:leftChars="0"/>
        <w:jc w:val="center"/>
        <w:textAlignment w:val="auto"/>
        <w:outlineLvl w:val="2"/>
        <w:rPr>
          <w:rFonts w:hint="eastAsia" w:ascii="方正仿宋_GBK" w:hAnsi="方正仿宋_GBK" w:eastAsia="方正仿宋_GBK" w:cs="方正仿宋_GBK"/>
          <w:bCs/>
          <w:kern w:val="0"/>
          <w:sz w:val="32"/>
          <w:szCs w:val="32"/>
        </w:rPr>
      </w:pPr>
    </w:p>
    <w:p>
      <w:pPr>
        <w:keepNext w:val="0"/>
        <w:keepLines w:val="0"/>
        <w:pageBreakBefore w:val="0"/>
        <w:widowControl w:val="0"/>
        <w:numPr>
          <w:ins w:id="3" w:author="印刷厂" w:date="2024-07-23T10:38:00Z"/>
        </w:numPr>
        <w:kinsoku/>
        <w:wordWrap/>
        <w:overflowPunct/>
        <w:topLinePunct/>
        <w:autoSpaceDE/>
        <w:autoSpaceDN/>
        <w:bidi w:val="0"/>
        <w:spacing w:line="580" w:lineRule="exact"/>
        <w:ind w:left="0" w:leftChars="0"/>
        <w:jc w:val="center"/>
        <w:textAlignment w:val="auto"/>
        <w:outlineLvl w:val="2"/>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第一章  总</w:t>
      </w:r>
      <w:r>
        <w:rPr>
          <w:rFonts w:hint="eastAsia" w:ascii="方正黑体_GBK" w:hAnsi="方正黑体_GBK" w:eastAsia="方正黑体_GBK" w:cs="方正黑体_GBK"/>
          <w:bCs/>
          <w:kern w:val="0"/>
          <w:sz w:val="32"/>
          <w:szCs w:val="32"/>
          <w:lang w:val="en-US" w:eastAsia="zh-CN"/>
        </w:rPr>
        <w:t xml:space="preserve">    </w:t>
      </w:r>
      <w:r>
        <w:rPr>
          <w:rFonts w:hint="eastAsia" w:ascii="方正黑体_GBK" w:hAnsi="方正黑体_GBK" w:eastAsia="方正黑体_GBK" w:cs="方正黑体_GBK"/>
          <w:bCs/>
          <w:kern w:val="0"/>
          <w:sz w:val="32"/>
          <w:szCs w:val="32"/>
        </w:rPr>
        <w:t>则</w:t>
      </w:r>
    </w:p>
    <w:p>
      <w:pPr>
        <w:keepNext w:val="0"/>
        <w:keepLines w:val="0"/>
        <w:pageBreakBefore w:val="0"/>
        <w:widowControl w:val="0"/>
        <w:numPr>
          <w:ins w:id="4" w:author="印刷厂" w:date="2024-07-23T10:38:00Z"/>
        </w:numPr>
        <w:kinsoku/>
        <w:wordWrap/>
        <w:overflowPunct/>
        <w:topLinePunct/>
        <w:autoSpaceDE/>
        <w:autoSpaceDN/>
        <w:bidi w:val="0"/>
        <w:spacing w:line="580" w:lineRule="exact"/>
        <w:ind w:left="0" w:leftChars="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numPr>
          <w:ins w:id="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第一条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6"/>
          <w:sz w:val="32"/>
          <w:szCs w:val="32"/>
        </w:rPr>
        <w:t>为加强和规范自治区本级国有资本经营预算管理，</w:t>
      </w:r>
      <w:r>
        <w:rPr>
          <w:rFonts w:hint="eastAsia" w:ascii="方正仿宋_GBK" w:hAnsi="方正仿宋_GBK" w:eastAsia="方正仿宋_GBK" w:cs="方正仿宋_GBK"/>
          <w:sz w:val="32"/>
          <w:szCs w:val="32"/>
        </w:rPr>
        <w:t>推进国有经济布局优化和结构调整，根据《中华人民共和国预算法》、《中华人民共和国企业国有资产法》、《中华人民共和国预算法实施条例》等法律法规和《国务院关于进一步完善国有资</w:t>
      </w:r>
      <w:r>
        <w:rPr>
          <w:rFonts w:hint="eastAsia" w:ascii="方正仿宋_GBK" w:hAnsi="方正仿宋_GBK" w:eastAsia="方正仿宋_GBK" w:cs="方正仿宋_GBK"/>
          <w:spacing w:val="6"/>
          <w:sz w:val="32"/>
          <w:szCs w:val="32"/>
        </w:rPr>
        <w:t>本经营预算制度的意见》（国发〔2024〕2号）</w:t>
      </w:r>
      <w:r>
        <w:rPr>
          <w:rFonts w:hint="eastAsia" w:ascii="方正仿宋_GBK" w:hAnsi="方正仿宋_GBK" w:eastAsia="方正仿宋_GBK" w:cs="方正仿宋_GBK"/>
          <w:spacing w:val="6"/>
          <w:sz w:val="32"/>
          <w:szCs w:val="32"/>
          <w:lang w:eastAsia="zh-CN"/>
        </w:rPr>
        <w:t>等</w:t>
      </w:r>
      <w:r>
        <w:rPr>
          <w:rFonts w:hint="eastAsia" w:ascii="方正仿宋_GBK" w:hAnsi="方正仿宋_GBK" w:eastAsia="方正仿宋_GBK" w:cs="方正仿宋_GBK"/>
          <w:spacing w:val="6"/>
          <w:sz w:val="32"/>
          <w:szCs w:val="32"/>
        </w:rPr>
        <w:t>有关政策规定，</w:t>
      </w:r>
      <w:r>
        <w:rPr>
          <w:rFonts w:hint="eastAsia" w:ascii="方正仿宋_GBK" w:hAnsi="方正仿宋_GBK" w:eastAsia="方正仿宋_GBK" w:cs="方正仿宋_GBK"/>
          <w:sz w:val="32"/>
          <w:szCs w:val="32"/>
        </w:rPr>
        <w:t>紧紧围绕贯彻铸牢中华民族共同体意识工作主线要求，结合自治区实际，制定本办法。</w:t>
      </w:r>
    </w:p>
    <w:p>
      <w:pPr>
        <w:keepNext w:val="0"/>
        <w:keepLines w:val="0"/>
        <w:pageBreakBefore w:val="0"/>
        <w:widowControl w:val="0"/>
        <w:numPr>
          <w:ins w:id="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第二条</w:t>
      </w:r>
      <w:r>
        <w:rPr>
          <w:rFonts w:hint="eastAsia" w:ascii="方正仿宋_GBK" w:hAnsi="方正仿宋_GBK" w:eastAsia="方正仿宋_GBK" w:cs="方正仿宋_GBK"/>
          <w:sz w:val="32"/>
          <w:szCs w:val="32"/>
        </w:rPr>
        <w:t>　本办法所称自治区本级国有资本经营预算，是指自治区人民政府以所有者身份依法取得国有资本收益，并对所得收益进行分配而发生的各项收支预算。</w:t>
      </w:r>
    </w:p>
    <w:p>
      <w:pPr>
        <w:keepNext w:val="0"/>
        <w:keepLines w:val="0"/>
        <w:pageBreakBefore w:val="0"/>
        <w:widowControl w:val="0"/>
        <w:numPr>
          <w:ins w:id="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第三条</w:t>
      </w:r>
      <w:r>
        <w:rPr>
          <w:rFonts w:hint="eastAsia" w:ascii="方正仿宋_GBK" w:hAnsi="方正仿宋_GBK" w:eastAsia="方正仿宋_GBK" w:cs="方正仿宋_GBK"/>
          <w:sz w:val="32"/>
          <w:szCs w:val="32"/>
        </w:rPr>
        <w:t>　本办法适用于自治区财政厅、自治区本级国有资本经营预算单位（以下简称国资预算单位）和自治区本级国有资本经营预算企业（以下简称国资预算企业）国有资本经营预算的编制、执行、调整、决算、绩效管理、监督等事项。</w:t>
      </w:r>
    </w:p>
    <w:p>
      <w:pPr>
        <w:keepNext w:val="0"/>
        <w:keepLines w:val="0"/>
        <w:pageBreakBefore w:val="0"/>
        <w:widowControl w:val="0"/>
        <w:numPr>
          <w:ins w:id="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本办法所称国资预算单位，是指自治区人民政府授权履行出资人职责的机构、部门单位以及出资设立企业的党政机关和事业单位。</w:t>
      </w:r>
    </w:p>
    <w:p>
      <w:pPr>
        <w:keepNext w:val="0"/>
        <w:keepLines w:val="0"/>
        <w:pageBreakBefore w:val="0"/>
        <w:widowControl w:val="0"/>
        <w:numPr>
          <w:ins w:id="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本办法所称国资预算企业，是指纳入自治区本级国有资本经营预算实施范围的自治区本级国有一级企业，包括国有独资企业（公司）、国有控股企业和国有参股企业。  </w:t>
      </w:r>
    </w:p>
    <w:p>
      <w:pPr>
        <w:keepNext w:val="0"/>
        <w:keepLines w:val="0"/>
        <w:pageBreakBefore w:val="0"/>
        <w:widowControl w:val="0"/>
        <w:numPr>
          <w:ins w:id="10"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第四条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自治区党政机关和事业单位直接出资以及授权其他部门单位代为出资或持股的企业均应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纳入自治区本级国有资本经营预算实施范围，包括自治区本级国有金融企业、企业化管理的事业单位。</w:t>
      </w:r>
    </w:p>
    <w:p>
      <w:pPr>
        <w:keepNext w:val="0"/>
        <w:keepLines w:val="0"/>
        <w:pageBreakBefore w:val="0"/>
        <w:widowControl w:val="0"/>
        <w:numPr>
          <w:ins w:id="1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第五条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区属国有企业出资设立，但未纳入其（集团）年度财务决算合并范围的国有独资、控股企业，视为一级企业，应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纳入自治区本级国有资本经营预算实施范围。</w:t>
      </w:r>
    </w:p>
    <w:p>
      <w:pPr>
        <w:keepNext w:val="0"/>
        <w:keepLines w:val="0"/>
        <w:pageBreakBefore w:val="0"/>
        <w:widowControl w:val="0"/>
        <w:numPr>
          <w:ins w:id="1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第六条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自治区本级国有资本经营预算管理坚持全面覆盖、独立完整、以收定支、收支平衡原则，加强与一般公共预算衔接，加大向一般公共预算调出力度。</w:t>
      </w:r>
    </w:p>
    <w:p>
      <w:pPr>
        <w:keepNext w:val="0"/>
        <w:keepLines w:val="0"/>
        <w:pageBreakBefore w:val="0"/>
        <w:widowControl w:val="0"/>
        <w:numPr>
          <w:ins w:id="13"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管理职责</w:t>
      </w:r>
    </w:p>
    <w:p>
      <w:pPr>
        <w:keepNext w:val="0"/>
        <w:keepLines w:val="0"/>
        <w:pageBreakBefore w:val="0"/>
        <w:widowControl w:val="0"/>
        <w:numPr>
          <w:ins w:id="1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第七条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自治区本级国有资本经营预算管理由自治区财政厅、国资预算单位和国资预算企业各司其职，共同负责。</w:t>
      </w:r>
    </w:p>
    <w:p>
      <w:pPr>
        <w:keepNext w:val="0"/>
        <w:keepLines w:val="0"/>
        <w:pageBreakBefore w:val="0"/>
        <w:widowControl w:val="0"/>
        <w:numPr>
          <w:ins w:id="1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第八条</w:t>
      </w:r>
      <w:r>
        <w:rPr>
          <w:rFonts w:hint="eastAsia" w:ascii="方正仿宋_GBK" w:hAnsi="方正仿宋_GBK" w:eastAsia="方正仿宋_GBK" w:cs="方正仿宋_GBK"/>
          <w:sz w:val="32"/>
          <w:szCs w:val="32"/>
        </w:rPr>
        <w:t>　自治区财政厅工作职责：</w:t>
      </w:r>
    </w:p>
    <w:p>
      <w:pPr>
        <w:keepNext w:val="0"/>
        <w:keepLines w:val="0"/>
        <w:pageBreakBefore w:val="0"/>
        <w:widowControl w:val="0"/>
        <w:numPr>
          <w:ins w:id="1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（一）汇总建立自治区本级国有企业名录；</w:t>
      </w:r>
    </w:p>
    <w:p>
      <w:pPr>
        <w:keepNext w:val="0"/>
        <w:keepLines w:val="0"/>
        <w:pageBreakBefore w:val="0"/>
        <w:widowControl w:val="0"/>
        <w:numPr>
          <w:ins w:id="1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（二）制定自治区本级国有资本经营预算管理的相关制度；</w:t>
      </w:r>
    </w:p>
    <w:p>
      <w:pPr>
        <w:keepNext w:val="0"/>
        <w:keepLines w:val="0"/>
        <w:pageBreakBefore w:val="0"/>
        <w:widowControl w:val="0"/>
        <w:numPr>
          <w:ins w:id="1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（三）组织自治区本级国有资本经营预算收入；</w:t>
      </w:r>
    </w:p>
    <w:p>
      <w:pPr>
        <w:keepNext w:val="0"/>
        <w:keepLines w:val="0"/>
        <w:pageBreakBefore w:val="0"/>
        <w:widowControl w:val="0"/>
        <w:numPr>
          <w:ins w:id="1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（四）拟定自治区本级国有资本经营预算支出方向和重点；</w:t>
      </w:r>
    </w:p>
    <w:p>
      <w:pPr>
        <w:keepNext w:val="0"/>
        <w:keepLines w:val="0"/>
        <w:pageBreakBefore w:val="0"/>
        <w:widowControl w:val="0"/>
        <w:numPr>
          <w:ins w:id="20"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（五）负责审核和编制自治区本级国有资本经营预算、调整预算和决算草案，并按规定报送审议；</w:t>
      </w:r>
    </w:p>
    <w:p>
      <w:pPr>
        <w:keepNext w:val="0"/>
        <w:keepLines w:val="0"/>
        <w:pageBreakBefore w:val="0"/>
        <w:widowControl w:val="0"/>
        <w:numPr>
          <w:ins w:id="2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（六）根据年度预算实际收支情况编制预算调整方案，履行预算调整程序；</w:t>
      </w:r>
    </w:p>
    <w:p>
      <w:pPr>
        <w:keepNext w:val="0"/>
        <w:keepLines w:val="0"/>
        <w:pageBreakBefore w:val="0"/>
        <w:widowControl w:val="0"/>
        <w:numPr>
          <w:ins w:id="2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（七）批复国资预算单位国有资本经营预（决）算；</w:t>
      </w:r>
    </w:p>
    <w:p>
      <w:pPr>
        <w:keepNext w:val="0"/>
        <w:keepLines w:val="0"/>
        <w:pageBreakBefore w:val="0"/>
        <w:widowControl w:val="0"/>
        <w:numPr>
          <w:ins w:id="23"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7"/>
          <w:sz w:val="32"/>
          <w:szCs w:val="32"/>
        </w:rPr>
      </w:pPr>
      <w:r>
        <w:rPr>
          <w:rFonts w:hint="eastAsia" w:ascii="方正仿宋_GBK" w:hAnsi="方正仿宋_GBK" w:eastAsia="方正仿宋_GBK" w:cs="方正仿宋_GBK"/>
          <w:sz w:val="32"/>
          <w:szCs w:val="32"/>
        </w:rPr>
        <w:t>（八）</w:t>
      </w:r>
      <w:r>
        <w:rPr>
          <w:rFonts w:hint="eastAsia" w:ascii="方正仿宋_GBK" w:hAnsi="方正仿宋_GBK" w:eastAsia="方正仿宋_GBK" w:cs="方正仿宋_GBK"/>
          <w:spacing w:val="17"/>
          <w:sz w:val="32"/>
          <w:szCs w:val="32"/>
        </w:rPr>
        <w:t>指导国资预算单位和国资预算企业实施全过程绩效管理；</w:t>
      </w:r>
    </w:p>
    <w:p>
      <w:pPr>
        <w:keepNext w:val="0"/>
        <w:keepLines w:val="0"/>
        <w:pageBreakBefore w:val="0"/>
        <w:widowControl w:val="0"/>
        <w:numPr>
          <w:ins w:id="2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7"/>
          <w:sz w:val="32"/>
          <w:szCs w:val="32"/>
        </w:rPr>
      </w:pPr>
      <w:r>
        <w:rPr>
          <w:rFonts w:hint="eastAsia" w:ascii="方正仿宋_GBK" w:hAnsi="方正仿宋_GBK" w:eastAsia="方正仿宋_GBK" w:cs="方正仿宋_GBK"/>
          <w:sz w:val="32"/>
          <w:szCs w:val="32"/>
        </w:rPr>
        <w:t>（九）</w:t>
      </w:r>
      <w:r>
        <w:rPr>
          <w:rFonts w:hint="eastAsia" w:ascii="方正仿宋_GBK" w:hAnsi="方正仿宋_GBK" w:eastAsia="方正仿宋_GBK" w:cs="方正仿宋_GBK"/>
          <w:spacing w:val="17"/>
          <w:sz w:val="32"/>
          <w:szCs w:val="32"/>
        </w:rPr>
        <w:t>对自治区本级国有资本经营预算管理情况进行财会监督。</w:t>
      </w:r>
    </w:p>
    <w:p>
      <w:pPr>
        <w:keepNext w:val="0"/>
        <w:keepLines w:val="0"/>
        <w:pageBreakBefore w:val="0"/>
        <w:widowControl w:val="0"/>
        <w:numPr>
          <w:ins w:id="2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第九条</w:t>
      </w:r>
      <w:r>
        <w:rPr>
          <w:rFonts w:hint="eastAsia" w:ascii="方正仿宋_GBK" w:hAnsi="方正仿宋_GBK" w:eastAsia="方正仿宋_GBK" w:cs="方正仿宋_GBK"/>
          <w:sz w:val="32"/>
          <w:szCs w:val="32"/>
        </w:rPr>
        <w:t>　国资预算单位工作职责：</w:t>
      </w:r>
    </w:p>
    <w:p>
      <w:pPr>
        <w:keepNext w:val="0"/>
        <w:keepLines w:val="0"/>
        <w:pageBreakBefore w:val="0"/>
        <w:widowControl w:val="0"/>
        <w:numPr>
          <w:ins w:id="2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（一）定期统计出资企业数量、资产权益、损益等情况，建立所出资国有企业名录，并结合经营性国有资产集中统一监管动态更新，涉及名录调整的应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及时报自治区财政厅；</w:t>
      </w:r>
    </w:p>
    <w:p>
      <w:pPr>
        <w:keepNext w:val="0"/>
        <w:keepLines w:val="0"/>
        <w:pageBreakBefore w:val="0"/>
        <w:widowControl w:val="0"/>
        <w:numPr>
          <w:ins w:id="2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7"/>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pacing w:val="17"/>
          <w:sz w:val="32"/>
          <w:szCs w:val="32"/>
        </w:rPr>
        <w:t>组织监管（所属）企业编报国有资本经营预算收</w:t>
      </w:r>
      <w:r>
        <w:rPr>
          <w:rFonts w:hint="eastAsia" w:ascii="方正仿宋_GBK" w:hAnsi="方正仿宋_GBK" w:eastAsia="方正仿宋_GBK" w:cs="方正仿宋_GBK"/>
          <w:spacing w:val="0"/>
          <w:sz w:val="32"/>
          <w:szCs w:val="32"/>
        </w:rPr>
        <w:t>支计划并进行审核，提出本部门单位年度国有资本经营预算建议草案；</w:t>
      </w:r>
    </w:p>
    <w:p>
      <w:pPr>
        <w:keepNext w:val="0"/>
        <w:keepLines w:val="0"/>
        <w:pageBreakBefore w:val="0"/>
        <w:widowControl w:val="0"/>
        <w:numPr>
          <w:ins w:id="2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pacing w:val="-6"/>
          <w:sz w:val="32"/>
          <w:szCs w:val="32"/>
        </w:rPr>
        <w:t>审核监管（所属）企</w:t>
      </w:r>
      <w:r>
        <w:rPr>
          <w:rFonts w:hint="eastAsia" w:ascii="方正仿宋_GBK" w:hAnsi="方正仿宋_GBK" w:eastAsia="方正仿宋_GBK" w:cs="方正仿宋_GBK"/>
          <w:spacing w:val="0"/>
          <w:sz w:val="32"/>
          <w:szCs w:val="32"/>
        </w:rPr>
        <w:t>业报送的国有资本经营</w:t>
      </w:r>
      <w:r>
        <w:rPr>
          <w:rFonts w:hint="eastAsia" w:ascii="方正仿宋_GBK" w:hAnsi="方正仿宋_GBK" w:eastAsia="方正仿宋_GBK" w:cs="方正仿宋_GBK"/>
          <w:spacing w:val="6"/>
          <w:sz w:val="32"/>
          <w:szCs w:val="32"/>
        </w:rPr>
        <w:t>收益材料，</w:t>
      </w:r>
      <w:r>
        <w:rPr>
          <w:rFonts w:hint="eastAsia" w:ascii="方正仿宋_GBK" w:hAnsi="方正仿宋_GBK" w:eastAsia="方正仿宋_GBK" w:cs="方正仿宋_GBK"/>
          <w:spacing w:val="-6"/>
          <w:sz w:val="32"/>
          <w:szCs w:val="32"/>
        </w:rPr>
        <w:t>组织本部门单位、监管（所属）企业国有资本经营预算的执行；</w:t>
      </w:r>
    </w:p>
    <w:p>
      <w:pPr>
        <w:keepNext w:val="0"/>
        <w:keepLines w:val="0"/>
        <w:pageBreakBefore w:val="0"/>
        <w:widowControl w:val="0"/>
        <w:numPr>
          <w:ins w:id="2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（四）根据监管（所属）企业预算执行和实际收支情况，履行报请调整预算程序；</w:t>
      </w:r>
    </w:p>
    <w:p>
      <w:pPr>
        <w:keepNext w:val="0"/>
        <w:keepLines w:val="0"/>
        <w:pageBreakBefore w:val="0"/>
        <w:widowControl w:val="0"/>
        <w:numPr>
          <w:ins w:id="30"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（五）编制本部门单位国有资本经营决算草案；</w:t>
      </w:r>
    </w:p>
    <w:p>
      <w:pPr>
        <w:keepNext w:val="0"/>
        <w:keepLines w:val="0"/>
        <w:pageBreakBefore w:val="0"/>
        <w:widowControl w:val="0"/>
        <w:numPr>
          <w:ins w:id="3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（六）批复所监管（所属）企业国有资本经营预（决）算；</w:t>
      </w:r>
    </w:p>
    <w:p>
      <w:pPr>
        <w:keepNext w:val="0"/>
        <w:keepLines w:val="0"/>
        <w:pageBreakBefore w:val="0"/>
        <w:widowControl w:val="0"/>
        <w:numPr>
          <w:ins w:id="3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（七）负责本部门单位国有资本经营预算全过程绩效管理；</w:t>
      </w:r>
    </w:p>
    <w:p>
      <w:pPr>
        <w:keepNext w:val="0"/>
        <w:keepLines w:val="0"/>
        <w:pageBreakBefore w:val="0"/>
        <w:widowControl w:val="0"/>
        <w:numPr>
          <w:ins w:id="33"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（八）对监管（所属）企业国有资本经营预算管理情况进行财会监督。</w:t>
      </w:r>
    </w:p>
    <w:p>
      <w:pPr>
        <w:keepNext w:val="0"/>
        <w:keepLines w:val="0"/>
        <w:pageBreakBefore w:val="0"/>
        <w:widowControl w:val="0"/>
        <w:numPr>
          <w:ins w:id="3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第十条</w:t>
      </w:r>
      <w:r>
        <w:rPr>
          <w:rFonts w:hint="eastAsia" w:ascii="方正仿宋_GBK" w:hAnsi="方正仿宋_GBK" w:eastAsia="方正仿宋_GBK" w:cs="方正仿宋_GBK"/>
          <w:sz w:val="32"/>
          <w:szCs w:val="32"/>
        </w:rPr>
        <w:t>　国资预算企业工作职责：</w:t>
      </w:r>
    </w:p>
    <w:p>
      <w:pPr>
        <w:keepNext w:val="0"/>
        <w:keepLines w:val="0"/>
        <w:pageBreakBefore w:val="0"/>
        <w:widowControl w:val="0"/>
        <w:numPr>
          <w:ins w:id="3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（一）根据预算编制要求提出国有资本经营预算收支计划</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ns w:id="3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（二）按照规定申报、上交国有资本经营预算收入</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ns w:id="3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（三）根据国有资本经营预算批复安排支出，报告国有资本经营预算执行、决算、绩效管理等情况，依法接受监督</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ns w:id="38" w:author="印刷厂" w:date="2024-07-23T10:38:00Z"/>
        </w:numPr>
        <w:tabs>
          <w:tab w:val="left" w:pos="2843"/>
          <w:tab w:val="center" w:pos="4213"/>
        </w:tabs>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（四）建立健全企业内部国有资本经营预算的资金管理制度和审计制度，规范资金核算，确保资金按规定用途使用。</w:t>
      </w:r>
    </w:p>
    <w:p>
      <w:pPr>
        <w:keepNext w:val="0"/>
        <w:keepLines w:val="0"/>
        <w:pageBreakBefore w:val="0"/>
        <w:widowControl w:val="0"/>
        <w:numPr>
          <w:ins w:id="39" w:author="印刷厂" w:date="2024-07-23T10:38:00Z"/>
        </w:numPr>
        <w:tabs>
          <w:tab w:val="left" w:pos="2843"/>
          <w:tab w:val="center" w:pos="4213"/>
        </w:tabs>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收支范围</w:t>
      </w:r>
    </w:p>
    <w:p>
      <w:pPr>
        <w:keepNext w:val="0"/>
        <w:keepLines w:val="0"/>
        <w:pageBreakBefore w:val="0"/>
        <w:widowControl w:val="0"/>
        <w:numPr>
          <w:ins w:id="40"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bCs/>
          <w:sz w:val="32"/>
          <w:szCs w:val="32"/>
        </w:rPr>
        <w:t>第十一条</w:t>
      </w:r>
      <w:r>
        <w:rPr>
          <w:rFonts w:hint="eastAsia" w:ascii="方正仿宋_GBK" w:hAnsi="方正仿宋_GBK" w:eastAsia="方正仿宋_GBK" w:cs="方正仿宋_GBK"/>
          <w:sz w:val="32"/>
          <w:szCs w:val="32"/>
        </w:rPr>
        <w:t xml:space="preserve">  自治区本级国有资本经营预算收入是国资预算单位、国资预算企业上交，并纳入国有资本经营预算管理的国有资本收益，主要包括</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ns w:id="4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u w:val="none"/>
        </w:rPr>
        <w:t>（一）应交利润收入。</w:t>
      </w:r>
      <w:r>
        <w:rPr>
          <w:rFonts w:hint="eastAsia" w:ascii="方正仿宋_GBK" w:hAnsi="方正仿宋_GBK" w:eastAsia="方正仿宋_GBK" w:cs="方正仿宋_GBK"/>
          <w:sz w:val="32"/>
          <w:szCs w:val="32"/>
        </w:rPr>
        <w:t>区属国有独资企业（公司）的应交利润，</w:t>
      </w:r>
      <w:r>
        <w:rPr>
          <w:rFonts w:hint="eastAsia" w:ascii="方正仿宋_GBK" w:hAnsi="方正仿宋_GBK" w:eastAsia="方正仿宋_GBK" w:cs="方正仿宋_GBK"/>
          <w:kern w:val="0"/>
          <w:sz w:val="32"/>
          <w:szCs w:val="32"/>
        </w:rPr>
        <w:t>以经审计的年度合并财务报表反映的归属于母公司所有者的净利润为基础，依法扣除以前年度未弥补亏损、提取的法定公积金等后，按一定比例上交。</w:t>
      </w:r>
    </w:p>
    <w:p>
      <w:pPr>
        <w:keepNext w:val="0"/>
        <w:keepLines w:val="0"/>
        <w:pageBreakBefore w:val="0"/>
        <w:widowControl w:val="0"/>
        <w:numPr>
          <w:ins w:id="4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（二）股利、股息收入。</w:t>
      </w:r>
      <w:r>
        <w:rPr>
          <w:rFonts w:hint="eastAsia" w:ascii="方正仿宋_GBK" w:hAnsi="方正仿宋_GBK" w:eastAsia="方正仿宋_GBK" w:cs="方正仿宋_GBK"/>
          <w:sz w:val="32"/>
          <w:szCs w:val="32"/>
        </w:rPr>
        <w:t>自治区人民政府或国资预算单位持有的国有控股、国有参股企业应付区属国有股权（股份）的股息红利，按照股东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会（未设立股东会或股东大会的为董事会，下同）决议通过的利润分配方案，全额上交。</w:t>
      </w:r>
    </w:p>
    <w:p>
      <w:pPr>
        <w:keepNext w:val="0"/>
        <w:keepLines w:val="0"/>
        <w:pageBreakBefore w:val="0"/>
        <w:widowControl w:val="0"/>
        <w:numPr>
          <w:ins w:id="43"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（三）产权转让收入。</w:t>
      </w:r>
      <w:r>
        <w:rPr>
          <w:rFonts w:hint="eastAsia" w:ascii="方正仿宋_GBK" w:hAnsi="方正仿宋_GBK" w:eastAsia="方正仿宋_GBK" w:cs="方正仿宋_GBK"/>
          <w:sz w:val="32"/>
          <w:szCs w:val="32"/>
        </w:rPr>
        <w:t>区属国有独资企业（公司）的产权和自治区人民政府或国资预算单位持有的国有控股、国有参股企业国有股权（股份）的转让净收入，全额上交。</w:t>
      </w:r>
    </w:p>
    <w:p>
      <w:pPr>
        <w:keepNext w:val="0"/>
        <w:keepLines w:val="0"/>
        <w:pageBreakBefore w:val="0"/>
        <w:widowControl w:val="0"/>
        <w:numPr>
          <w:ins w:id="4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（四）清算收入。</w:t>
      </w:r>
      <w:r>
        <w:rPr>
          <w:rFonts w:hint="eastAsia" w:ascii="方正仿宋_GBK" w:hAnsi="方正仿宋_GBK" w:eastAsia="方正仿宋_GBK" w:cs="方正仿宋_GBK"/>
          <w:sz w:val="32"/>
          <w:szCs w:val="32"/>
        </w:rPr>
        <w:t>区属国有独资企业（公司）清算收入和自治区人民政府或国资预算单位持有的国有控股、国有参股企业国有股权（股份）享有的清算收入，扣除清算费用后全额上交。</w:t>
      </w:r>
    </w:p>
    <w:p>
      <w:pPr>
        <w:keepNext w:val="0"/>
        <w:keepLines w:val="0"/>
        <w:pageBreakBefore w:val="0"/>
        <w:widowControl w:val="0"/>
        <w:numPr>
          <w:ins w:id="4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Cs/>
          <w:sz w:val="32"/>
          <w:szCs w:val="32"/>
        </w:rPr>
        <w:t>（五）其他国有资本经营收入。</w:t>
      </w:r>
      <w:r>
        <w:rPr>
          <w:rFonts w:hint="eastAsia" w:ascii="方正仿宋_GBK" w:hAnsi="方正仿宋_GBK" w:eastAsia="方正仿宋_GBK" w:cs="方正仿宋_GBK"/>
          <w:sz w:val="32"/>
          <w:szCs w:val="32"/>
        </w:rPr>
        <w:t>除上述收入外，经自治区人民政府批准同意上交的其他国有资本经营收入。</w:t>
      </w:r>
    </w:p>
    <w:p>
      <w:pPr>
        <w:keepNext w:val="0"/>
        <w:keepLines w:val="0"/>
        <w:pageBreakBefore w:val="0"/>
        <w:widowControl w:val="0"/>
        <w:numPr>
          <w:ins w:id="4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第十二条</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 xml:space="preserve"> 区属国有独资企业（公司）利润收入的上交比例按照分类分档规则确定，实行动态调整。</w:t>
      </w:r>
      <w:r>
        <w:rPr>
          <w:rFonts w:hint="eastAsia" w:ascii="方正仿宋_GBK" w:hAnsi="方正仿宋_GBK" w:eastAsia="方正仿宋_GBK" w:cs="方正仿宋_GBK"/>
          <w:kern w:val="0"/>
          <w:sz w:val="32"/>
          <w:szCs w:val="32"/>
        </w:rPr>
        <w:t>上交比例由自治区财政</w:t>
      </w:r>
      <w:r>
        <w:rPr>
          <w:rFonts w:hint="eastAsia" w:ascii="方正仿宋_GBK" w:hAnsi="方正仿宋_GBK" w:eastAsia="方正仿宋_GBK" w:cs="方正仿宋_GBK"/>
          <w:spacing w:val="6"/>
          <w:kern w:val="0"/>
          <w:sz w:val="32"/>
          <w:szCs w:val="32"/>
        </w:rPr>
        <w:t>厅会同国资预算单位提出建议，报自治区人民政府批准后执行。</w:t>
      </w:r>
      <w:r>
        <w:rPr>
          <w:rFonts w:hint="eastAsia" w:ascii="方正仿宋_GBK" w:hAnsi="方正仿宋_GBK" w:eastAsia="方正仿宋_GBK" w:cs="方正仿宋_GBK"/>
          <w:sz w:val="32"/>
          <w:szCs w:val="32"/>
        </w:rPr>
        <w:t>新增企业适用的上交收益比例，由自治区财政厅会同有关国资预算单位确认。</w:t>
      </w:r>
    </w:p>
    <w:p>
      <w:pPr>
        <w:keepNext w:val="0"/>
        <w:keepLines w:val="0"/>
        <w:pageBreakBefore w:val="0"/>
        <w:widowControl w:val="0"/>
        <w:numPr>
          <w:ins w:id="4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第十三条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区属国有控股、国有参股企业应当依法依规分配年度净利润。国资预算单位应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依法依规在股东（大）会发表意见并行使表决权，研究提出利润分配意见时，所提利润分配意见不应低于同类国有独资企业（公司）收益上交水平；国资预算单位应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督促国有控股企业依法及时制定利润分配方案，股东（大）会审议决定上年利润分配方案的时间原则上不晚于当年6月底。</w:t>
      </w:r>
    </w:p>
    <w:p>
      <w:pPr>
        <w:keepNext w:val="0"/>
        <w:keepLines w:val="0"/>
        <w:pageBreakBefore w:val="0"/>
        <w:widowControl w:val="0"/>
        <w:numPr>
          <w:ins w:id="4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第十四条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自治区本级国有资本经营预算支出方向和重点，</w:t>
      </w:r>
      <w:r>
        <w:rPr>
          <w:rFonts w:hint="eastAsia" w:ascii="方正仿宋_GBK" w:hAnsi="方正仿宋_GBK" w:eastAsia="方正仿宋_GBK" w:cs="方正仿宋_GBK"/>
          <w:sz w:val="32"/>
          <w:szCs w:val="32"/>
        </w:rPr>
        <w:t>应当根据自治区党委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确定的国有企业改革发展任务适时进行调整，预算安排应当聚焦关键领域和薄弱环节，增强国家和自治区重大战略任务的财力保障，强化资本金注入，推进国有经济布局优化和结构调整。自治区本级国有资本经营预算支出包括资本性支出、费用性支出和其他支出，除调入一般公共预算外，主要用于以下用途：</w:t>
      </w:r>
    </w:p>
    <w:p>
      <w:pPr>
        <w:keepNext w:val="0"/>
        <w:keepLines w:val="0"/>
        <w:pageBreakBefore w:val="0"/>
        <w:widowControl w:val="0"/>
        <w:numPr>
          <w:ilvl w:val="0"/>
          <w:numId w:val="1"/>
        </w:numPr>
        <w:suppressAutoHyphens/>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对国资预算企业的资本金注入；</w:t>
      </w:r>
    </w:p>
    <w:p>
      <w:pPr>
        <w:keepNext w:val="0"/>
        <w:keepLines w:val="0"/>
        <w:pageBreakBefore w:val="0"/>
        <w:widowControl w:val="0"/>
        <w:numPr>
          <w:ilvl w:val="0"/>
          <w:numId w:val="1"/>
        </w:numPr>
        <w:suppressAutoHyphens/>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解决国有企业历史遗留问题及相关改革成本支出；</w:t>
      </w:r>
    </w:p>
    <w:p>
      <w:pPr>
        <w:keepNext w:val="0"/>
        <w:keepLines w:val="0"/>
        <w:pageBreakBefore w:val="0"/>
        <w:widowControl w:val="0"/>
        <w:numPr>
          <w:ilvl w:val="0"/>
          <w:numId w:val="1"/>
        </w:numPr>
        <w:suppressAutoHyphens/>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对国资预算企业的政策性补贴；</w:t>
      </w:r>
    </w:p>
    <w:p>
      <w:pPr>
        <w:keepNext w:val="0"/>
        <w:keepLines w:val="0"/>
        <w:pageBreakBefore w:val="0"/>
        <w:widowControl w:val="0"/>
        <w:numPr>
          <w:ilvl w:val="0"/>
          <w:numId w:val="1"/>
        </w:numPr>
        <w:suppressAutoHyphens/>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其他国有资本经营预算支出。</w:t>
      </w:r>
    </w:p>
    <w:p>
      <w:pPr>
        <w:keepNext w:val="0"/>
        <w:keepLines w:val="0"/>
        <w:pageBreakBefore w:val="0"/>
        <w:widowControl w:val="0"/>
        <w:numPr>
          <w:ins w:id="4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2"/>
          <w:sz w:val="32"/>
          <w:szCs w:val="32"/>
        </w:rPr>
      </w:pPr>
      <w:r>
        <w:rPr>
          <w:rFonts w:hint="eastAsia" w:ascii="方正黑体_GBK" w:hAnsi="方正黑体_GBK" w:eastAsia="方正黑体_GBK" w:cs="方正黑体_GBK"/>
          <w:bCs/>
          <w:sz w:val="32"/>
          <w:szCs w:val="32"/>
        </w:rPr>
        <w:t>第十五条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pacing w:val="0"/>
          <w:sz w:val="32"/>
          <w:szCs w:val="32"/>
        </w:rPr>
        <w:t>自治区本级国有资本经营预算每年应按照当年国有资本经营收入的一定比例调入一般公共预算，调入比例不低于30%。</w:t>
      </w:r>
    </w:p>
    <w:p>
      <w:pPr>
        <w:keepNext w:val="0"/>
        <w:keepLines w:val="0"/>
        <w:pageBreakBefore w:val="0"/>
        <w:widowControl w:val="0"/>
        <w:numPr>
          <w:ins w:id="50"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预算编制</w:t>
      </w:r>
    </w:p>
    <w:p>
      <w:pPr>
        <w:keepNext w:val="0"/>
        <w:keepLines w:val="0"/>
        <w:pageBreakBefore w:val="0"/>
        <w:widowControl w:val="0"/>
        <w:numPr>
          <w:ins w:id="51" w:author="印刷厂" w:date="2024-07-23T10:38: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bCs/>
          <w:spacing w:val="-6"/>
          <w:sz w:val="32"/>
          <w:szCs w:val="32"/>
        </w:rPr>
      </w:pPr>
      <w:r>
        <w:rPr>
          <w:rFonts w:hint="eastAsia" w:ascii="方正黑体_GBK" w:hAnsi="方正黑体_GBK" w:eastAsia="方正黑体_GBK" w:cs="方正黑体_GBK"/>
          <w:bCs/>
          <w:sz w:val="32"/>
          <w:szCs w:val="32"/>
        </w:rPr>
        <w:t>第十六条</w:t>
      </w:r>
      <w:r>
        <w:rPr>
          <w:rFonts w:hint="eastAsia" w:ascii="方正黑体_GBK" w:hAnsi="方正黑体_GBK" w:eastAsia="方正黑体_GBK" w:cs="方正黑体_GBK"/>
          <w:bCs/>
          <w:spacing w:val="-11"/>
          <w:sz w:val="32"/>
          <w:szCs w:val="32"/>
          <w:lang w:val="en-US" w:eastAsia="zh-CN"/>
        </w:rPr>
        <w:t xml:space="preserve">   </w:t>
      </w:r>
      <w:r>
        <w:rPr>
          <w:rFonts w:hint="eastAsia" w:ascii="方正仿宋_GBK" w:hAnsi="方正仿宋_GBK" w:eastAsia="方正仿宋_GBK" w:cs="方正仿宋_GBK"/>
          <w:spacing w:val="-11"/>
          <w:sz w:val="32"/>
          <w:szCs w:val="32"/>
        </w:rPr>
        <w:t>自治区本级国有资本经营预算按年度单独编制。</w:t>
      </w:r>
    </w:p>
    <w:p>
      <w:pPr>
        <w:keepNext w:val="0"/>
        <w:keepLines w:val="0"/>
        <w:pageBreakBefore w:val="0"/>
        <w:widowControl w:val="0"/>
        <w:numPr>
          <w:ins w:id="5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第十七条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自治区财政厅按照自治区本级预算编制的统一要求，布置编报年度自治区本级国有资本经营预算草案工作，明确预算编制年度要求和预算报表格式。</w:t>
      </w:r>
    </w:p>
    <w:p>
      <w:pPr>
        <w:keepNext w:val="0"/>
        <w:keepLines w:val="0"/>
        <w:pageBreakBefore w:val="0"/>
        <w:widowControl w:val="0"/>
        <w:numPr>
          <w:ins w:id="53"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第十八条</w:t>
      </w:r>
      <w:r>
        <w:rPr>
          <w:rFonts w:hint="eastAsia" w:ascii="方正仿宋_GBK" w:hAnsi="方正仿宋_GBK" w:eastAsia="方正仿宋_GBK" w:cs="方正仿宋_GBK"/>
          <w:sz w:val="32"/>
          <w:szCs w:val="32"/>
        </w:rPr>
        <w:t xml:space="preserve">  自治区本级国有资本经营预算的编制具体程序如下：</w:t>
      </w:r>
    </w:p>
    <w:p>
      <w:pPr>
        <w:keepNext w:val="0"/>
        <w:keepLines w:val="0"/>
        <w:pageBreakBefore w:val="0"/>
        <w:widowControl w:val="0"/>
        <w:numPr>
          <w:ins w:id="5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（一）组织安排。</w:t>
      </w:r>
      <w:r>
        <w:rPr>
          <w:rFonts w:hint="eastAsia" w:ascii="方正仿宋_GBK" w:hAnsi="方正仿宋_GBK" w:eastAsia="方正仿宋_GBK" w:cs="方正仿宋_GBK"/>
          <w:sz w:val="32"/>
          <w:szCs w:val="32"/>
        </w:rPr>
        <w:t>自治区财政厅负责制定编报预算收支计划及国有资本经营预算建议草案的具体要求；国资预算单位负责组织、协调和督促监管（所属）企业开展预算收支计划及国有资本经营预算建议草案编制相关基础工作。</w:t>
      </w:r>
    </w:p>
    <w:p>
      <w:pPr>
        <w:keepNext w:val="0"/>
        <w:keepLines w:val="0"/>
        <w:pageBreakBefore w:val="0"/>
        <w:widowControl w:val="0"/>
        <w:numPr>
          <w:ins w:id="5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bCs/>
          <w:sz w:val="32"/>
          <w:szCs w:val="32"/>
        </w:rPr>
        <w:t>（二）申报计划。</w:t>
      </w:r>
      <w:r>
        <w:rPr>
          <w:rFonts w:hint="eastAsia" w:ascii="方正仿宋_GBK" w:hAnsi="方正仿宋_GBK" w:eastAsia="方正仿宋_GBK" w:cs="方正仿宋_GBK"/>
          <w:sz w:val="32"/>
          <w:szCs w:val="32"/>
        </w:rPr>
        <w:t>国资预算企业根据年度盈利情况，预测全年实现利润，形成下一年度预算收入和预算支出计划，将材料报送国资预算单位审核。</w:t>
      </w:r>
      <w:r>
        <w:rPr>
          <w:rFonts w:hint="eastAsia" w:ascii="方正仿宋_GBK" w:hAnsi="方正仿宋_GBK" w:eastAsia="方正仿宋_GBK" w:cs="方正仿宋_GBK"/>
          <w:sz w:val="32"/>
          <w:szCs w:val="32"/>
          <w:u w:val="none"/>
        </w:rPr>
        <w:t>国资预算企业申报的收入应根据年度盈利情况科学合理测算。国资预算企业申报支出项目时，应</w:t>
      </w:r>
      <w:r>
        <w:rPr>
          <w:rFonts w:hint="eastAsia" w:ascii="方正仿宋_GBK" w:hAnsi="方正仿宋_GBK" w:eastAsia="方正仿宋_GBK" w:cs="方正仿宋_GBK"/>
          <w:sz w:val="32"/>
          <w:szCs w:val="32"/>
          <w:u w:val="none"/>
          <w:lang w:eastAsia="zh-CN"/>
        </w:rPr>
        <w:t>当</w:t>
      </w:r>
      <w:r>
        <w:rPr>
          <w:rFonts w:hint="eastAsia" w:ascii="方正仿宋_GBK" w:hAnsi="方正仿宋_GBK" w:eastAsia="方正仿宋_GBK" w:cs="方正仿宋_GBK"/>
          <w:sz w:val="32"/>
          <w:szCs w:val="32"/>
          <w:u w:val="none"/>
        </w:rPr>
        <w:t>提供企业基本情况、拟投入项目基本情况、项目投入必要性和可行性方案等资料。</w:t>
      </w:r>
    </w:p>
    <w:p>
      <w:pPr>
        <w:keepNext w:val="0"/>
        <w:keepLines w:val="0"/>
        <w:pageBreakBefore w:val="0"/>
        <w:widowControl w:val="0"/>
        <w:numPr>
          <w:ins w:id="5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bCs/>
          <w:sz w:val="32"/>
          <w:szCs w:val="32"/>
        </w:rPr>
        <w:t>（三）审核上报。</w:t>
      </w:r>
      <w:r>
        <w:rPr>
          <w:rFonts w:hint="eastAsia" w:ascii="方正仿宋_GBK" w:hAnsi="方正仿宋_GBK" w:eastAsia="方正仿宋_GBK" w:cs="方正仿宋_GBK"/>
          <w:spacing w:val="-6"/>
          <w:sz w:val="32"/>
          <w:szCs w:val="32"/>
        </w:rPr>
        <w:t>国资预算单位负责审核、汇总监管（所属）</w:t>
      </w:r>
      <w:r>
        <w:rPr>
          <w:rFonts w:hint="eastAsia" w:ascii="方正仿宋_GBK" w:hAnsi="方正仿宋_GBK" w:eastAsia="方正仿宋_GBK" w:cs="方正仿宋_GBK"/>
          <w:sz w:val="32"/>
          <w:szCs w:val="32"/>
        </w:rPr>
        <w:t>企业报送的收支计划，编制本部门单位国有资本经营预算建议草案，在规定时间内报送自治区财政厅审核。</w:t>
      </w:r>
      <w:r>
        <w:rPr>
          <w:rFonts w:hint="eastAsia" w:ascii="方正仿宋_GBK" w:hAnsi="方正仿宋_GBK" w:eastAsia="方正仿宋_GBK" w:cs="方正仿宋_GBK"/>
          <w:sz w:val="32"/>
          <w:szCs w:val="32"/>
          <w:u w:val="none"/>
        </w:rPr>
        <w:t>建议草案收入预算应当编列到一级企业，支出预算中对国有企业资本金注入支出原则上应</w:t>
      </w:r>
      <w:r>
        <w:rPr>
          <w:rFonts w:hint="eastAsia" w:ascii="方正仿宋_GBK" w:hAnsi="方正仿宋_GBK" w:eastAsia="方正仿宋_GBK" w:cs="方正仿宋_GBK"/>
          <w:sz w:val="32"/>
          <w:szCs w:val="32"/>
          <w:u w:val="none"/>
          <w:lang w:eastAsia="zh-CN"/>
        </w:rPr>
        <w:t>当</w:t>
      </w:r>
      <w:r>
        <w:rPr>
          <w:rFonts w:hint="eastAsia" w:ascii="方正仿宋_GBK" w:hAnsi="方正仿宋_GBK" w:eastAsia="方正仿宋_GBK" w:cs="方正仿宋_GBK"/>
          <w:sz w:val="32"/>
          <w:szCs w:val="32"/>
          <w:u w:val="none"/>
        </w:rPr>
        <w:t>明确具体企业，其他支出原则上应</w:t>
      </w:r>
      <w:r>
        <w:rPr>
          <w:rFonts w:hint="eastAsia" w:ascii="方正仿宋_GBK" w:hAnsi="方正仿宋_GBK" w:eastAsia="方正仿宋_GBK" w:cs="方正仿宋_GBK"/>
          <w:sz w:val="32"/>
          <w:szCs w:val="32"/>
          <w:u w:val="none"/>
          <w:lang w:eastAsia="zh-CN"/>
        </w:rPr>
        <w:t>当</w:t>
      </w:r>
      <w:r>
        <w:rPr>
          <w:rFonts w:hint="eastAsia" w:ascii="方正仿宋_GBK" w:hAnsi="方正仿宋_GBK" w:eastAsia="方正仿宋_GBK" w:cs="方正仿宋_GBK"/>
          <w:sz w:val="32"/>
          <w:szCs w:val="32"/>
          <w:u w:val="none"/>
        </w:rPr>
        <w:t>明确具体项目。支出预算无法细化到具体企业或项目的，应当说明理由。</w:t>
      </w:r>
    </w:p>
    <w:p>
      <w:pPr>
        <w:keepNext w:val="0"/>
        <w:keepLines w:val="0"/>
        <w:pageBreakBefore w:val="0"/>
        <w:widowControl w:val="0"/>
        <w:numPr>
          <w:ins w:id="57" w:author="印刷厂" w:date="2024-07-23T10:38:00Z"/>
        </w:numPr>
        <w:kinsoku/>
        <w:wordWrap/>
        <w:overflowPunct/>
        <w:topLinePunct/>
        <w:autoSpaceDE/>
        <w:autoSpaceDN/>
        <w:bidi w:val="0"/>
        <w:spacing w:line="580" w:lineRule="exact"/>
        <w:ind w:left="0" w:leftChars="0" w:firstLine="616"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spacing w:val="-6"/>
          <w:sz w:val="32"/>
          <w:szCs w:val="32"/>
        </w:rPr>
        <w:t>（四）统筹编制。</w:t>
      </w:r>
      <w:r>
        <w:rPr>
          <w:rFonts w:hint="eastAsia" w:ascii="方正仿宋_GBK" w:hAnsi="方正仿宋_GBK" w:eastAsia="方正仿宋_GBK" w:cs="方正仿宋_GBK"/>
          <w:spacing w:val="6"/>
          <w:sz w:val="32"/>
          <w:szCs w:val="32"/>
        </w:rPr>
        <w:t>自治区财政厅汇总各有关部门单位建议草案后，统筹当年可安排的自治区本级国有资本经营预算收入规</w:t>
      </w:r>
      <w:r>
        <w:rPr>
          <w:rFonts w:hint="eastAsia" w:ascii="方正仿宋_GBK" w:hAnsi="方正仿宋_GBK" w:eastAsia="方正仿宋_GBK" w:cs="方正仿宋_GBK"/>
          <w:spacing w:val="11"/>
          <w:sz w:val="32"/>
          <w:szCs w:val="32"/>
        </w:rPr>
        <w:t>模，确定支出规模，形成自治区本级国有资本经营预算草案，</w:t>
      </w:r>
      <w:r>
        <w:rPr>
          <w:rFonts w:hint="eastAsia" w:ascii="方正仿宋_GBK" w:hAnsi="方正仿宋_GBK" w:eastAsia="方正仿宋_GBK" w:cs="方正仿宋_GBK"/>
          <w:spacing w:val="6"/>
          <w:sz w:val="32"/>
          <w:szCs w:val="32"/>
        </w:rPr>
        <w:t>按规定程序报请自治区人民政府审定后</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报</w:t>
      </w:r>
      <w:r>
        <w:rPr>
          <w:rFonts w:hint="eastAsia" w:ascii="方正仿宋_GBK" w:hAnsi="方正仿宋_GBK" w:eastAsia="方正仿宋_GBK" w:cs="方正仿宋_GBK"/>
          <w:spacing w:val="6"/>
          <w:sz w:val="32"/>
          <w:szCs w:val="32"/>
          <w:lang w:eastAsia="zh-CN"/>
        </w:rPr>
        <w:t>送</w:t>
      </w:r>
      <w:r>
        <w:rPr>
          <w:rFonts w:hint="eastAsia" w:ascii="方正仿宋_GBK" w:hAnsi="方正仿宋_GBK" w:eastAsia="方正仿宋_GBK" w:cs="方正仿宋_GBK"/>
          <w:spacing w:val="6"/>
          <w:sz w:val="32"/>
          <w:szCs w:val="32"/>
        </w:rPr>
        <w:t>自治区人民代表大会批准。</w:t>
      </w:r>
    </w:p>
    <w:p>
      <w:pPr>
        <w:keepNext w:val="0"/>
        <w:keepLines w:val="0"/>
        <w:pageBreakBefore w:val="0"/>
        <w:widowControl w:val="0"/>
        <w:numPr>
          <w:ins w:id="5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自治区本级国有资本经营预算草案收入编制内容包括：本级收入、上一年度结余、地方上解收入，其中</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本级收入应当编列到一级企业。自治区本级国有资本经营预算草案支出编制内容包括：本级支出、向一般公共预算调出资金、对下级特定事项转移支付、上解上级支出。</w:t>
      </w:r>
    </w:p>
    <w:p>
      <w:pPr>
        <w:keepNext w:val="0"/>
        <w:keepLines w:val="0"/>
        <w:pageBreakBefore w:val="0"/>
        <w:widowControl w:val="0"/>
        <w:numPr>
          <w:ins w:id="5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第十九条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 xml:space="preserve"> 自治区本级国有资本经营预算草案经自治区人民代表大会批准后，自治区财政厅应当在20日内向有关国资预算单位批复预算。国资预算单位应当在接到</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财政厅批复的预算后15日内向监管（所属）企业批复预算。</w:t>
      </w:r>
    </w:p>
    <w:p>
      <w:pPr>
        <w:keepNext w:val="0"/>
        <w:keepLines w:val="0"/>
        <w:pageBreakBefore w:val="0"/>
        <w:widowControl w:val="0"/>
        <w:numPr>
          <w:ins w:id="60"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预算执行</w:t>
      </w:r>
    </w:p>
    <w:p>
      <w:pPr>
        <w:keepNext w:val="0"/>
        <w:keepLines w:val="0"/>
        <w:pageBreakBefore w:val="0"/>
        <w:widowControl w:val="0"/>
        <w:numPr>
          <w:ins w:id="6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Cs/>
          <w:sz w:val="32"/>
          <w:szCs w:val="32"/>
        </w:rPr>
        <w:t>第二十条</w:t>
      </w:r>
      <w:r>
        <w:rPr>
          <w:rFonts w:hint="eastAsia" w:ascii="方正仿宋_GBK" w:hAnsi="方正仿宋_GBK" w:eastAsia="方正仿宋_GBK" w:cs="方正仿宋_GBK"/>
          <w:sz w:val="32"/>
          <w:szCs w:val="32"/>
        </w:rPr>
        <w:t>　自治区本级国有资本经营预算资金的收付按照财政国库集中收付制度有关规定执行。</w:t>
      </w:r>
    </w:p>
    <w:p>
      <w:pPr>
        <w:keepNext w:val="0"/>
        <w:keepLines w:val="0"/>
        <w:pageBreakBefore w:val="0"/>
        <w:widowControl w:val="0"/>
        <w:numPr>
          <w:ins w:id="6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第二十一条</w:t>
      </w:r>
      <w:r>
        <w:rPr>
          <w:rFonts w:hint="eastAsia" w:ascii="方正仿宋_GBK" w:hAnsi="方正仿宋_GBK" w:eastAsia="方正仿宋_GBK" w:cs="方正仿宋_GBK"/>
          <w:sz w:val="32"/>
          <w:szCs w:val="32"/>
        </w:rPr>
        <w:t xml:space="preserve">  国资预算企业国有资本收益上交，按照以下程序执行：</w:t>
      </w:r>
    </w:p>
    <w:p>
      <w:pPr>
        <w:keepNext w:val="0"/>
        <w:keepLines w:val="0"/>
        <w:pageBreakBefore w:val="0"/>
        <w:widowControl w:val="0"/>
        <w:numPr>
          <w:ins w:id="63"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sz w:val="32"/>
          <w:szCs w:val="32"/>
        </w:rPr>
        <w:t>（一）申报。</w:t>
      </w:r>
      <w:r>
        <w:rPr>
          <w:rFonts w:hint="eastAsia" w:ascii="方正仿宋_GBK" w:hAnsi="方正仿宋_GBK" w:eastAsia="方正仿宋_GBK" w:cs="方正仿宋_GBK"/>
          <w:spacing w:val="0"/>
          <w:sz w:val="32"/>
          <w:szCs w:val="32"/>
        </w:rPr>
        <w:t>国资预算单位收到监管（所属）企业上报的国</w:t>
      </w:r>
      <w:r>
        <w:rPr>
          <w:rFonts w:hint="eastAsia" w:ascii="方正仿宋_GBK" w:hAnsi="方正仿宋_GBK" w:eastAsia="方正仿宋_GBK" w:cs="方正仿宋_GBK"/>
          <w:spacing w:val="6"/>
          <w:sz w:val="32"/>
          <w:szCs w:val="32"/>
        </w:rPr>
        <w:t>有资本收益申报表及相关材料后提出审核意见，报送自治区财政厅。</w:t>
      </w:r>
    </w:p>
    <w:p>
      <w:pPr>
        <w:keepNext w:val="0"/>
        <w:keepLines w:val="0"/>
        <w:pageBreakBefore w:val="0"/>
        <w:widowControl w:val="0"/>
        <w:numPr>
          <w:ins w:id="6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sz w:val="32"/>
          <w:szCs w:val="32"/>
        </w:rPr>
        <w:t>（二）</w:t>
      </w:r>
      <w:r>
        <w:rPr>
          <w:rFonts w:hint="eastAsia" w:ascii="方正仿宋_GBK" w:hAnsi="方正仿宋_GBK" w:eastAsia="方正仿宋_GBK" w:cs="方正仿宋_GBK"/>
          <w:bCs/>
          <w:spacing w:val="0"/>
          <w:sz w:val="32"/>
          <w:szCs w:val="32"/>
        </w:rPr>
        <w:t>复核。</w:t>
      </w:r>
      <w:r>
        <w:rPr>
          <w:rFonts w:hint="eastAsia" w:ascii="方正仿宋_GBK" w:hAnsi="方正仿宋_GBK" w:eastAsia="方正仿宋_GBK" w:cs="方正仿宋_GBK"/>
          <w:spacing w:val="0"/>
          <w:sz w:val="32"/>
          <w:szCs w:val="32"/>
        </w:rPr>
        <w:t>自治区财政厅对申报收益及相关材料进行复核</w:t>
      </w:r>
      <w:r>
        <w:rPr>
          <w:rFonts w:hint="eastAsia" w:ascii="方正仿宋_GBK" w:hAnsi="方正仿宋_GBK" w:eastAsia="方正仿宋_GBK" w:cs="方正仿宋_GBK"/>
          <w:spacing w:val="6"/>
          <w:sz w:val="32"/>
          <w:szCs w:val="32"/>
        </w:rPr>
        <w:t>确认后，向国资预算单位下达复核结果并确定收益上交时限及方式。</w:t>
      </w:r>
    </w:p>
    <w:p>
      <w:pPr>
        <w:keepNext w:val="0"/>
        <w:keepLines w:val="0"/>
        <w:pageBreakBefore w:val="0"/>
        <w:widowControl w:val="0"/>
        <w:numPr>
          <w:ins w:id="6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（三）上交。</w:t>
      </w:r>
      <w:r>
        <w:rPr>
          <w:rFonts w:hint="eastAsia" w:ascii="方正仿宋_GBK" w:hAnsi="方正仿宋_GBK" w:eastAsia="方正仿宋_GBK" w:cs="方正仿宋_GBK"/>
          <w:sz w:val="32"/>
          <w:szCs w:val="32"/>
        </w:rPr>
        <w:t>国资预算企业依据收益上交通知，在规定时间内办理交款手续。</w:t>
      </w:r>
    </w:p>
    <w:p>
      <w:pPr>
        <w:keepNext w:val="0"/>
        <w:keepLines w:val="0"/>
        <w:pageBreakBefore w:val="0"/>
        <w:widowControl w:val="0"/>
        <w:numPr>
          <w:ins w:id="6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黑体_GBK" w:hAnsi="方正黑体_GBK" w:eastAsia="方正黑体_GBK" w:cs="方正黑体_GBK"/>
          <w:bCs/>
          <w:sz w:val="32"/>
          <w:szCs w:val="32"/>
        </w:rPr>
        <w:t>第二十二条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6"/>
          <w:sz w:val="32"/>
          <w:szCs w:val="32"/>
        </w:rPr>
        <w:t>国资预算企业应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按照要求，将国有资本收益及时、足额上交自治区财政，任何部门和单位不得擅自减免或拒交。</w:t>
      </w:r>
    </w:p>
    <w:p>
      <w:pPr>
        <w:keepNext w:val="0"/>
        <w:keepLines w:val="0"/>
        <w:pageBreakBefore w:val="0"/>
        <w:widowControl w:val="0"/>
        <w:numPr>
          <w:ins w:id="6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bCs/>
          <w:sz w:val="32"/>
          <w:szCs w:val="32"/>
        </w:rPr>
        <w:t>第二十三条</w:t>
      </w:r>
      <w:r>
        <w:rPr>
          <w:rFonts w:hint="eastAsia" w:ascii="方正仿宋_GBK" w:hAnsi="方正仿宋_GBK" w:eastAsia="方正仿宋_GBK" w:cs="方正仿宋_GBK"/>
          <w:sz w:val="32"/>
          <w:szCs w:val="32"/>
        </w:rPr>
        <w:t>　自治区本级国有资本经营预算支出应当按照批复的预算执行。</w:t>
      </w:r>
      <w:r>
        <w:rPr>
          <w:rFonts w:hint="eastAsia" w:ascii="方正仿宋_GBK" w:hAnsi="方正仿宋_GBK" w:eastAsia="方正仿宋_GBK" w:cs="方正仿宋_GBK"/>
          <w:sz w:val="32"/>
          <w:szCs w:val="32"/>
          <w:u w:val="none"/>
        </w:rPr>
        <w:t>年初预算草案支出预算未细化的资本金注入支出和对下转移支付支出事项，在年度预算执行过程中，由自治区财政厅会同国资预算单位研究提出资金安排意见，报自治区人民政府批准后执行。</w:t>
      </w:r>
    </w:p>
    <w:p>
      <w:pPr>
        <w:keepNext w:val="0"/>
        <w:keepLines w:val="0"/>
        <w:pageBreakBefore w:val="0"/>
        <w:widowControl w:val="0"/>
        <w:numPr>
          <w:ins w:id="6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第二十四条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加强自治区本级国有资本经营预算支出管理，资本性支出应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及时增加资本金，严格执行企业增资有关规定，</w:t>
      </w:r>
      <w:r>
        <w:rPr>
          <w:rFonts w:hint="eastAsia" w:ascii="方正仿宋_GBK" w:hAnsi="方正仿宋_GBK" w:eastAsia="方正仿宋_GBK" w:cs="方正仿宋_GBK"/>
          <w:sz w:val="32"/>
          <w:szCs w:val="32"/>
        </w:rPr>
        <w:t>落实国有资本权益，由国资预算企业按规定方向和用途统</w:t>
      </w:r>
      <w:r>
        <w:rPr>
          <w:rFonts w:hint="eastAsia" w:ascii="方正仿宋_GBK" w:hAnsi="方正仿宋_GBK" w:eastAsia="方正仿宋_GBK" w:cs="方正仿宋_GBK"/>
          <w:spacing w:val="6"/>
          <w:sz w:val="32"/>
          <w:szCs w:val="32"/>
        </w:rPr>
        <w:t>筹使用；费用性支出</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严格按规定使用，不得扩大使用范围，</w:t>
      </w:r>
      <w:r>
        <w:rPr>
          <w:rFonts w:hint="eastAsia" w:ascii="方正仿宋_GBK" w:hAnsi="方正仿宋_GBK" w:eastAsia="方正仿宋_GBK" w:cs="方正仿宋_GBK"/>
          <w:sz w:val="32"/>
          <w:szCs w:val="32"/>
        </w:rPr>
        <w:t>结余资金主动交回财政。</w:t>
      </w:r>
    </w:p>
    <w:p>
      <w:pPr>
        <w:keepNext w:val="0"/>
        <w:keepLines w:val="0"/>
        <w:pageBreakBefore w:val="0"/>
        <w:widowControl w:val="0"/>
        <w:numPr>
          <w:ins w:id="6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第二十五条</w:t>
      </w:r>
      <w:r>
        <w:rPr>
          <w:rFonts w:hint="eastAsia" w:ascii="方正仿宋_GBK" w:hAnsi="方正仿宋_GBK" w:eastAsia="方正仿宋_GBK" w:cs="方正仿宋_GBK"/>
          <w:sz w:val="32"/>
          <w:szCs w:val="32"/>
        </w:rPr>
        <w:t>　预算执行过程中确需进行调整（调剂）的，按照以下程序执行：</w:t>
      </w:r>
    </w:p>
    <w:p>
      <w:pPr>
        <w:keepNext w:val="0"/>
        <w:keepLines w:val="0"/>
        <w:pageBreakBefore w:val="0"/>
        <w:widowControl w:val="0"/>
        <w:numPr>
          <w:ins w:id="70"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（一）预算调整。</w:t>
      </w:r>
      <w:r>
        <w:rPr>
          <w:rFonts w:hint="eastAsia" w:ascii="方正仿宋_GBK" w:hAnsi="方正仿宋_GBK" w:eastAsia="方正仿宋_GBK" w:cs="方正仿宋_GBK"/>
          <w:sz w:val="32"/>
          <w:szCs w:val="32"/>
        </w:rPr>
        <w:t>在预算执行过程中出现需要增加、减少预算总支出或者调减预算安排重点支出数额的情形，应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由自治区财政厅编制预算调整方案，说明预算调整的理由、项目和数额，经自治区人民政府同意后，报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自治区人民代表大会常务委员会审查和批准。</w:t>
      </w:r>
    </w:p>
    <w:p>
      <w:pPr>
        <w:keepNext w:val="0"/>
        <w:keepLines w:val="0"/>
        <w:pageBreakBefore w:val="0"/>
        <w:widowControl w:val="0"/>
        <w:numPr>
          <w:ins w:id="7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因中央增加不需要自治区人民政府提供配套资金的专项转移支付而引起的预算收支变化，不属于预算调整。</w:t>
      </w:r>
    </w:p>
    <w:p>
      <w:pPr>
        <w:keepNext w:val="0"/>
        <w:keepLines w:val="0"/>
        <w:pageBreakBefore w:val="0"/>
        <w:widowControl w:val="0"/>
        <w:numPr>
          <w:ins w:id="7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（二）预算调剂。</w:t>
      </w:r>
      <w:r>
        <w:rPr>
          <w:rFonts w:hint="eastAsia" w:ascii="方正仿宋_GBK" w:hAnsi="方正仿宋_GBK" w:eastAsia="方正仿宋_GBK" w:cs="方正仿宋_GBK"/>
          <w:sz w:val="32"/>
          <w:szCs w:val="32"/>
        </w:rPr>
        <w:t>除第（一）</w:t>
      </w:r>
      <w:r>
        <w:rPr>
          <w:rFonts w:hint="eastAsia" w:ascii="方正仿宋_GBK" w:hAnsi="方正仿宋_GBK" w:eastAsia="方正仿宋_GBK" w:cs="方正仿宋_GBK"/>
          <w:sz w:val="32"/>
          <w:szCs w:val="32"/>
          <w:lang w:eastAsia="zh-CN"/>
        </w:rPr>
        <w:t>项</w:t>
      </w:r>
      <w:r>
        <w:rPr>
          <w:rFonts w:hint="eastAsia" w:ascii="方正仿宋_GBK" w:hAnsi="方正仿宋_GBK" w:eastAsia="方正仿宋_GBK" w:cs="方正仿宋_GBK"/>
          <w:sz w:val="32"/>
          <w:szCs w:val="32"/>
        </w:rPr>
        <w:t>规定的情形外，因国家和自治区政策调整等特殊情况需要调剂预算的，应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由国资预算单位以书面形式提出申请，报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自治区财政厅审批。</w:t>
      </w:r>
    </w:p>
    <w:p>
      <w:pPr>
        <w:keepNext w:val="0"/>
        <w:keepLines w:val="0"/>
        <w:pageBreakBefore w:val="0"/>
        <w:widowControl w:val="0"/>
        <w:numPr>
          <w:ins w:id="73" w:author="印刷厂" w:date="2024-07-23T10:38:00Z"/>
        </w:numPr>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Cs/>
          <w:sz w:val="32"/>
          <w:szCs w:val="32"/>
        </w:rPr>
        <w:t xml:space="preserve">  </w:t>
      </w:r>
      <w:r>
        <w:rPr>
          <w:rFonts w:hint="eastAsia" w:ascii="方正黑体_GBK" w:hAnsi="方正黑体_GBK" w:eastAsia="方正黑体_GBK" w:cs="方正黑体_GBK"/>
          <w:bCs/>
          <w:sz w:val="32"/>
          <w:szCs w:val="32"/>
        </w:rPr>
        <w:t xml:space="preserve"> 第二十六条</w:t>
      </w:r>
      <w:r>
        <w:rPr>
          <w:rFonts w:hint="eastAsia" w:ascii="方正仿宋_GBK" w:hAnsi="方正仿宋_GBK" w:eastAsia="方正仿宋_GBK" w:cs="方正仿宋_GBK"/>
          <w:sz w:val="32"/>
          <w:szCs w:val="32"/>
        </w:rPr>
        <w:t>　自治区本级国有资本经营预算确定后，国资预算企业因改变产权或财务隶属关系引起预算级次和关系变化的，应当同时办理预算划转备案手续。</w:t>
      </w:r>
    </w:p>
    <w:p>
      <w:pPr>
        <w:keepNext w:val="0"/>
        <w:keepLines w:val="0"/>
        <w:pageBreakBefore w:val="0"/>
        <w:widowControl w:val="0"/>
        <w:numPr>
          <w:ins w:id="74"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决</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算</w:t>
      </w:r>
    </w:p>
    <w:p>
      <w:pPr>
        <w:keepNext w:val="0"/>
        <w:keepLines w:val="0"/>
        <w:pageBreakBefore w:val="0"/>
        <w:widowControl w:val="0"/>
        <w:numPr>
          <w:ins w:id="75"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第二十七条</w:t>
      </w:r>
      <w:r>
        <w:rPr>
          <w:rFonts w:hint="eastAsia" w:ascii="方正仿宋_GBK" w:hAnsi="方正仿宋_GBK" w:eastAsia="方正仿宋_GBK" w:cs="方正仿宋_GBK"/>
          <w:sz w:val="32"/>
          <w:szCs w:val="32"/>
        </w:rPr>
        <w:t>　自治区财政厅按照编制决算的统一要求，部署编制年度自治区本级国有资本经营决算草案工作。</w:t>
      </w:r>
    </w:p>
    <w:p>
      <w:pPr>
        <w:keepNext w:val="0"/>
        <w:keepLines w:val="0"/>
        <w:pageBreakBefore w:val="0"/>
        <w:widowControl w:val="0"/>
        <w:numPr>
          <w:ins w:id="7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国资预算单位编制本单位国有资本经营决算草案报送自治区财政厅。</w:t>
      </w:r>
    </w:p>
    <w:p>
      <w:pPr>
        <w:keepNext w:val="0"/>
        <w:keepLines w:val="0"/>
        <w:pageBreakBefore w:val="0"/>
        <w:widowControl w:val="0"/>
        <w:numPr>
          <w:ins w:id="7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第二十八条</w:t>
      </w:r>
      <w:r>
        <w:rPr>
          <w:rFonts w:hint="eastAsia" w:ascii="方正仿宋_GBK" w:hAnsi="方正仿宋_GBK" w:eastAsia="方正仿宋_GBK" w:cs="方正仿宋_GBK"/>
          <w:sz w:val="32"/>
          <w:szCs w:val="32"/>
        </w:rPr>
        <w:t>　自治区财政厅根据当年国有资本经营预算执行情况和国资预算单位上报的决算草案，编制自治区本级国有资本经营决算草案。</w:t>
      </w:r>
    </w:p>
    <w:p>
      <w:pPr>
        <w:keepNext w:val="0"/>
        <w:keepLines w:val="0"/>
        <w:pageBreakBefore w:val="0"/>
        <w:widowControl w:val="0"/>
        <w:numPr>
          <w:ins w:id="7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黑体_GBK" w:hAnsi="方正黑体_GBK" w:eastAsia="方正黑体_GBK" w:cs="方正黑体_GBK"/>
          <w:bCs/>
          <w:sz w:val="32"/>
          <w:szCs w:val="32"/>
        </w:rPr>
        <w:t>第二十九条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6"/>
          <w:sz w:val="32"/>
          <w:szCs w:val="32"/>
        </w:rPr>
        <w:t>自治区本级国有资本经营决算草案经自治区审计厅审计后，报</w:t>
      </w:r>
      <w:r>
        <w:rPr>
          <w:rFonts w:hint="eastAsia" w:ascii="方正仿宋_GBK" w:hAnsi="方正仿宋_GBK" w:eastAsia="方正仿宋_GBK" w:cs="方正仿宋_GBK"/>
          <w:spacing w:val="-6"/>
          <w:sz w:val="32"/>
          <w:szCs w:val="32"/>
          <w:lang w:eastAsia="zh-CN"/>
        </w:rPr>
        <w:t>送</w:t>
      </w:r>
      <w:r>
        <w:rPr>
          <w:rFonts w:hint="eastAsia" w:ascii="方正仿宋_GBK" w:hAnsi="方正仿宋_GBK" w:eastAsia="方正仿宋_GBK" w:cs="方正仿宋_GBK"/>
          <w:spacing w:val="-6"/>
          <w:sz w:val="32"/>
          <w:szCs w:val="32"/>
        </w:rPr>
        <w:t>自治区人民政府审定，由自治区人民政府提请自治区人民代表大会常务委员会审查。</w:t>
      </w:r>
    </w:p>
    <w:p>
      <w:pPr>
        <w:keepNext w:val="0"/>
        <w:keepLines w:val="0"/>
        <w:pageBreakBefore w:val="0"/>
        <w:widowControl w:val="0"/>
        <w:numPr>
          <w:ins w:id="79"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第三十条</w:t>
      </w:r>
      <w:r>
        <w:rPr>
          <w:rFonts w:hint="eastAsia" w:ascii="方正仿宋_GBK" w:hAnsi="方正仿宋_GBK" w:eastAsia="方正仿宋_GBK" w:cs="方正仿宋_GBK"/>
          <w:sz w:val="32"/>
          <w:szCs w:val="32"/>
        </w:rPr>
        <w:t>　自治区本级国有资本经营决算草案经自治区人民代表大会常务委员会批准后，自治区财政厅应当在20日内向有关国资预算单位批复决算。国资预算单位应当在接到</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财政厅批复的决算后15日内向监管（所属）企业批复决算。</w:t>
      </w:r>
    </w:p>
    <w:p>
      <w:pPr>
        <w:keepNext w:val="0"/>
        <w:keepLines w:val="0"/>
        <w:pageBreakBefore w:val="0"/>
        <w:widowControl w:val="0"/>
        <w:numPr>
          <w:ins w:id="80"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绩效管理</w:t>
      </w:r>
    </w:p>
    <w:p>
      <w:pPr>
        <w:keepNext w:val="0"/>
        <w:keepLines w:val="0"/>
        <w:pageBreakBefore w:val="0"/>
        <w:widowControl w:val="0"/>
        <w:numPr>
          <w:ins w:id="8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第三十一条</w:t>
      </w:r>
      <w:r>
        <w:rPr>
          <w:rFonts w:hint="eastAsia" w:ascii="方正仿宋_GBK" w:hAnsi="方正仿宋_GBK" w:eastAsia="方正仿宋_GBK" w:cs="方正仿宋_GBK"/>
          <w:sz w:val="32"/>
          <w:szCs w:val="32"/>
        </w:rPr>
        <w:t xml:space="preserve">  自治区财政厅牵头实施自治区本级国有资本经营预算绩效管理，并对国有资本经营预算支出项目进行重点绩效评价。</w:t>
      </w:r>
    </w:p>
    <w:p>
      <w:pPr>
        <w:keepNext w:val="0"/>
        <w:keepLines w:val="0"/>
        <w:pageBreakBefore w:val="0"/>
        <w:widowControl w:val="0"/>
        <w:numPr>
          <w:ins w:id="82"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第三十二条</w:t>
      </w:r>
      <w:r>
        <w:rPr>
          <w:rFonts w:hint="eastAsia" w:ascii="方正仿宋_GBK" w:hAnsi="方正仿宋_GBK" w:eastAsia="方正仿宋_GBK" w:cs="方正仿宋_GBK"/>
          <w:sz w:val="32"/>
          <w:szCs w:val="32"/>
        </w:rPr>
        <w:t>　国资预算单位对国有资本经营预算实施全过程绩效管理，科学设立绩效目标，按规定开展事前绩效评估，加强绩效运行监控和绩效评价。</w:t>
      </w:r>
    </w:p>
    <w:p>
      <w:pPr>
        <w:keepNext w:val="0"/>
        <w:keepLines w:val="0"/>
        <w:pageBreakBefore w:val="0"/>
        <w:widowControl w:val="0"/>
        <w:numPr>
          <w:ins w:id="83"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国资预算单位应当对所监管（所属）企业设置上交国有资本收益情况的考核指标，并纳入企业负责人经营业绩考核。</w:t>
      </w:r>
    </w:p>
    <w:p>
      <w:pPr>
        <w:keepNext w:val="0"/>
        <w:keepLines w:val="0"/>
        <w:pageBreakBefore w:val="0"/>
        <w:widowControl w:val="0"/>
        <w:numPr>
          <w:ins w:id="84"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第三十三条</w:t>
      </w:r>
      <w:r>
        <w:rPr>
          <w:rFonts w:hint="eastAsia" w:ascii="方正仿宋_GBK" w:hAnsi="方正仿宋_GBK" w:eastAsia="方正仿宋_GBK" w:cs="方正仿宋_GBK"/>
          <w:sz w:val="32"/>
          <w:szCs w:val="32"/>
        </w:rPr>
        <w:t>　自治区财政厅应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将预算绩效管理结果作为加强预算管理和安排以后年度预算支出的重要依据。</w:t>
      </w:r>
    </w:p>
    <w:p>
      <w:pPr>
        <w:keepNext w:val="0"/>
        <w:keepLines w:val="0"/>
        <w:pageBreakBefore w:val="0"/>
        <w:widowControl w:val="0"/>
        <w:numPr>
          <w:ins w:id="85"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监</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督</w:t>
      </w:r>
    </w:p>
    <w:p>
      <w:pPr>
        <w:keepNext w:val="0"/>
        <w:keepLines w:val="0"/>
        <w:pageBreakBefore w:val="0"/>
        <w:widowControl w:val="0"/>
        <w:numPr>
          <w:ins w:id="86"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第三十四条</w:t>
      </w:r>
      <w:r>
        <w:rPr>
          <w:rFonts w:hint="eastAsia" w:ascii="方正仿宋_GBK" w:hAnsi="方正仿宋_GBK" w:eastAsia="方正仿宋_GBK" w:cs="方正仿宋_GBK"/>
          <w:sz w:val="32"/>
          <w:szCs w:val="32"/>
        </w:rPr>
        <w:t>　自治区财政厅、审计厅等部门依法对自治区本级国有资本经营预算进行监督。</w:t>
      </w:r>
    </w:p>
    <w:p>
      <w:pPr>
        <w:keepNext w:val="0"/>
        <w:keepLines w:val="0"/>
        <w:pageBreakBefore w:val="0"/>
        <w:widowControl w:val="0"/>
        <w:numPr>
          <w:ins w:id="87"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第三十五条</w:t>
      </w:r>
      <w:r>
        <w:rPr>
          <w:rFonts w:hint="eastAsia" w:ascii="方正仿宋_GBK" w:hAnsi="方正仿宋_GBK" w:eastAsia="方正仿宋_GBK" w:cs="方正仿宋_GBK"/>
          <w:sz w:val="32"/>
          <w:szCs w:val="32"/>
        </w:rPr>
        <w:t>　自治区财政厅和有关国资预算单位应当按照国家和自治区关于预（决）算公开的相关规定，做好国有资本经营预（决）算公开工作。</w:t>
      </w:r>
    </w:p>
    <w:p>
      <w:pPr>
        <w:keepNext w:val="0"/>
        <w:keepLines w:val="0"/>
        <w:pageBreakBefore w:val="0"/>
        <w:widowControl w:val="0"/>
        <w:numPr>
          <w:ins w:id="88"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第三十六条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6"/>
          <w:sz w:val="32"/>
          <w:szCs w:val="32"/>
        </w:rPr>
        <w:t>对自治区本级国有资本经营预算编制、执行、</w:t>
      </w:r>
      <w:r>
        <w:rPr>
          <w:rFonts w:hint="eastAsia" w:ascii="方正仿宋_GBK" w:hAnsi="方正仿宋_GBK" w:eastAsia="方正仿宋_GBK" w:cs="方正仿宋_GBK"/>
          <w:sz w:val="32"/>
          <w:szCs w:val="32"/>
        </w:rPr>
        <w:t>调整、决算、绩效管理、监督等过程中违反本办法规定的，依照《中华人民共和国预算法》、《中华人民共和国企业国有资产法》、《财政违法行为处罚处分条例》等有关规定进行处理、处罚和处分，依法追究有关单位及相关人员责任。</w:t>
      </w:r>
    </w:p>
    <w:p>
      <w:pPr>
        <w:keepNext w:val="0"/>
        <w:keepLines w:val="0"/>
        <w:pageBreakBefore w:val="0"/>
        <w:widowControl w:val="0"/>
        <w:numPr>
          <w:ins w:id="89" w:author="印刷厂" w:date="2024-07-23T10:38:00Z"/>
        </w:numPr>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第九章　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numPr>
          <w:ins w:id="90"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第三十七条</w:t>
      </w:r>
      <w:r>
        <w:rPr>
          <w:rFonts w:hint="eastAsia" w:ascii="方正仿宋_GBK" w:hAnsi="方正仿宋_GBK" w:eastAsia="方正仿宋_GBK" w:cs="方正仿宋_GBK"/>
          <w:sz w:val="32"/>
          <w:szCs w:val="32"/>
        </w:rPr>
        <w:t>　自治区财政厅根据本办法制定和完善相关配套政策。</w:t>
      </w:r>
    </w:p>
    <w:p>
      <w:pPr>
        <w:keepNext w:val="0"/>
        <w:keepLines w:val="0"/>
        <w:pageBreakBefore w:val="0"/>
        <w:widowControl w:val="0"/>
        <w:numPr>
          <w:ins w:id="91" w:author="印刷厂" w:date="2024-07-23T10:38:00Z"/>
        </w:numPr>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rPr>
        <w:t>第三十八条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pacing w:val="6"/>
          <w:sz w:val="32"/>
          <w:szCs w:val="32"/>
        </w:rPr>
        <w:t>各盟市、旗县（</w:t>
      </w:r>
      <w:r>
        <w:rPr>
          <w:rFonts w:hint="eastAsia" w:ascii="方正仿宋_GBK" w:hAnsi="方正仿宋_GBK" w:eastAsia="方正仿宋_GBK" w:cs="方正仿宋_GBK"/>
          <w:spacing w:val="6"/>
          <w:sz w:val="32"/>
          <w:szCs w:val="32"/>
          <w:lang w:eastAsia="zh-CN"/>
        </w:rPr>
        <w:t>市</w:t>
      </w:r>
      <w:r>
        <w:rPr>
          <w:rFonts w:hint="eastAsia" w:ascii="方正仿宋_GBK" w:hAnsi="方正仿宋_GBK" w:eastAsia="方正仿宋_GBK" w:cs="方正仿宋_GBK"/>
          <w:spacing w:val="6"/>
          <w:sz w:val="32"/>
          <w:szCs w:val="32"/>
        </w:rPr>
        <w:t>、区）可根据本地区实际，</w:t>
      </w:r>
      <w:r>
        <w:rPr>
          <w:rFonts w:hint="eastAsia" w:ascii="方正仿宋_GBK" w:hAnsi="方正仿宋_GBK" w:eastAsia="方正仿宋_GBK" w:cs="方正仿宋_GBK"/>
          <w:sz w:val="32"/>
          <w:szCs w:val="32"/>
        </w:rPr>
        <w:t>参照执行。</w:t>
      </w:r>
    </w:p>
    <w:p>
      <w:pPr>
        <w:keepNext w:val="0"/>
        <w:keepLines w:val="0"/>
        <w:pageBreakBefore w:val="0"/>
        <w:widowControl w:val="0"/>
        <w:suppressLineNumbers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Cs/>
          <w:sz w:val="32"/>
          <w:szCs w:val="32"/>
        </w:rPr>
        <w:t>第三十九条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color w:val="auto"/>
          <w:sz w:val="32"/>
          <w:szCs w:val="32"/>
        </w:rPr>
        <w:t>本办法自</w:t>
      </w:r>
      <w:r>
        <w:rPr>
          <w:rFonts w:hint="eastAsia" w:ascii="方正仿宋_GBK" w:hAnsi="方正仿宋_GBK" w:eastAsia="方正仿宋_GBK" w:cs="方正仿宋_GBK"/>
          <w:color w:val="auto"/>
          <w:sz w:val="32"/>
          <w:szCs w:val="32"/>
          <w:lang w:eastAsia="zh-CN"/>
        </w:rPr>
        <w:t>印发之</w:t>
      </w:r>
      <w:r>
        <w:rPr>
          <w:rFonts w:hint="eastAsia" w:ascii="方正仿宋_GBK" w:hAnsi="方正仿宋_GBK" w:eastAsia="方正仿宋_GBK" w:cs="方正仿宋_GBK"/>
          <w:color w:val="auto"/>
          <w:sz w:val="32"/>
          <w:szCs w:val="32"/>
        </w:rPr>
        <w:t>日起施行。《</w: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fldChar w:fldCharType="begin"/>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instrText xml:space="preserve"> HYPERLINK "javascript:void(0)" </w:instrTex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fldChar w:fldCharType="separate"/>
      </w:r>
      <w:r>
        <w:rPr>
          <w:rStyle w:val="20"/>
          <w:rFonts w:hint="eastAsia" w:ascii="方正仿宋_GBK" w:hAnsi="方正仿宋_GBK" w:eastAsia="方正仿宋_GBK" w:cs="方正仿宋_GBK"/>
          <w:i w:val="0"/>
          <w:caps w:val="0"/>
          <w:color w:val="auto"/>
          <w:spacing w:val="0"/>
          <w:sz w:val="32"/>
          <w:szCs w:val="32"/>
          <w:u w:val="none"/>
          <w:shd w:val="clear" w:color="auto" w:fill="FFFFFF"/>
        </w:rPr>
        <w:t>内蒙古自治区人民政府办公厅关于印发自治区直属企业国有资本收益收取管理办法的通知</w: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fldChar w:fldCharType="end"/>
      </w:r>
      <w:r>
        <w:rPr>
          <w:rFonts w:hint="eastAsia" w:ascii="方正仿宋_GBK" w:hAnsi="方正仿宋_GBK" w:eastAsia="方正仿宋_GBK" w:cs="方正仿宋_GBK"/>
          <w:color w:val="auto"/>
          <w:sz w:val="32"/>
          <w:szCs w:val="32"/>
        </w:rPr>
        <w:t>》（内政办发〔2014〕78号）、《</w: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fldChar w:fldCharType="begin"/>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instrText xml:space="preserve"> HYPERLINK "javascript:void(0)" </w:instrTex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fldChar w:fldCharType="separate"/>
      </w:r>
      <w:r>
        <w:rPr>
          <w:rStyle w:val="20"/>
          <w:rFonts w:hint="eastAsia" w:ascii="方正仿宋_GBK" w:hAnsi="方正仿宋_GBK" w:eastAsia="方正仿宋_GBK" w:cs="方正仿宋_GBK"/>
          <w:i w:val="0"/>
          <w:caps w:val="0"/>
          <w:color w:val="auto"/>
          <w:spacing w:val="0"/>
          <w:sz w:val="32"/>
          <w:szCs w:val="32"/>
          <w:u w:val="none"/>
          <w:shd w:val="clear" w:color="auto" w:fill="FFFFFF"/>
        </w:rPr>
        <w:t>内蒙古自治区人民政府办公厅关于印发</w:t>
      </w:r>
      <w:r>
        <w:rPr>
          <w:rStyle w:val="20"/>
          <w:rFonts w:hint="eastAsia" w:ascii="方正仿宋_GBK" w:hAnsi="方正仿宋_GBK" w:eastAsia="方正仿宋_GBK" w:cs="方正仿宋_GBK"/>
          <w:i w:val="0"/>
          <w:caps w:val="0"/>
          <w:color w:val="auto"/>
          <w:spacing w:val="0"/>
          <w:sz w:val="32"/>
          <w:szCs w:val="32"/>
          <w:u w:val="none"/>
          <w:shd w:val="clear" w:color="auto" w:fill="FFFFFF"/>
          <w:lang w:eastAsia="zh-CN"/>
        </w:rPr>
        <w:t>〈</w:t>
      </w:r>
      <w:r>
        <w:rPr>
          <w:rStyle w:val="20"/>
          <w:rFonts w:hint="eastAsia" w:ascii="方正仿宋_GBK" w:hAnsi="方正仿宋_GBK" w:eastAsia="方正仿宋_GBK" w:cs="方正仿宋_GBK"/>
          <w:i w:val="0"/>
          <w:caps w:val="0"/>
          <w:color w:val="auto"/>
          <w:spacing w:val="0"/>
          <w:sz w:val="32"/>
          <w:szCs w:val="32"/>
          <w:u w:val="none"/>
          <w:shd w:val="clear" w:color="auto" w:fill="FFFFFF"/>
        </w:rPr>
        <w:t>内蒙古自治区本级国有资本经营预算支出管</w:t>
      </w:r>
      <w:bookmarkStart w:id="1" w:name="_GoBack"/>
      <w:bookmarkEnd w:id="1"/>
      <w:r>
        <w:rPr>
          <w:rStyle w:val="20"/>
          <w:rFonts w:hint="eastAsia" w:ascii="方正仿宋_GBK" w:hAnsi="方正仿宋_GBK" w:eastAsia="方正仿宋_GBK" w:cs="方正仿宋_GBK"/>
          <w:i w:val="0"/>
          <w:caps w:val="0"/>
          <w:color w:val="auto"/>
          <w:spacing w:val="0"/>
          <w:sz w:val="32"/>
          <w:szCs w:val="32"/>
          <w:u w:val="none"/>
          <w:shd w:val="clear" w:color="auto" w:fill="FFFFFF"/>
        </w:rPr>
        <w:t>理办法</w:t>
      </w:r>
      <w:r>
        <w:rPr>
          <w:rStyle w:val="20"/>
          <w:rFonts w:hint="eastAsia" w:ascii="方正仿宋_GBK" w:hAnsi="方正仿宋_GBK" w:eastAsia="方正仿宋_GBK" w:cs="方正仿宋_GBK"/>
          <w:i w:val="0"/>
          <w:caps w:val="0"/>
          <w:color w:val="auto"/>
          <w:spacing w:val="0"/>
          <w:sz w:val="32"/>
          <w:szCs w:val="32"/>
          <w:u w:val="none"/>
          <w:shd w:val="clear" w:color="auto" w:fill="FFFFFF"/>
          <w:lang w:eastAsia="zh-CN"/>
        </w:rPr>
        <w:t>〉</w:t>
      </w:r>
      <w:r>
        <w:rPr>
          <w:rStyle w:val="20"/>
          <w:rFonts w:hint="eastAsia" w:ascii="方正仿宋_GBK" w:hAnsi="方正仿宋_GBK" w:eastAsia="方正仿宋_GBK" w:cs="方正仿宋_GBK"/>
          <w:i w:val="0"/>
          <w:caps w:val="0"/>
          <w:color w:val="auto"/>
          <w:spacing w:val="0"/>
          <w:sz w:val="32"/>
          <w:szCs w:val="32"/>
          <w:u w:val="none"/>
          <w:shd w:val="clear" w:color="auto" w:fill="FFFFFF"/>
        </w:rPr>
        <w:t>的通知</w: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fldChar w:fldCharType="end"/>
      </w:r>
      <w:r>
        <w:rPr>
          <w:rFonts w:hint="eastAsia" w:ascii="方正仿宋_GBK" w:hAnsi="方正仿宋_GBK" w:eastAsia="方正仿宋_GBK" w:cs="方正仿宋_GBK"/>
          <w:color w:val="auto"/>
          <w:sz w:val="32"/>
          <w:szCs w:val="32"/>
        </w:rPr>
        <w:t>》（内政办发〔2016〕198号）同时废止。</w:t>
      </w:r>
    </w:p>
    <w:p>
      <w:pPr>
        <w:pStyle w:val="2"/>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eastAsia="仿宋_GB2312"/>
          <w:sz w:val="32"/>
        </w:rPr>
      </w:pPr>
    </w:p>
    <w:p>
      <w:pPr>
        <w:pStyle w:val="2"/>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eastAsia="仿宋_GB2312"/>
          <w:sz w:val="32"/>
        </w:rPr>
      </w:pPr>
    </w:p>
    <w:p>
      <w:pPr>
        <w:pStyle w:val="3"/>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eastAsia="仿宋_GB2312"/>
          <w:sz w:val="32"/>
        </w:rPr>
      </w:pPr>
    </w:p>
    <w:p>
      <w:pPr>
        <w:pStyle w:val="3"/>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eastAsia="仿宋_GB2312"/>
          <w:sz w:val="32"/>
        </w:rPr>
      </w:pP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eastAsia="仿宋_GB2312"/>
          <w:sz w:val="32"/>
        </w:rPr>
      </w:pPr>
    </w:p>
    <w:p>
      <w:pPr>
        <w:pStyle w:val="2"/>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eastAsia="仿宋_GB2312"/>
          <w:sz w:val="32"/>
        </w:rPr>
      </w:pPr>
    </w:p>
    <w:p>
      <w:pPr>
        <w:pStyle w:val="3"/>
        <w:rPr>
          <w:rFonts w:hint="eastAsia" w:eastAsia="仿宋_GB2312"/>
          <w:sz w:val="32"/>
        </w:rPr>
      </w:pPr>
    </w:p>
    <w:p>
      <w:pPr>
        <w:rPr>
          <w:rFonts w:hint="eastAsia" w:eastAsia="仿宋_GB2312"/>
          <w:sz w:val="32"/>
        </w:rPr>
      </w:pPr>
    </w:p>
    <w:p>
      <w:pPr>
        <w:pStyle w:val="2"/>
        <w:rPr>
          <w:rFonts w:hint="eastAsia" w:eastAsia="仿宋_GB2312"/>
          <w:sz w:val="32"/>
        </w:rPr>
      </w:pPr>
    </w:p>
    <w:p>
      <w:pPr>
        <w:pStyle w:val="3"/>
        <w:rPr>
          <w:rFonts w:hint="eastAsia" w:eastAsia="仿宋_GB2312"/>
          <w:sz w:val="32"/>
        </w:rPr>
      </w:pPr>
    </w:p>
    <w:p>
      <w:pPr>
        <w:rPr>
          <w:rFonts w:hint="eastAsia" w:eastAsia="仿宋_GB2312"/>
          <w:sz w:val="32"/>
        </w:rPr>
      </w:pPr>
    </w:p>
    <w:p>
      <w:pPr>
        <w:pStyle w:val="2"/>
        <w:rPr>
          <w:rFonts w:hint="eastAsia" w:eastAsia="仿宋_GB2312"/>
          <w:sz w:val="32"/>
        </w:rPr>
      </w:pPr>
    </w:p>
    <w:p>
      <w:pPr>
        <w:pStyle w:val="3"/>
        <w:rPr>
          <w:rFonts w:hint="eastAsia" w:eastAsia="仿宋_GB2312"/>
          <w:sz w:val="32"/>
        </w:rPr>
      </w:pPr>
    </w:p>
    <w:p>
      <w:pPr>
        <w:rPr>
          <w:rFonts w:hint="eastAsia" w:eastAsia="仿宋_GB2312"/>
          <w:sz w:val="32"/>
        </w:rPr>
      </w:pPr>
    </w:p>
    <w:p>
      <w:pPr>
        <w:pStyle w:val="2"/>
        <w:rPr>
          <w:rFonts w:hint="eastAsia" w:eastAsia="仿宋_GB2312"/>
          <w:sz w:val="32"/>
        </w:rPr>
      </w:pPr>
    </w:p>
    <w:p>
      <w:pPr>
        <w:pStyle w:val="3"/>
        <w:rPr>
          <w:rFonts w:hint="eastAsia" w:eastAsia="仿宋_GB2312"/>
          <w:sz w:val="32"/>
        </w:rPr>
      </w:pPr>
    </w:p>
    <w:p>
      <w:pPr>
        <w:rPr>
          <w:rFonts w:hint="eastAsia" w:eastAsia="仿宋_GB2312"/>
          <w:sz w:val="32"/>
        </w:rPr>
      </w:pPr>
    </w:p>
    <w:p>
      <w:pPr>
        <w:pStyle w:val="2"/>
        <w:rPr>
          <w:rFonts w:hint="eastAsia" w:eastAsia="仿宋_GB2312"/>
          <w:sz w:val="32"/>
        </w:rPr>
      </w:pPr>
    </w:p>
    <w:p>
      <w:pPr>
        <w:pStyle w:val="3"/>
        <w:rPr>
          <w:rFonts w:hint="eastAsia" w:eastAsia="仿宋_GB2312"/>
          <w:sz w:val="32"/>
        </w:rPr>
      </w:pPr>
    </w:p>
    <w:p>
      <w:pPr>
        <w:rPr>
          <w:rFonts w:hint="eastAsia" w:eastAsia="仿宋_GB2312"/>
          <w:sz w:val="32"/>
        </w:rPr>
      </w:pPr>
    </w:p>
    <w:p>
      <w:pPr>
        <w:pStyle w:val="2"/>
        <w:rPr>
          <w:rFonts w:hint="eastAsia" w:eastAsia="仿宋_GB2312"/>
          <w:sz w:val="32"/>
        </w:rPr>
      </w:pPr>
    </w:p>
    <w:p>
      <w:pPr>
        <w:pStyle w:val="3"/>
        <w:rPr>
          <w:rFonts w:hint="eastAsia" w:eastAsia="仿宋_GB2312"/>
          <w:sz w:val="32"/>
        </w:rPr>
      </w:pPr>
    </w:p>
    <w:p>
      <w:pPr>
        <w:rPr>
          <w:rFonts w:hint="eastAsia" w:eastAsia="仿宋_GB2312"/>
          <w:sz w:val="32"/>
        </w:rPr>
      </w:pPr>
    </w:p>
    <w:p>
      <w:pPr>
        <w:pStyle w:val="2"/>
        <w:rPr>
          <w:rFonts w:hint="eastAsia" w:eastAsia="仿宋_GB2312"/>
          <w:lang w:eastAsia="zh-CN"/>
        </w:rPr>
      </w:pPr>
    </w:p>
    <w:p>
      <w:pPr>
        <w:pStyle w:val="2"/>
        <w:rPr>
          <w:rFonts w:hint="eastAsia"/>
        </w:rPr>
      </w:pPr>
    </w:p>
    <w:p>
      <w:pPr>
        <w:pStyle w:val="3"/>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ind w:left="0" w:leftChars="0" w:firstLine="600"/>
        <w:jc w:val="both"/>
        <w:textAlignment w:val="auto"/>
        <w:rPr>
          <w:rFonts w:hint="eastAsia" w:eastAsia="仿宋_GB2312"/>
          <w:sz w:val="32"/>
        </w:rPr>
      </w:pPr>
    </w:p>
    <w:p>
      <w:pPr>
        <w:pStyle w:val="10"/>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6"/>
        <w:tblW w:w="887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78"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78"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spacing w:line="20" w:lineRule="exact"/>
        <w:rPr>
          <w:rFonts w:hint="eastAsia"/>
        </w:rPr>
      </w:pPr>
      <w:r>
        <w:rPr>
          <w:rFonts w:hint="eastAsia" w:eastAsia="仿宋_GB2312"/>
          <w:lang w:eastAsia="zh-CN"/>
        </w:rPr>
        <w:drawing>
          <wp:anchor distT="0" distB="0" distL="114300" distR="114300" simplePos="0" relativeHeight="251658240" behindDoc="0" locked="0" layoutInCell="1" allowOverlap="1">
            <wp:simplePos x="0" y="0"/>
            <wp:positionH relativeFrom="column">
              <wp:posOffset>3852545</wp:posOffset>
            </wp:positionH>
            <wp:positionV relativeFrom="paragraph">
              <wp:posOffset>79375</wp:posOffset>
            </wp:positionV>
            <wp:extent cx="1777365" cy="567690"/>
            <wp:effectExtent l="0" t="0" r="13335" b="3810"/>
            <wp:wrapSquare wrapText="bothSides"/>
            <wp:docPr id="1" name="图片 4" descr="NZF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F21"/>
                    <pic:cNvPicPr>
                      <a:picLocks noChangeAspect="1"/>
                    </pic:cNvPicPr>
                  </pic:nvPicPr>
                  <pic:blipFill>
                    <a:blip r:embed="rId8"/>
                    <a:stretch>
                      <a:fillRect/>
                    </a:stretch>
                  </pic:blipFill>
                  <pic:spPr>
                    <a:xfrm>
                      <a:off x="0" y="0"/>
                      <a:ext cx="1777365" cy="56769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452" w:y="-23"/>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lang/>
      </w:rPr>
      <w:t>- 1 -</w:t>
    </w:r>
    <w:r>
      <w:rPr>
        <w:rFonts w:hint="eastAsia" w:ascii="宋体" w:hAnsi="宋体"/>
        <w:sz w:val="28"/>
        <w:szCs w:val="28"/>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1892" w:y="-23"/>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lang/>
      </w:rPr>
      <w:t>- 2 -</w:t>
    </w:r>
    <w:r>
      <w:rPr>
        <w:rFonts w:ascii="宋体" w:hAnsi="宋体"/>
        <w:sz w:val="28"/>
        <w:szCs w:val="28"/>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DC2B6C"/>
    <w:multiLevelType w:val="singleLevel"/>
    <w:tmpl w:val="B7DC2B6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C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97F82"/>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01F"/>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459C1"/>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5040"/>
    <w:rsid w:val="0036715B"/>
    <w:rsid w:val="00367E4A"/>
    <w:rsid w:val="003707DE"/>
    <w:rsid w:val="00371465"/>
    <w:rsid w:val="0037414E"/>
    <w:rsid w:val="0037427E"/>
    <w:rsid w:val="00375606"/>
    <w:rsid w:val="00380D3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2222"/>
    <w:rsid w:val="004443C8"/>
    <w:rsid w:val="0044481F"/>
    <w:rsid w:val="004454F7"/>
    <w:rsid w:val="00445E9C"/>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2A2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67C66"/>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349F"/>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74AE"/>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060E"/>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05D3"/>
    <w:rsid w:val="008C2242"/>
    <w:rsid w:val="008C2FFC"/>
    <w:rsid w:val="008C3D85"/>
    <w:rsid w:val="008D2512"/>
    <w:rsid w:val="008D3423"/>
    <w:rsid w:val="008D416F"/>
    <w:rsid w:val="008D6580"/>
    <w:rsid w:val="008E1E2A"/>
    <w:rsid w:val="008E277B"/>
    <w:rsid w:val="008E368A"/>
    <w:rsid w:val="008E3748"/>
    <w:rsid w:val="008E45DE"/>
    <w:rsid w:val="008E765D"/>
    <w:rsid w:val="008F733C"/>
    <w:rsid w:val="00901BE0"/>
    <w:rsid w:val="00904292"/>
    <w:rsid w:val="00910626"/>
    <w:rsid w:val="00910AC9"/>
    <w:rsid w:val="0091236B"/>
    <w:rsid w:val="009135EF"/>
    <w:rsid w:val="00913DB1"/>
    <w:rsid w:val="00914528"/>
    <w:rsid w:val="009150AA"/>
    <w:rsid w:val="009167EA"/>
    <w:rsid w:val="00916E26"/>
    <w:rsid w:val="00917CF5"/>
    <w:rsid w:val="009203AD"/>
    <w:rsid w:val="00920BA7"/>
    <w:rsid w:val="00921D50"/>
    <w:rsid w:val="00923ABF"/>
    <w:rsid w:val="009257CF"/>
    <w:rsid w:val="00926D34"/>
    <w:rsid w:val="00926E93"/>
    <w:rsid w:val="009272D6"/>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4FB0"/>
    <w:rsid w:val="00995057"/>
    <w:rsid w:val="0099724C"/>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6329"/>
    <w:rsid w:val="009E41F1"/>
    <w:rsid w:val="009E6969"/>
    <w:rsid w:val="009F13D4"/>
    <w:rsid w:val="009F14F1"/>
    <w:rsid w:val="009F1CFB"/>
    <w:rsid w:val="009F1DFF"/>
    <w:rsid w:val="009F35D0"/>
    <w:rsid w:val="009F3B9B"/>
    <w:rsid w:val="009F5A1E"/>
    <w:rsid w:val="009F69BD"/>
    <w:rsid w:val="009F69DB"/>
    <w:rsid w:val="009F6E0B"/>
    <w:rsid w:val="00A00252"/>
    <w:rsid w:val="00A0130C"/>
    <w:rsid w:val="00A013CD"/>
    <w:rsid w:val="00A027F4"/>
    <w:rsid w:val="00A03192"/>
    <w:rsid w:val="00A03333"/>
    <w:rsid w:val="00A0337F"/>
    <w:rsid w:val="00A055DB"/>
    <w:rsid w:val="00A0595F"/>
    <w:rsid w:val="00A106E7"/>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0CE0"/>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0DCD"/>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37627"/>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5F6B"/>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26E6"/>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62A30"/>
    <w:rsid w:val="00D62F10"/>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38CB"/>
    <w:rsid w:val="00EC6399"/>
    <w:rsid w:val="00EC7B6C"/>
    <w:rsid w:val="00ED00C1"/>
    <w:rsid w:val="00ED059D"/>
    <w:rsid w:val="00ED11DD"/>
    <w:rsid w:val="00ED1E7C"/>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72ED"/>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438E"/>
    <w:rsid w:val="00FF60C7"/>
    <w:rsid w:val="00FF7392"/>
    <w:rsid w:val="044B3319"/>
    <w:rsid w:val="08562DC0"/>
    <w:rsid w:val="0F3E0F9D"/>
    <w:rsid w:val="0F6E701B"/>
    <w:rsid w:val="10E325C5"/>
    <w:rsid w:val="149C0642"/>
    <w:rsid w:val="1A3A4DBC"/>
    <w:rsid w:val="1C2027AB"/>
    <w:rsid w:val="1CFEE352"/>
    <w:rsid w:val="1DD11934"/>
    <w:rsid w:val="1ED24BFE"/>
    <w:rsid w:val="1F48029C"/>
    <w:rsid w:val="28B640A0"/>
    <w:rsid w:val="29DA6A84"/>
    <w:rsid w:val="2A3751EB"/>
    <w:rsid w:val="2B0F3896"/>
    <w:rsid w:val="2E84799A"/>
    <w:rsid w:val="2EEA33B8"/>
    <w:rsid w:val="2FD04F31"/>
    <w:rsid w:val="308F387F"/>
    <w:rsid w:val="338A1A32"/>
    <w:rsid w:val="33BBAC18"/>
    <w:rsid w:val="36834799"/>
    <w:rsid w:val="370A6D13"/>
    <w:rsid w:val="37FF48F8"/>
    <w:rsid w:val="3BEFBDC5"/>
    <w:rsid w:val="3C886978"/>
    <w:rsid w:val="3ED922B8"/>
    <w:rsid w:val="3EF28FF8"/>
    <w:rsid w:val="3FFA93CD"/>
    <w:rsid w:val="42F8D1A7"/>
    <w:rsid w:val="44BA0C24"/>
    <w:rsid w:val="48527BF2"/>
    <w:rsid w:val="499F0266"/>
    <w:rsid w:val="4C134A8D"/>
    <w:rsid w:val="55235E3C"/>
    <w:rsid w:val="56AE22AD"/>
    <w:rsid w:val="56D614AB"/>
    <w:rsid w:val="57DE245F"/>
    <w:rsid w:val="5AE15E0E"/>
    <w:rsid w:val="5BEFC5A1"/>
    <w:rsid w:val="5DD6C2CB"/>
    <w:rsid w:val="5EED8C80"/>
    <w:rsid w:val="5F3B0C08"/>
    <w:rsid w:val="5F7FD8CA"/>
    <w:rsid w:val="5FFFB584"/>
    <w:rsid w:val="65FED761"/>
    <w:rsid w:val="66DA3416"/>
    <w:rsid w:val="67485C34"/>
    <w:rsid w:val="68170839"/>
    <w:rsid w:val="69E65636"/>
    <w:rsid w:val="6A0E6F98"/>
    <w:rsid w:val="6A1C2667"/>
    <w:rsid w:val="6BA13E68"/>
    <w:rsid w:val="6DFA1037"/>
    <w:rsid w:val="6ECF23D3"/>
    <w:rsid w:val="6FA2C1F0"/>
    <w:rsid w:val="6FDEDEEE"/>
    <w:rsid w:val="7023A0A9"/>
    <w:rsid w:val="71EB4632"/>
    <w:rsid w:val="744B4752"/>
    <w:rsid w:val="75765346"/>
    <w:rsid w:val="776D0759"/>
    <w:rsid w:val="78FF560C"/>
    <w:rsid w:val="7AEC944A"/>
    <w:rsid w:val="7B7CEE91"/>
    <w:rsid w:val="7BED8F04"/>
    <w:rsid w:val="7BFF8F22"/>
    <w:rsid w:val="7CFDD9A9"/>
    <w:rsid w:val="7DF7CE17"/>
    <w:rsid w:val="7DFF54D1"/>
    <w:rsid w:val="7E7506C6"/>
    <w:rsid w:val="7EC02673"/>
    <w:rsid w:val="7EC71A1F"/>
    <w:rsid w:val="7EFE9044"/>
    <w:rsid w:val="7F695249"/>
    <w:rsid w:val="7FAE5D47"/>
    <w:rsid w:val="7FE8EC38"/>
    <w:rsid w:val="7FEF9548"/>
    <w:rsid w:val="7FF75E0B"/>
    <w:rsid w:val="7FFFD372"/>
    <w:rsid w:val="9DDFDF11"/>
    <w:rsid w:val="A3FFC844"/>
    <w:rsid w:val="ABFEE740"/>
    <w:rsid w:val="AEE3A781"/>
    <w:rsid w:val="B5EF9902"/>
    <w:rsid w:val="B96F8922"/>
    <w:rsid w:val="BBDFA446"/>
    <w:rsid w:val="BECE0681"/>
    <w:rsid w:val="BF7DAE90"/>
    <w:rsid w:val="BFE472E3"/>
    <w:rsid w:val="BFFB194C"/>
    <w:rsid w:val="C3F1BFCA"/>
    <w:rsid w:val="CF7FAF37"/>
    <w:rsid w:val="CF9E82C4"/>
    <w:rsid w:val="CFF7F027"/>
    <w:rsid w:val="D69FE11C"/>
    <w:rsid w:val="DC9FB96A"/>
    <w:rsid w:val="DEFA1434"/>
    <w:rsid w:val="E77B332A"/>
    <w:rsid w:val="E7F78809"/>
    <w:rsid w:val="EFE7DB7C"/>
    <w:rsid w:val="F3B60586"/>
    <w:rsid w:val="F473AF48"/>
    <w:rsid w:val="F6C48F80"/>
    <w:rsid w:val="F71D041A"/>
    <w:rsid w:val="FDB5CCA7"/>
    <w:rsid w:val="FDBCA24B"/>
    <w:rsid w:val="FDEBAAC9"/>
    <w:rsid w:val="FFFBAF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8">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2">
    <w:name w:val="footnote text"/>
    <w:basedOn w:val="1"/>
    <w:next w:val="3"/>
    <w:qFormat/>
    <w:uiPriority w:val="0"/>
    <w:pPr>
      <w:suppressAutoHyphens/>
      <w:bidi w:val="0"/>
      <w:snapToGrid w:val="0"/>
    </w:pPr>
    <w:rPr>
      <w:rFonts w:ascii="Calibri" w:hAnsi="Times New Roman" w:eastAsia="宋体" w:cs="Times New Roman"/>
      <w:color w:val="auto"/>
      <w:sz w:val="18"/>
      <w:szCs w:val="18"/>
      <w:lang w:bidi="ar-SA"/>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uppressAutoHyphens/>
      <w:bidi w:val="0"/>
      <w:spacing w:after="120"/>
      <w:ind w:left="420" w:leftChars="200"/>
      <w:jc w:val="left"/>
    </w:pPr>
    <w:rPr>
      <w:rFonts w:ascii="宋体" w:hAnsi="宋体" w:eastAsia="宋体" w:cs="宋体"/>
      <w:color w:val="auto"/>
      <w:kern w:val="0"/>
      <w:sz w:val="24"/>
      <w:szCs w:val="24"/>
      <w:lang w:bidi="ar-SA"/>
    </w:rPr>
  </w:style>
  <w:style w:type="paragraph" w:styleId="5">
    <w:name w:val="Normal Indent"/>
    <w:basedOn w:val="1"/>
    <w:qFormat/>
    <w:uiPriority w:val="0"/>
    <w:pPr>
      <w:suppressAutoHyphens/>
      <w:ind w:firstLine="200" w:firstLineChars="200"/>
    </w:pPr>
    <w:rPr>
      <w:rFonts w:ascii="宋体" w:hAnsi="宋体" w:eastAsia="宋体" w:cs="Times New Roman"/>
      <w:sz w:val="28"/>
      <w:szCs w:val="24"/>
      <w:lang w:bidi="ar-SA"/>
    </w:rPr>
  </w:style>
  <w:style w:type="paragraph" w:styleId="6">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7">
    <w:name w:val="Document Map"/>
    <w:basedOn w:val="1"/>
    <w:semiHidden/>
    <w:uiPriority w:val="0"/>
    <w:pPr>
      <w:shd w:val="clear" w:color="auto" w:fill="000080"/>
    </w:pPr>
  </w:style>
  <w:style w:type="paragraph" w:styleId="8">
    <w:name w:val="Body Text"/>
    <w:basedOn w:val="1"/>
    <w:next w:val="9"/>
    <w:uiPriority w:val="0"/>
    <w:pPr>
      <w:suppressAutoHyphens/>
      <w:bidi w:val="0"/>
      <w:spacing w:before="0" w:after="140" w:line="276" w:lineRule="auto"/>
    </w:pPr>
    <w:rPr>
      <w:rFonts w:ascii="Calibri" w:hAnsi="Calibri" w:eastAsia="宋体" w:cs="Times New Roman"/>
      <w:color w:val="auto"/>
      <w:szCs w:val="24"/>
      <w:lang w:bidi="ar-SA"/>
    </w:rPr>
  </w:style>
  <w:style w:type="paragraph" w:styleId="9">
    <w:name w:val="toc 2"/>
    <w:basedOn w:val="1"/>
    <w:next w:val="1"/>
    <w:semiHidden/>
    <w:qFormat/>
    <w:uiPriority w:val="99"/>
    <w:pPr>
      <w:suppressAutoHyphens/>
      <w:bidi w:val="0"/>
      <w:ind w:left="420" w:leftChars="200"/>
    </w:pPr>
    <w:rPr>
      <w:rFonts w:ascii="Calibri" w:hAnsi="Calibri" w:eastAsia="宋体" w:cs="Times New Roman"/>
      <w:color w:val="auto"/>
      <w:szCs w:val="24"/>
      <w:lang w:bidi="ar-SA"/>
    </w:rPr>
  </w:style>
  <w:style w:type="paragraph" w:styleId="10">
    <w:name w:val="Date"/>
    <w:basedOn w:val="1"/>
    <w:next w:val="1"/>
    <w:link w:val="25"/>
    <w:uiPriority w:val="0"/>
    <w:pPr>
      <w:ind w:left="100" w:leftChars="2500"/>
    </w:pPr>
    <w:rPr>
      <w:rFonts w:ascii="仿宋_GB2312" w:eastAsia="仿宋_GB2312"/>
      <w:sz w:val="32"/>
    </w:rPr>
  </w:style>
  <w:style w:type="paragraph" w:styleId="11">
    <w:name w:val="Balloon Text"/>
    <w:basedOn w:val="1"/>
    <w:semiHidden/>
    <w:uiPriority w:val="0"/>
    <w:rPr>
      <w:sz w:val="18"/>
      <w:szCs w:val="18"/>
    </w:rPr>
  </w:style>
  <w:style w:type="paragraph" w:styleId="12">
    <w:name w:val="footer"/>
    <w:basedOn w:val="1"/>
    <w:link w:val="26"/>
    <w:uiPriority w:val="0"/>
    <w:pPr>
      <w:tabs>
        <w:tab w:val="center" w:pos="4153"/>
        <w:tab w:val="right" w:pos="8306"/>
      </w:tabs>
      <w:snapToGrid w:val="0"/>
      <w:jc w:val="left"/>
    </w:pPr>
    <w:rPr>
      <w:sz w:val="18"/>
      <w:szCs w:val="18"/>
    </w:rPr>
  </w:style>
  <w:style w:type="paragraph" w:styleId="13">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8"/>
    <w:uiPriority w:val="0"/>
  </w:style>
  <w:style w:type="paragraph" w:styleId="15">
    <w:name w:val="Normal (Web)"/>
    <w:basedOn w:val="1"/>
    <w:qFormat/>
    <w:uiPriority w:val="0"/>
    <w:pPr>
      <w:suppressAutoHyphens/>
      <w:bidi w:val="0"/>
      <w:spacing w:before="100" w:beforeAutospacing="1" w:after="100" w:afterAutospacing="1"/>
      <w:jc w:val="left"/>
    </w:pPr>
    <w:rPr>
      <w:rFonts w:ascii="Times New Roman" w:hAnsi="Times New Roman" w:eastAsia="宋体" w:cs="Times New Roman"/>
      <w:color w:val="auto"/>
      <w:kern w:val="0"/>
      <w:sz w:val="24"/>
      <w:szCs w:val="24"/>
      <w:lang w:bidi="ar-SA"/>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uiPriority w:val="0"/>
  </w:style>
  <w:style w:type="character" w:styleId="20">
    <w:name w:val="Hyperlink"/>
    <w:basedOn w:val="18"/>
    <w:uiPriority w:val="0"/>
    <w:rPr>
      <w:rFonts w:ascii="Times New Roman" w:hAnsi="Times New Roman" w:eastAsia="宋体" w:cs="Times New Roman"/>
      <w:color w:val="0000FF"/>
      <w:u w:val="single"/>
    </w:rPr>
  </w:style>
  <w:style w:type="character" w:styleId="21">
    <w:name w:val="footnote reference"/>
    <w:basedOn w:val="18"/>
    <w:uiPriority w:val="0"/>
    <w:rPr>
      <w:rFonts w:ascii="Calibri" w:hAnsi="Calibri" w:eastAsia="宋体" w:cs="Times New Roman"/>
      <w:vertAlign w:val="superscript"/>
    </w:rPr>
  </w:style>
  <w:style w:type="paragraph" w:customStyle="1" w:styleId="22">
    <w:name w:val="Char"/>
    <w:basedOn w:val="1"/>
    <w:qFormat/>
    <w:uiPriority w:val="0"/>
    <w:pPr>
      <w:suppressAutoHyphens w:val="0"/>
      <w:bidi w:val="0"/>
      <w:ind w:firstLine="445" w:firstLineChars="139"/>
    </w:pPr>
    <w:rPr>
      <w:rFonts w:ascii="Times New Roman" w:hAnsi="Times New Roman" w:eastAsia="宋体" w:cs="Times New Roman"/>
      <w:color w:val="auto"/>
      <w:szCs w:val="20"/>
      <w:lang w:bidi="ar-SA"/>
    </w:rPr>
  </w:style>
  <w:style w:type="paragraph" w:customStyle="1" w:styleId="23">
    <w:name w:val="Heading"/>
    <w:basedOn w:val="1"/>
    <w:next w:val="8"/>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4">
    <w:name w:val="Index"/>
    <w:basedOn w:val="1"/>
    <w:uiPriority w:val="0"/>
    <w:pPr>
      <w:widowControl w:val="0"/>
      <w:suppressLineNumbers/>
      <w:suppressAutoHyphens/>
      <w:bidi w:val="0"/>
    </w:pPr>
    <w:rPr>
      <w:rFonts w:ascii="Calibri" w:hAnsi="Calibri" w:eastAsia="宋体" w:cs="Times New Roman"/>
      <w:color w:val="auto"/>
      <w:szCs w:val="24"/>
      <w:lang w:bidi="ar-SA"/>
    </w:rPr>
  </w:style>
  <w:style w:type="character" w:customStyle="1" w:styleId="25">
    <w:name w:val=" Char Char1"/>
    <w:basedOn w:val="18"/>
    <w:link w:val="10"/>
    <w:uiPriority w:val="0"/>
    <w:rPr>
      <w:rFonts w:ascii="仿宋_GB2312" w:hAnsi="Times New Roman" w:eastAsia="仿宋_GB2312" w:cs="Times New Roman"/>
      <w:kern w:val="2"/>
      <w:sz w:val="32"/>
      <w:szCs w:val="24"/>
      <w:lang w:bidi="ar-SA"/>
    </w:rPr>
  </w:style>
  <w:style w:type="character" w:customStyle="1" w:styleId="26">
    <w:name w:val=" Char Char2"/>
    <w:basedOn w:val="18"/>
    <w:link w:val="12"/>
    <w:semiHidden/>
    <w:uiPriority w:val="99"/>
    <w:rPr>
      <w:rFonts w:ascii="Times New Roman" w:hAnsi="Times New Roman" w:eastAsia="宋体" w:cs="Times New Roman"/>
      <w:kern w:val="2"/>
      <w:sz w:val="18"/>
      <w:szCs w:val="22"/>
    </w:rPr>
  </w:style>
  <w:style w:type="character" w:customStyle="1" w:styleId="27">
    <w:name w:val=" Char Char"/>
    <w:basedOn w:val="18"/>
    <w:link w:val="13"/>
    <w:semiHidden/>
    <w:uiPriority w:val="99"/>
    <w:rPr>
      <w:rFonts w:ascii="Times New Roman" w:hAnsi="Times New Roman" w:eastAsia="宋体" w:cs="Times New Roman"/>
      <w:kern w:val="2"/>
      <w:sz w:val="18"/>
      <w:szCs w:val="22"/>
    </w:rPr>
  </w:style>
  <w:style w:type="character" w:customStyle="1" w:styleId="28">
    <w:name w:val="us-name"/>
    <w:basedOn w:val="18"/>
    <w:qFormat/>
    <w:uiPriority w:val="0"/>
    <w:rPr>
      <w:rFonts w:ascii="Calibri" w:hAnsi="Calibri" w:eastAsia="宋体" w:cs="Times New Roman"/>
    </w:rPr>
  </w:style>
  <w:style w:type="character" w:customStyle="1" w:styleId="29">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904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韩君:处室负责人审核</cp:lastModifiedBy>
  <dcterms:modified xsi:type="dcterms:W3CDTF">2024-07-25T01:13:51Z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