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beforeAutospacing="0" w:afterAutospacing="0" w:line="540" w:lineRule="exact"/>
        <w:ind w:firstLine="160" w:firstLineChars="5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val="0"/>
        <w:snapToGrid w:val="0"/>
        <w:spacing w:beforeAutospacing="0" w:afterAutospacing="0" w:line="54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beforeAutospacing="0" w:afterAutospacing="0"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内蒙古自治区人民政府办公厅关于规范</w:t>
      </w:r>
    </w:p>
    <w:p>
      <w:pPr>
        <w:keepNext w:val="0"/>
        <w:keepLines w:val="0"/>
        <w:pageBreakBefore w:val="0"/>
        <w:widowControl w:val="0"/>
        <w:kinsoku/>
        <w:wordWrap/>
        <w:overflowPunct/>
        <w:topLinePunct/>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推进全区政府和社会资本合作项目的实施意见</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内政办发〔2024〕</w:t>
      </w:r>
      <w:r>
        <w:rPr>
          <w:rFonts w:hint="eastAsia" w:ascii="仿宋_GB2312" w:hAnsi="华文仿宋" w:eastAsia="仿宋_GB2312"/>
          <w:sz w:val="32"/>
          <w:lang w:val="en-US" w:eastAsia="zh-CN"/>
        </w:rPr>
        <w:t>34</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adjustRightInd/>
        <w:snapToGrid/>
        <w:spacing w:beforeAutospacing="0" w:afterAutospacing="0" w:line="540" w:lineRule="exact"/>
        <w:jc w:val="both"/>
        <w:textAlignment w:val="auto"/>
        <w:rPr>
          <w:rFonts w:hint="eastAsia"/>
          <w:sz w:val="30"/>
        </w:rPr>
      </w:pPr>
    </w:p>
    <w:p>
      <w:pPr>
        <w:keepNext w:val="0"/>
        <w:keepLines w:val="0"/>
        <w:pageBreakBefore w:val="0"/>
        <w:widowControl w:val="0"/>
        <w:kinsoku/>
        <w:wordWrap/>
        <w:overflowPunct/>
        <w:topLinePunct/>
        <w:autoSpaceDE/>
        <w:autoSpaceDN/>
        <w:bidi w:val="0"/>
        <w:adjustRightInd w:val="0"/>
        <w:snapToGrid w:val="0"/>
        <w:spacing w:beforeAutospacing="0" w:afterAutospacing="0" w:line="540" w:lineRule="exact"/>
        <w:textAlignment w:val="auto"/>
        <w:rPr>
          <w:rFonts w:hint="eastAsia" w:ascii="仿宋" w:hAnsi="仿宋" w:eastAsia="仿宋" w:cs="仿宋"/>
          <w:b w:val="0"/>
          <w:bCs w:val="0"/>
          <w:kern w:val="2"/>
          <w:sz w:val="32"/>
          <w:szCs w:val="32"/>
          <w:lang w:val="en-US" w:eastAsia="zh-CN" w:bidi="ar-SA"/>
        </w:rPr>
      </w:pPr>
      <w:bookmarkStart w:id="2" w:name="_GoBack"/>
      <w:r>
        <w:rPr>
          <w:rFonts w:hint="eastAsia" w:ascii="仿宋" w:hAnsi="仿宋" w:eastAsia="仿宋" w:cs="仿宋"/>
          <w:b w:val="0"/>
          <w:bCs w:val="0"/>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beforeAutospacing="0" w:afterAutospacing="0" w:line="540" w:lineRule="exact"/>
        <w:ind w:left="0" w:lef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为贯彻落实《国务院办公厅转发国家发展改革委、财政部〈关于规范实施政府和社会资本合作新机制的指导意见〉的通知》（</w:t>
      </w:r>
      <w:r>
        <w:rPr>
          <w:rFonts w:hint="eastAsia" w:ascii="仿宋" w:hAnsi="仿宋" w:eastAsia="仿宋" w:cs="仿宋"/>
          <w:i w:val="0"/>
          <w:caps w:val="0"/>
          <w:color w:val="000000"/>
          <w:spacing w:val="0"/>
          <w:kern w:val="0"/>
          <w:sz w:val="32"/>
          <w:szCs w:val="32"/>
          <w:shd w:val="clear" w:color="auto" w:fill="auto"/>
          <w:lang w:val="en-US" w:eastAsia="zh-CN" w:bidi="ar"/>
        </w:rPr>
        <w:t>国办函〔2023〕115号</w:t>
      </w:r>
      <w:r>
        <w:rPr>
          <w:rFonts w:hint="eastAsia" w:ascii="仿宋" w:hAnsi="仿宋" w:eastAsia="仿宋" w:cs="仿宋"/>
          <w:b w:val="0"/>
          <w:bCs w:val="0"/>
          <w:kern w:val="2"/>
          <w:sz w:val="32"/>
          <w:szCs w:val="32"/>
          <w:lang w:val="en-US" w:eastAsia="zh-CN" w:bidi="ar-SA"/>
        </w:rPr>
        <w:t>）有关要求，紧扣铸牢中华民族共同体意识工作主线，规范实施政府和社会资本合作新机制，拓宽全区民间投资空间，坚决遏制新增地方政府隐性债务，经自治区人民政府同意，现提出如下意见。</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sz w:val="32"/>
          <w:szCs w:val="32"/>
          <w:lang w:val="en-US" w:eastAsia="zh-CN"/>
        </w:rPr>
        <w:t>一、准确把握政府和社会资本合作的总体要求</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firstLine="640" w:firstLineChars="200"/>
        <w:textAlignment w:val="auto"/>
        <w:rPr>
          <w:rFonts w:hint="eastAsia" w:ascii="仿宋" w:hAnsi="仿宋" w:eastAsia="仿宋" w:cs="仿宋"/>
          <w:b w:val="0"/>
          <w:bCs w:val="0"/>
          <w:spacing w:val="-6"/>
          <w:kern w:val="2"/>
          <w:sz w:val="32"/>
          <w:szCs w:val="32"/>
          <w:lang w:val="en-US" w:eastAsia="zh-CN" w:bidi="ar-SA"/>
        </w:rPr>
      </w:pPr>
      <w:r>
        <w:rPr>
          <w:rFonts w:hint="eastAsia" w:ascii="楷体" w:hAnsi="楷体" w:eastAsia="楷体" w:cs="楷体"/>
          <w:b w:val="0"/>
          <w:bCs w:val="0"/>
          <w:kern w:val="2"/>
          <w:sz w:val="32"/>
          <w:szCs w:val="32"/>
          <w:lang w:val="en-US" w:eastAsia="zh-CN" w:bidi="ar-SA"/>
        </w:rPr>
        <w:t>（一）准确</w:t>
      </w:r>
      <w:r>
        <w:rPr>
          <w:rFonts w:hint="eastAsia" w:ascii="楷体" w:hAnsi="楷体" w:eastAsia="楷体" w:cs="楷体"/>
          <w:b w:val="0"/>
          <w:bCs w:val="0"/>
          <w:spacing w:val="-6"/>
          <w:kern w:val="2"/>
          <w:sz w:val="32"/>
          <w:szCs w:val="32"/>
          <w:lang w:val="en-US" w:eastAsia="zh-CN" w:bidi="ar-SA"/>
        </w:rPr>
        <w:t>把握合作方式。</w:t>
      </w:r>
      <w:r>
        <w:rPr>
          <w:rFonts w:hint="eastAsia" w:ascii="仿宋" w:hAnsi="仿宋" w:eastAsia="仿宋" w:cs="仿宋"/>
          <w:b w:val="0"/>
          <w:bCs w:val="0"/>
          <w:spacing w:val="-6"/>
          <w:kern w:val="2"/>
          <w:sz w:val="32"/>
          <w:szCs w:val="32"/>
          <w:lang w:val="en-US" w:eastAsia="zh-CN" w:bidi="ar-SA"/>
        </w:rPr>
        <w:t>政府和社会资本合作应聚焦使用者付费项目，全部采取特许经营模式。不应采用政府和社会资本合作模式额外新增地方财政未来支出责任，不允许在法律法规和政策规定之外单独给予运营补贴，不允许通过可行性缺口补助、承诺保底收益率、可用性付费等方式使用财政资金弥补项目建设和运营成本。</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（二）准确把握合作领域。</w:t>
      </w:r>
      <w:r>
        <w:rPr>
          <w:rFonts w:hint="eastAsia" w:ascii="仿宋" w:hAnsi="仿宋" w:eastAsia="仿宋" w:cs="仿宋"/>
          <w:b w:val="0"/>
          <w:bCs w:val="0"/>
          <w:kern w:val="2"/>
          <w:sz w:val="32"/>
          <w:szCs w:val="32"/>
          <w:lang w:val="en-US" w:eastAsia="zh-CN" w:bidi="ar-SA"/>
        </w:rPr>
        <w:t>政府和社会资本合作应限定于有经营性收益的项目，项目经营收入能够覆盖建设投资和运营成本。商业特许经营以及不涉及产权移交环节的公建民营、公办民营，不属于新机制规范的政府和社会资本合作。市场化程度高的商业项目和产业项目、没有收益的公益性项目，不得采取特许经营模式，不得将以上类型项目相互“打捆”或与适合采取特许经营模式的项目“打捆”开展政府和社会资本合作。</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（三）准确</w:t>
      </w:r>
      <w:r>
        <w:rPr>
          <w:rFonts w:hint="eastAsia" w:ascii="楷体" w:hAnsi="楷体" w:eastAsia="楷体" w:cs="楷体"/>
          <w:b w:val="0"/>
          <w:bCs w:val="0"/>
          <w:spacing w:val="-6"/>
          <w:kern w:val="2"/>
          <w:sz w:val="32"/>
          <w:szCs w:val="32"/>
          <w:lang w:val="en-US" w:eastAsia="zh-CN" w:bidi="ar-SA"/>
        </w:rPr>
        <w:t>把握参与企业。</w:t>
      </w:r>
      <w:r>
        <w:rPr>
          <w:rFonts w:hint="eastAsia" w:ascii="仿宋" w:hAnsi="仿宋" w:eastAsia="仿宋" w:cs="仿宋"/>
          <w:b w:val="0"/>
          <w:bCs w:val="0"/>
          <w:spacing w:val="0"/>
          <w:kern w:val="2"/>
          <w:sz w:val="32"/>
          <w:szCs w:val="32"/>
          <w:lang w:val="en-US" w:eastAsia="zh-CN" w:bidi="ar-SA"/>
        </w:rPr>
        <w:t>政府和社会资本合作要坚持初衷，</w:t>
      </w:r>
      <w:r>
        <w:rPr>
          <w:rFonts w:hint="eastAsia" w:ascii="仿宋" w:hAnsi="仿宋" w:eastAsia="仿宋" w:cs="仿宋"/>
          <w:b w:val="0"/>
          <w:bCs w:val="0"/>
          <w:kern w:val="2"/>
          <w:sz w:val="32"/>
          <w:szCs w:val="32"/>
          <w:lang w:val="en-US" w:eastAsia="zh-CN" w:bidi="ar-SA"/>
        </w:rPr>
        <w:t>回归本源，严格执行《支持民营企业参与的特许经营新建（含改扩建）项目清单（2023年版）》，最大程度鼓励民营企业参与政府和社会资本合作项目。原则上不宜选择本级国有企业作为项目实施机构参与本级政府和社会资本合作项目。本级政府以资本金注入方式对政府和社会资本合作项目给予支持，本级国有企业可以作为出资人代表参与该项目，但不得控股，除此之外，本级国有企业不得以任何方式作为本级政府和社会资本合作项目的联合投标方或项目公司股东。</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（四）准确把握工作节奏。</w:t>
      </w:r>
      <w:r>
        <w:rPr>
          <w:rFonts w:hint="eastAsia" w:ascii="仿宋" w:hAnsi="仿宋" w:eastAsia="仿宋" w:cs="仿宋"/>
          <w:b w:val="0"/>
          <w:bCs w:val="0"/>
          <w:kern w:val="2"/>
          <w:sz w:val="32"/>
          <w:szCs w:val="32"/>
          <w:lang w:val="en-US" w:eastAsia="zh-CN" w:bidi="ar-SA"/>
        </w:rPr>
        <w:t>政府</w:t>
      </w:r>
      <w:r>
        <w:rPr>
          <w:rFonts w:hint="eastAsia" w:ascii="仿宋" w:hAnsi="仿宋" w:eastAsia="仿宋" w:cs="仿宋"/>
          <w:b w:val="0"/>
          <w:bCs w:val="0"/>
          <w:spacing w:val="-6"/>
          <w:kern w:val="2"/>
          <w:sz w:val="32"/>
          <w:szCs w:val="32"/>
          <w:lang w:val="en-US" w:eastAsia="zh-CN" w:bidi="ar-SA"/>
        </w:rPr>
        <w:t>和社会资本合作要稳妥推进。</w:t>
      </w:r>
      <w:r>
        <w:rPr>
          <w:rFonts w:hint="eastAsia" w:ascii="仿宋" w:hAnsi="仿宋" w:eastAsia="仿宋" w:cs="仿宋"/>
          <w:b w:val="0"/>
          <w:bCs w:val="0"/>
          <w:color w:val="auto"/>
          <w:kern w:val="2"/>
          <w:sz w:val="32"/>
          <w:szCs w:val="32"/>
          <w:lang w:val="en-US" w:eastAsia="zh-CN" w:bidi="ar-SA"/>
        </w:rPr>
        <w:t>旗县级以上地方人民政府要</w:t>
      </w:r>
      <w:r>
        <w:rPr>
          <w:rFonts w:hint="eastAsia" w:ascii="仿宋" w:hAnsi="仿宋" w:eastAsia="仿宋" w:cs="仿宋"/>
          <w:b w:val="0"/>
          <w:bCs w:val="0"/>
          <w:kern w:val="2"/>
          <w:sz w:val="32"/>
          <w:szCs w:val="32"/>
          <w:lang w:val="en-US" w:eastAsia="zh-CN" w:bidi="ar-SA"/>
        </w:rPr>
        <w:t>把握好工作力度、节奏，确保每一个项目均符合新机制要求，规范推进项目建设实施，切实加强运营监管，实现全生命周期管理。</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sz w:val="32"/>
          <w:szCs w:val="32"/>
          <w:lang w:val="en-US" w:eastAsia="zh-CN"/>
        </w:rPr>
        <w:t>二、严格规范政府和社会资本合作项目决策管理程序</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（五）确定特许经营项目实施机构。</w:t>
      </w:r>
      <w:r>
        <w:rPr>
          <w:rFonts w:hint="eastAsia" w:ascii="方正仿宋_GBK" w:hAnsi="方正仿宋_GBK" w:eastAsia="方正仿宋_GBK" w:cs="方正仿宋_GBK"/>
          <w:b w:val="0"/>
          <w:bCs w:val="0"/>
          <w:kern w:val="2"/>
          <w:sz w:val="32"/>
          <w:szCs w:val="32"/>
          <w:lang w:val="en-US" w:eastAsia="zh-CN" w:bidi="ar-SA"/>
        </w:rPr>
        <w:t>按照行业分类和职能分工，拟实施政府和社会资本合作项目的旗县级以</w:t>
      </w:r>
      <w:r>
        <w:rPr>
          <w:rFonts w:hint="eastAsia" w:ascii="方正仿宋_GBK" w:hAnsi="方正仿宋_GBK" w:eastAsia="方正仿宋_GBK" w:cs="方正仿宋_GBK"/>
          <w:b w:val="0"/>
          <w:bCs w:val="0"/>
          <w:color w:val="auto"/>
          <w:kern w:val="2"/>
          <w:sz w:val="32"/>
          <w:szCs w:val="32"/>
          <w:lang w:val="en-US" w:eastAsia="zh-CN" w:bidi="ar-SA"/>
        </w:rPr>
        <w:t>上地方人民政府</w:t>
      </w:r>
      <w:r>
        <w:rPr>
          <w:rFonts w:hint="eastAsia" w:ascii="方正仿宋_GBK" w:hAnsi="方正仿宋_GBK" w:eastAsia="方正仿宋_GBK" w:cs="方正仿宋_GBK"/>
          <w:b w:val="0"/>
          <w:bCs w:val="0"/>
          <w:kern w:val="2"/>
          <w:sz w:val="32"/>
          <w:szCs w:val="32"/>
          <w:lang w:val="en-US" w:eastAsia="zh-CN" w:bidi="ar-SA"/>
        </w:rPr>
        <w:t>可依法依规授权有关行业（业务）主管部门、事业单位作为项目实施机构，负责特许经营方案编制、特许经营者选择、特许经营协议签订、项目实施监管、合作期满移交接收等工作。</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（六）确</w:t>
      </w:r>
      <w:r>
        <w:rPr>
          <w:rFonts w:hint="eastAsia" w:ascii="楷体" w:hAnsi="楷体" w:eastAsia="楷体" w:cs="楷体"/>
          <w:b w:val="0"/>
          <w:bCs w:val="0"/>
          <w:spacing w:val="-6"/>
          <w:kern w:val="2"/>
          <w:sz w:val="32"/>
          <w:szCs w:val="32"/>
          <w:lang w:val="en-US" w:eastAsia="zh-CN" w:bidi="ar-SA"/>
        </w:rPr>
        <w:t>定特许经营方案。</w:t>
      </w:r>
      <w:r>
        <w:rPr>
          <w:rFonts w:hint="eastAsia" w:ascii="仿宋" w:hAnsi="仿宋" w:eastAsia="仿宋" w:cs="仿宋"/>
          <w:b w:val="0"/>
          <w:bCs w:val="0"/>
          <w:spacing w:val="-11"/>
          <w:kern w:val="2"/>
          <w:sz w:val="32"/>
          <w:szCs w:val="32"/>
          <w:lang w:val="en-US" w:eastAsia="zh-CN" w:bidi="ar-SA"/>
        </w:rPr>
        <w:t>项目实施机构编制特许经营方案后，</w:t>
      </w:r>
      <w:r>
        <w:rPr>
          <w:rFonts w:hint="eastAsia" w:ascii="仿宋" w:hAnsi="仿宋" w:eastAsia="仿宋" w:cs="仿宋"/>
          <w:b w:val="0"/>
          <w:bCs w:val="0"/>
          <w:spacing w:val="-6"/>
          <w:kern w:val="2"/>
          <w:sz w:val="32"/>
          <w:szCs w:val="32"/>
          <w:lang w:val="en-US" w:eastAsia="zh-CN" w:bidi="ar-SA"/>
        </w:rPr>
        <w:t>旗县级以上地方人民政府可责成发展改革部门牵头，会同财政部门、有关行业（业务）主管部门，对特许经营方案进行初审把关，主要研究论证项目建设的必要性和可行性、特许经营模式的必要性和可行性论证、特许经营的主要内容等。</w:t>
      </w:r>
      <w:r>
        <w:rPr>
          <w:rFonts w:hint="eastAsia" w:ascii="仿宋" w:hAnsi="仿宋" w:eastAsia="仿宋" w:cs="仿宋"/>
          <w:b w:val="0"/>
          <w:bCs w:val="0"/>
          <w:spacing w:val="-11"/>
          <w:kern w:val="2"/>
          <w:sz w:val="32"/>
          <w:szCs w:val="32"/>
          <w:lang w:val="en-US" w:eastAsia="zh-CN" w:bidi="ar-SA"/>
        </w:rPr>
        <w:t>初审后报本级人民政府研究审定。</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（七）确定特许经营者。</w:t>
      </w:r>
      <w:r>
        <w:rPr>
          <w:rFonts w:hint="eastAsia" w:ascii="仿宋" w:hAnsi="仿宋" w:eastAsia="仿宋" w:cs="仿宋"/>
          <w:b w:val="0"/>
          <w:bCs w:val="0"/>
          <w:kern w:val="2"/>
          <w:sz w:val="32"/>
          <w:szCs w:val="32"/>
          <w:lang w:val="en-US" w:eastAsia="zh-CN" w:bidi="ar-SA"/>
        </w:rPr>
        <w:t>项目实施机构根据本级人民政府审定的特许经营方案，依法依规公平选择特许经营者，规范签订特许经营协议。选定的特许经营者及其投融资、建设责任原则上不得调整，确需调整的应重新履行特许经营者选择程序。</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（八）严格履行投资管理程序。</w:t>
      </w:r>
      <w:r>
        <w:rPr>
          <w:rFonts w:hint="eastAsia" w:ascii="仿宋" w:hAnsi="仿宋" w:eastAsia="仿宋" w:cs="仿宋"/>
          <w:b w:val="0"/>
          <w:bCs w:val="0"/>
          <w:kern w:val="2"/>
          <w:sz w:val="32"/>
          <w:szCs w:val="32"/>
          <w:lang w:val="en-US" w:eastAsia="zh-CN" w:bidi="ar-SA"/>
        </w:rPr>
        <w:t>在完成特许经营方案审核、选定特许经营者后，项目单位需严格履行项目审批、核准或备案等投资管理程序。对政府采用资本金注入方式给予投资支持的特许经营项目，应按照《政府投资条例》和《内蒙古自治区本级政府投资项目决策管理程序》有关规定履行审批手续。对由社会资本方单独投资的项目，应按照《企业投资项目核准和备案管理条例》有关规定履行核准或备案手续。</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（九）规</w:t>
      </w:r>
      <w:r>
        <w:rPr>
          <w:rFonts w:hint="eastAsia" w:ascii="楷体" w:hAnsi="楷体" w:eastAsia="楷体" w:cs="楷体"/>
          <w:b w:val="0"/>
          <w:bCs w:val="0"/>
          <w:spacing w:val="-6"/>
          <w:kern w:val="2"/>
          <w:sz w:val="32"/>
          <w:szCs w:val="32"/>
          <w:lang w:val="en-US" w:eastAsia="zh-CN" w:bidi="ar-SA"/>
        </w:rPr>
        <w:t>范履行项目调整程序。</w:t>
      </w:r>
      <w:r>
        <w:rPr>
          <w:rFonts w:hint="eastAsia" w:ascii="仿宋" w:hAnsi="仿宋" w:eastAsia="仿宋" w:cs="仿宋"/>
          <w:b w:val="0"/>
          <w:bCs w:val="0"/>
          <w:spacing w:val="-6"/>
          <w:kern w:val="2"/>
          <w:sz w:val="32"/>
          <w:szCs w:val="32"/>
          <w:lang w:val="en-US" w:eastAsia="zh-CN" w:bidi="ar-SA"/>
        </w:rPr>
        <w:t>对已完成审批、核准或备案手续的特许经营项目，如发生变更建设地点、调整主要建设内容、调整建设标准等重大情形，项目单位应报请原审批、核准机关重新履行项目审核程序，必要时项目实施机构应重新申请开展特许经营模式可行性论证和特许经营方案审核工作。特许经营项目法人确定后，如与前期办理审批、用地、规划等手续时的项目法人不一致，应依法办理项目法人变更手续，项目实施机构应给予必要支持和便利。</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（十）严</w:t>
      </w:r>
      <w:r>
        <w:rPr>
          <w:rFonts w:hint="eastAsia" w:ascii="楷体" w:hAnsi="楷体" w:eastAsia="楷体" w:cs="楷体"/>
          <w:b w:val="0"/>
          <w:bCs w:val="0"/>
          <w:spacing w:val="-6"/>
          <w:kern w:val="2"/>
          <w:sz w:val="32"/>
          <w:szCs w:val="32"/>
          <w:lang w:val="en-US" w:eastAsia="zh-CN" w:bidi="ar-SA"/>
        </w:rPr>
        <w:t>格项目建设实施管理。</w:t>
      </w:r>
      <w:r>
        <w:rPr>
          <w:rFonts w:hint="eastAsia" w:ascii="仿宋" w:hAnsi="仿宋" w:eastAsia="仿宋" w:cs="仿宋"/>
          <w:b w:val="0"/>
          <w:bCs w:val="0"/>
          <w:spacing w:val="-6"/>
          <w:kern w:val="2"/>
          <w:sz w:val="32"/>
          <w:szCs w:val="32"/>
          <w:lang w:val="en-US" w:eastAsia="zh-CN" w:bidi="ar-SA"/>
        </w:rPr>
        <w:t>特许经营者应做深做实项目前期工作，严格按照有关规定优化工程建设方案，合理安排工期，有效控制造价，保障工程质量，做好运营筹备。对地质条件复杂、施工风险较大、存在维修养</w:t>
      </w:r>
      <w:r>
        <w:rPr>
          <w:rFonts w:hint="eastAsia" w:ascii="仿宋" w:hAnsi="仿宋" w:eastAsia="仿宋" w:cs="仿宋"/>
          <w:b w:val="0"/>
          <w:bCs w:val="0"/>
          <w:spacing w:val="0"/>
          <w:kern w:val="2"/>
          <w:sz w:val="32"/>
          <w:szCs w:val="32"/>
          <w:lang w:val="en-US" w:eastAsia="zh-CN" w:bidi="ar-SA"/>
        </w:rPr>
        <w:t>护困难的项目，应完善勘察和施工设计，</w:t>
      </w:r>
      <w:r>
        <w:rPr>
          <w:rFonts w:hint="eastAsia" w:ascii="仿宋" w:hAnsi="仿宋" w:eastAsia="仿宋" w:cs="仿宋"/>
          <w:b w:val="0"/>
          <w:bCs w:val="0"/>
          <w:spacing w:val="-6"/>
          <w:kern w:val="2"/>
          <w:sz w:val="32"/>
          <w:szCs w:val="32"/>
          <w:lang w:val="en-US" w:eastAsia="zh-CN" w:bidi="ar-SA"/>
        </w:rPr>
        <w:t>强化建设风险控制，防止项目烂尾。项目建成后，应依法依规及时组织竣工验收和专项验收。需要试运行或试运营的项目，应在投入试运</w:t>
      </w:r>
      <w:r>
        <w:rPr>
          <w:rFonts w:hint="eastAsia" w:ascii="仿宋" w:hAnsi="仿宋" w:eastAsia="仿宋" w:cs="仿宋"/>
          <w:b w:val="0"/>
          <w:bCs w:val="0"/>
          <w:kern w:val="2"/>
          <w:sz w:val="32"/>
          <w:szCs w:val="32"/>
          <w:lang w:val="en-US" w:eastAsia="zh-CN" w:bidi="ar-SA"/>
        </w:rPr>
        <w:t>行或试运营前符合相应要求并取得试运行或试运营许可。</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（十一）切</w:t>
      </w:r>
      <w:r>
        <w:rPr>
          <w:rFonts w:hint="eastAsia" w:ascii="楷体" w:hAnsi="楷体" w:eastAsia="楷体" w:cs="楷体"/>
          <w:b w:val="0"/>
          <w:bCs w:val="0"/>
          <w:spacing w:val="-6"/>
          <w:kern w:val="2"/>
          <w:sz w:val="32"/>
          <w:szCs w:val="32"/>
          <w:lang w:val="en-US" w:eastAsia="zh-CN" w:bidi="ar-SA"/>
        </w:rPr>
        <w:t>实加强运营监管。</w:t>
      </w:r>
      <w:r>
        <w:rPr>
          <w:rFonts w:hint="eastAsia" w:ascii="仿宋" w:hAnsi="仿宋" w:eastAsia="仿宋" w:cs="仿宋"/>
          <w:b w:val="0"/>
          <w:bCs w:val="0"/>
          <w:spacing w:val="-6"/>
          <w:kern w:val="2"/>
          <w:sz w:val="32"/>
          <w:szCs w:val="32"/>
          <w:lang w:val="en-US" w:eastAsia="zh-CN" w:bidi="ar-SA"/>
        </w:rPr>
        <w:t>项目实施机构要定期开展项目运营评价、规范开展特许经营协议变更和项目移交等工作，建立常态化信息披露机制。如存在违法违规和失信行为，有关方面应依法依规责令限期整改并予以处罚。所有政府和社会资本合作项目均须录入全国政府和社会资本合作项目信息系统，并及时按要求填报项目进展情况。项目</w:t>
      </w:r>
      <w:r>
        <w:rPr>
          <w:rFonts w:hint="eastAsia" w:ascii="仿宋" w:hAnsi="仿宋" w:eastAsia="仿宋" w:cs="仿宋"/>
          <w:b w:val="0"/>
          <w:bCs w:val="0"/>
          <w:spacing w:val="0"/>
          <w:kern w:val="2"/>
          <w:sz w:val="32"/>
          <w:szCs w:val="32"/>
          <w:lang w:val="en-US" w:eastAsia="zh-CN" w:bidi="ar-SA"/>
        </w:rPr>
        <w:t>填报单位要依托各级在线审批平台领取项目代码，</w:t>
      </w:r>
      <w:r>
        <w:rPr>
          <w:rFonts w:hint="eastAsia" w:ascii="仿宋" w:hAnsi="仿宋" w:eastAsia="仿宋" w:cs="仿宋"/>
          <w:b w:val="0"/>
          <w:bCs w:val="0"/>
          <w:spacing w:val="-6"/>
          <w:kern w:val="2"/>
          <w:sz w:val="32"/>
          <w:szCs w:val="32"/>
          <w:lang w:val="en-US" w:eastAsia="zh-CN" w:bidi="ar-SA"/>
        </w:rPr>
        <w:t>全面、准确、及时填报项目信息。实施机构对特许经营者（项目公司）填报信息予以审核，发展改革部门对填报信息予以复核。</w:t>
      </w:r>
    </w:p>
    <w:p>
      <w:pPr>
        <w:pStyle w:val="2"/>
        <w:keepNext w:val="0"/>
        <w:keepLines w:val="0"/>
        <w:pageBreakBefore w:val="0"/>
        <w:widowControl w:val="0"/>
        <w:kinsoku/>
        <w:wordWrap/>
        <w:overflowPunct/>
        <w:topLinePunct/>
        <w:autoSpaceDE/>
        <w:autoSpaceDN/>
        <w:bidi w:val="0"/>
        <w:spacing w:beforeAutospacing="0" w:after="0" w:afterAutospacing="0"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三、实行盟市、旗县政府和社会资本合作项目提级复核</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firstLine="640" w:firstLineChars="200"/>
        <w:textAlignment w:val="auto"/>
        <w:rPr>
          <w:rFonts w:hint="eastAsia" w:ascii="仿宋" w:hAnsi="仿宋" w:eastAsia="仿宋" w:cs="仿宋"/>
          <w:b w:val="0"/>
          <w:bCs w:val="0"/>
          <w:sz w:val="32"/>
          <w:szCs w:val="32"/>
        </w:rPr>
      </w:pPr>
      <w:r>
        <w:rPr>
          <w:rFonts w:hint="eastAsia" w:ascii="楷体" w:hAnsi="楷体" w:eastAsia="楷体" w:cs="楷体"/>
          <w:b w:val="0"/>
          <w:bCs w:val="0"/>
          <w:kern w:val="2"/>
          <w:sz w:val="32"/>
          <w:szCs w:val="32"/>
          <w:lang w:val="en-US" w:eastAsia="zh-CN" w:bidi="ar-SA"/>
        </w:rPr>
        <w:t>（十二）实行提级复核。</w:t>
      </w:r>
      <w:r>
        <w:rPr>
          <w:rFonts w:hint="eastAsia" w:ascii="仿宋" w:hAnsi="仿宋" w:eastAsia="仿宋" w:cs="仿宋"/>
          <w:b w:val="0"/>
          <w:bCs w:val="0"/>
          <w:kern w:val="2"/>
          <w:sz w:val="32"/>
          <w:szCs w:val="32"/>
          <w:lang w:val="en-US" w:eastAsia="zh-CN" w:bidi="ar-SA"/>
        </w:rPr>
        <w:t>为推动全区政府和社会资本合作项目全部符合新机制要求，规范发展、阳光运行，盟市、旗县（市、区）拟实施的政府和社会资本合作项目，在本级人民政府审定过程中，同步将特许经营方案报自治区发展改革委开展复核。自治区发展改革委牵头，会同自治区财政厅、有关行业（业务）主管部门，</w:t>
      </w:r>
      <w:r>
        <w:rPr>
          <w:rFonts w:hint="eastAsia" w:ascii="仿宋" w:hAnsi="仿宋" w:eastAsia="仿宋" w:cs="仿宋"/>
          <w:b w:val="0"/>
          <w:bCs w:val="0"/>
          <w:kern w:val="2"/>
          <w:sz w:val="32"/>
          <w:szCs w:val="32"/>
          <w:u w:val="none"/>
          <w:lang w:val="en-US" w:eastAsia="zh-CN" w:bidi="ar-SA"/>
        </w:rPr>
        <w:t>按照“即来即办”的原则</w:t>
      </w:r>
      <w:r>
        <w:rPr>
          <w:rFonts w:hint="eastAsia" w:ascii="仿宋" w:hAnsi="仿宋" w:eastAsia="仿宋" w:cs="仿宋"/>
          <w:b w:val="0"/>
          <w:bCs w:val="0"/>
          <w:kern w:val="2"/>
          <w:sz w:val="32"/>
          <w:szCs w:val="32"/>
          <w:lang w:val="en-US" w:eastAsia="zh-CN" w:bidi="ar-SA"/>
        </w:rPr>
        <w:t>，复核把关特许经营方案，符合条件后，项目实施机构方可推进后续工作。复核过程中，重要事项由自治区发展改革委及时报告自治区人民政府；遇到政策理解和项目实施需要明确的事项，由自治区发展改革委及时咨询国家发展改革委</w:t>
      </w:r>
      <w:bookmarkStart w:id="0" w:name="B0034"/>
      <w:bookmarkEnd w:id="0"/>
      <w:r>
        <w:rPr>
          <w:rFonts w:hint="eastAsia" w:ascii="仿宋" w:hAnsi="仿宋" w:eastAsia="仿宋" w:cs="仿宋"/>
          <w:b w:val="0"/>
          <w:bCs w:val="0"/>
          <w:kern w:val="2"/>
          <w:sz w:val="32"/>
          <w:szCs w:val="32"/>
          <w:lang w:val="en-US" w:eastAsia="zh-CN" w:bidi="ar-SA"/>
        </w:rPr>
        <w:t>。</w:t>
      </w:r>
    </w:p>
    <w:p>
      <w:pPr>
        <w:keepNext w:val="0"/>
        <w:keepLines w:val="0"/>
        <w:pageBreakBefore w:val="0"/>
        <w:widowControl w:val="0"/>
        <w:kinsoku/>
        <w:wordWrap/>
        <w:overflowPunct/>
        <w:topLinePunct/>
        <w:autoSpaceDE/>
        <w:autoSpaceDN/>
        <w:bidi w:val="0"/>
        <w:spacing w:beforeAutospacing="0" w:afterAutospacing="0" w:line="580" w:lineRule="exact"/>
        <w:ind w:firstLine="600"/>
        <w:textAlignment w:val="auto"/>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 xml:space="preserve"> </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firstLine="640" w:firstLineChars="200"/>
        <w:textAlignment w:val="auto"/>
        <w:rPr>
          <w:rFonts w:hint="eastAsia" w:ascii="方正仿宋_GBK" w:hAnsi="方正仿宋_GBK" w:eastAsia="方正仿宋_GBK" w:cs="方正仿宋_GBK"/>
          <w:b w:val="0"/>
          <w:bCs w:val="0"/>
          <w:sz w:val="32"/>
        </w:rPr>
      </w:pPr>
    </w:p>
    <w:p>
      <w:pPr>
        <w:pStyle w:val="3"/>
        <w:keepNext w:val="0"/>
        <w:keepLines w:val="0"/>
        <w:pageBreakBefore w:val="0"/>
        <w:widowControl w:val="0"/>
        <w:kinsoku/>
        <w:wordWrap/>
        <w:overflowPunct/>
        <w:autoSpaceDE/>
        <w:autoSpaceDN/>
        <w:bidi w:val="0"/>
        <w:spacing w:line="580" w:lineRule="exact"/>
        <w:textAlignment w:val="auto"/>
        <w:rPr>
          <w:rFonts w:hint="eastAsia"/>
        </w:rPr>
      </w:pPr>
    </w:p>
    <w:p>
      <w:pPr>
        <w:pStyle w:val="2"/>
        <w:keepNext w:val="0"/>
        <w:keepLines w:val="0"/>
        <w:pageBreakBefore w:val="0"/>
        <w:widowControl w:val="0"/>
        <w:kinsoku/>
        <w:wordWrap/>
        <w:overflowPunct/>
        <w:topLinePunct/>
        <w:autoSpaceDE/>
        <w:autoSpaceDN/>
        <w:bidi w:val="0"/>
        <w:spacing w:beforeAutospacing="0" w:after="0" w:afterAutospacing="0" w:line="580" w:lineRule="exact"/>
        <w:textAlignment w:val="auto"/>
        <w:rPr>
          <w:rFonts w:hint="eastAsia" w:ascii="仿宋" w:hAnsi="仿宋" w:eastAsia="仿宋" w:cs="仿宋"/>
          <w:b w:val="0"/>
          <w:bCs w:val="0"/>
          <w:sz w:val="32"/>
          <w:szCs w:val="32"/>
          <w:lang w:val="en-US" w:eastAsia="zh-CN"/>
        </w:rPr>
      </w:pPr>
      <w:r>
        <w:rPr>
          <w:rFonts w:hint="eastAsia" w:ascii="方正仿宋_GBK" w:hAnsi="方正仿宋_GBK" w:eastAsia="方正仿宋_GBK" w:cs="方正仿宋_GBK"/>
          <w:b w:val="0"/>
          <w:bCs w:val="0"/>
          <w:sz w:val="32"/>
          <w:lang w:val="en-US" w:eastAsia="zh-CN"/>
        </w:rPr>
        <w:t xml:space="preserve">                           </w:t>
      </w:r>
      <w:r>
        <w:rPr>
          <w:rFonts w:hint="eastAsia" w:ascii="仿宋" w:hAnsi="仿宋" w:eastAsia="仿宋" w:cs="仿宋"/>
          <w:b w:val="0"/>
          <w:bCs w:val="0"/>
          <w:sz w:val="32"/>
          <w:szCs w:val="32"/>
          <w:lang w:val="en-US" w:eastAsia="zh-CN"/>
        </w:rPr>
        <w:t xml:space="preserve">        2024年7月5日</w:t>
      </w:r>
    </w:p>
    <w:p>
      <w:pPr>
        <w:pStyle w:val="3"/>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textAlignment w:val="auto"/>
        <w:rPr>
          <w:rFonts w:hint="eastAsia"/>
        </w:rPr>
      </w:pPr>
      <w:r>
        <w:rPr>
          <w:rFonts w:hint="eastAsia" w:ascii="仿宋" w:hAnsi="仿宋" w:eastAsia="仿宋" w:cs="仿宋"/>
          <w:b w:val="0"/>
          <w:bCs w:val="0"/>
          <w:sz w:val="32"/>
          <w:szCs w:val="32"/>
          <w:lang w:val="en-US" w:eastAsia="zh-CN"/>
        </w:rPr>
        <w:t>（此件公开发布）</w:t>
      </w:r>
      <w:bookmarkEnd w:id="2"/>
      <w:bookmarkStart w:id="1" w:name="二维条码"/>
      <w:bookmarkEnd w:id="1"/>
    </w:p>
    <w:p>
      <w:pPr>
        <w:pStyle w:val="2"/>
        <w:rPr>
          <w:rFonts w:hint="eastAsia"/>
        </w:rPr>
      </w:pPr>
    </w:p>
    <w:p>
      <w:pPr>
        <w:pStyle w:val="4"/>
        <w:rPr>
          <w:rFonts w:hint="eastAsia"/>
        </w:rPr>
      </w:pPr>
    </w:p>
    <w:p>
      <w:pPr>
        <w:pStyle w:val="5"/>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rPr>
      </w:pPr>
    </w:p>
    <w:p>
      <w:pPr>
        <w:pStyle w:val="2"/>
        <w:rPr>
          <w:rFonts w:hint="eastAsia"/>
        </w:rPr>
      </w:pPr>
    </w:p>
    <w:p>
      <w:pPr>
        <w:pStyle w:val="2"/>
        <w:rPr>
          <w:rFonts w:hint="eastAsia"/>
        </w:rPr>
      </w:pPr>
    </w:p>
    <w:tbl>
      <w:tblPr>
        <w:tblStyle w:val="13"/>
        <w:tblW w:w="8929" w:type="dxa"/>
        <w:tblInd w:w="122"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2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67" w:hRule="atLeast"/>
        </w:trPr>
        <w:tc>
          <w:tcPr>
            <w:tcW w:w="8929"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right="210" w:rightChars="100"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right="210" w:rightChars="100" w:firstLine="1120" w:firstLineChars="400"/>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keepNext w:val="0"/>
              <w:keepLines w:val="0"/>
              <w:pageBreakBefore w:val="0"/>
              <w:widowControl w:val="0"/>
              <w:kinsoku/>
              <w:wordWrap/>
              <w:overflowPunct/>
              <w:topLinePunct w:val="0"/>
              <w:autoSpaceDE/>
              <w:autoSpaceDN/>
              <w:bidi w:val="0"/>
              <w:adjustRightInd/>
              <w:snapToGrid/>
              <w:spacing w:line="400" w:lineRule="exact"/>
              <w:ind w:right="210" w:rightChars="100" w:firstLine="1120" w:firstLineChars="400"/>
              <w:textAlignment w:val="auto"/>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right="210" w:rightChars="100" w:firstLine="1120" w:firstLineChars="4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29" w:type="dxa"/>
            <w:noWrap w:val="0"/>
            <w:vAlign w:val="top"/>
          </w:tcPr>
          <w:p>
            <w:pPr>
              <w:keepNext w:val="0"/>
              <w:keepLines w:val="0"/>
              <w:pageBreakBefore w:val="0"/>
              <w:widowControl w:val="0"/>
              <w:kinsoku/>
              <w:wordWrap/>
              <w:overflowPunct/>
              <w:topLinePunct w:val="0"/>
              <w:autoSpaceDE/>
              <w:autoSpaceDN/>
              <w:bidi w:val="0"/>
              <w:adjustRightInd/>
              <w:snapToGrid/>
              <w:ind w:right="210" w:rightChars="100" w:firstLine="280" w:firstLine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4</w:t>
            </w:r>
            <w:r>
              <w:rPr>
                <w:rFonts w:hint="eastAsia" w:ascii="仿宋_GB2312" w:eastAsia="仿宋_GB2312"/>
                <w:sz w:val="28"/>
              </w:rPr>
              <w:t>年</w:t>
            </w:r>
            <w:r>
              <w:rPr>
                <w:rFonts w:hint="eastAsia" w:ascii="仿宋_GB2312" w:eastAsia="仿宋_GB2312"/>
                <w:sz w:val="28"/>
                <w:lang w:val="en-US" w:eastAsia="zh-CN"/>
              </w:rPr>
              <w:t>7</w:t>
            </w:r>
            <w:r>
              <w:rPr>
                <w:rFonts w:hint="eastAsia" w:ascii="仿宋_GB2312" w:eastAsia="仿宋_GB2312"/>
                <w:sz w:val="28"/>
              </w:rPr>
              <w:t>月</w:t>
            </w:r>
            <w:r>
              <w:rPr>
                <w:rFonts w:hint="eastAsia" w:ascii="仿宋_GB2312" w:eastAsia="仿宋_GB2312"/>
                <w:sz w:val="28"/>
                <w:lang w:val="en-US" w:eastAsia="zh-CN"/>
              </w:rPr>
              <w:t>5</w:t>
            </w:r>
            <w:r>
              <w:rPr>
                <w:rFonts w:hint="eastAsia" w:ascii="仿宋_GB2312" w:eastAsia="仿宋_GB2312"/>
                <w:sz w:val="28"/>
              </w:rPr>
              <w:t>日印发</w:t>
            </w:r>
          </w:p>
        </w:tc>
      </w:tr>
    </w:tbl>
    <w:p>
      <w:pPr>
        <w:spacing w:line="20" w:lineRule="exact"/>
        <w:rPr>
          <w:rFonts w:hint="eastAsia"/>
        </w:rPr>
      </w:pPr>
      <w:r>
        <w:rPr>
          <w:rFonts w:hint="eastAsia" w:eastAsia="宋体"/>
          <w:sz w:val="52"/>
          <w:szCs w:val="52"/>
          <w:lang w:eastAsia="zh-CN"/>
        </w:rPr>
        <w:drawing>
          <wp:anchor distT="0" distB="0" distL="114300" distR="114300" simplePos="0" relativeHeight="251658240" behindDoc="1" locked="0" layoutInCell="1" allowOverlap="1">
            <wp:simplePos x="0" y="0"/>
            <wp:positionH relativeFrom="column">
              <wp:posOffset>3475355</wp:posOffset>
            </wp:positionH>
            <wp:positionV relativeFrom="paragraph">
              <wp:posOffset>118110</wp:posOffset>
            </wp:positionV>
            <wp:extent cx="1799590" cy="431800"/>
            <wp:effectExtent l="0" t="0" r="10160" b="6350"/>
            <wp:wrapNone/>
            <wp:docPr id="1" name="图片 5" descr="20240705160738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20240705160738_7056"/>
                    <pic:cNvPicPr>
                      <a:picLocks noChangeAspect="1"/>
                    </pic:cNvPicPr>
                  </pic:nvPicPr>
                  <pic:blipFill>
                    <a:blip r:embed="rId8"/>
                    <a:stretch>
                      <a:fillRect/>
                    </a:stretch>
                  </pic:blipFill>
                  <pic:spPr>
                    <a:xfrm>
                      <a:off x="0" y="0"/>
                      <a:ext cx="1799590" cy="43180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lang/>
      </w:rPr>
      <w:t>- 1 -</w:t>
    </w:r>
    <w:r>
      <w:rPr>
        <w:rFonts w:hint="eastAsia" w:ascii="宋体" w:hAnsi="宋体"/>
        <w:sz w:val="28"/>
        <w:szCs w:val="28"/>
      </w:rP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lang/>
      </w:rPr>
      <w:t>- 2 -</w:t>
    </w:r>
    <w:r>
      <w:rPr>
        <w:rFonts w:ascii="宋体" w:hAnsi="宋体"/>
        <w:sz w:val="28"/>
        <w:szCs w:val="28"/>
      </w:rP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DA3"/>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6A27"/>
    <w:rsid w:val="000F7B4B"/>
    <w:rsid w:val="000F7DFD"/>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0B9"/>
    <w:rsid w:val="002973C7"/>
    <w:rsid w:val="002A0CAD"/>
    <w:rsid w:val="002A32E1"/>
    <w:rsid w:val="002A3E00"/>
    <w:rsid w:val="002A5246"/>
    <w:rsid w:val="002A64B4"/>
    <w:rsid w:val="002A67EB"/>
    <w:rsid w:val="002A7BF8"/>
    <w:rsid w:val="002B0F91"/>
    <w:rsid w:val="002B29B9"/>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367"/>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177C"/>
    <w:rsid w:val="0039202C"/>
    <w:rsid w:val="00392B94"/>
    <w:rsid w:val="00393F4B"/>
    <w:rsid w:val="00394377"/>
    <w:rsid w:val="003948FC"/>
    <w:rsid w:val="00396618"/>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6A0B"/>
    <w:rsid w:val="004178C8"/>
    <w:rsid w:val="00423C35"/>
    <w:rsid w:val="004278D4"/>
    <w:rsid w:val="00430D45"/>
    <w:rsid w:val="00431DA3"/>
    <w:rsid w:val="00432A0C"/>
    <w:rsid w:val="00433DE5"/>
    <w:rsid w:val="00437A54"/>
    <w:rsid w:val="00442031"/>
    <w:rsid w:val="0044339D"/>
    <w:rsid w:val="004443C8"/>
    <w:rsid w:val="0044481F"/>
    <w:rsid w:val="004454F7"/>
    <w:rsid w:val="00450079"/>
    <w:rsid w:val="004504E7"/>
    <w:rsid w:val="0045373C"/>
    <w:rsid w:val="00453C0B"/>
    <w:rsid w:val="00455973"/>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A5BD5"/>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1DF"/>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27E88"/>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397"/>
    <w:rsid w:val="005C79E2"/>
    <w:rsid w:val="005D07B3"/>
    <w:rsid w:val="005D1611"/>
    <w:rsid w:val="005E0DCD"/>
    <w:rsid w:val="005E5234"/>
    <w:rsid w:val="005E7F3F"/>
    <w:rsid w:val="005F38E6"/>
    <w:rsid w:val="005F6CAA"/>
    <w:rsid w:val="006013A0"/>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2C65"/>
    <w:rsid w:val="006A3076"/>
    <w:rsid w:val="006A3B57"/>
    <w:rsid w:val="006A4BE5"/>
    <w:rsid w:val="006A55AD"/>
    <w:rsid w:val="006A65EF"/>
    <w:rsid w:val="006C492D"/>
    <w:rsid w:val="006C6369"/>
    <w:rsid w:val="006C713C"/>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2D9"/>
    <w:rsid w:val="0075198B"/>
    <w:rsid w:val="007543DE"/>
    <w:rsid w:val="007566F0"/>
    <w:rsid w:val="00760780"/>
    <w:rsid w:val="00763624"/>
    <w:rsid w:val="0076441E"/>
    <w:rsid w:val="0076657F"/>
    <w:rsid w:val="00773C5D"/>
    <w:rsid w:val="00774B22"/>
    <w:rsid w:val="0077781A"/>
    <w:rsid w:val="00777A09"/>
    <w:rsid w:val="007837F3"/>
    <w:rsid w:val="007904A7"/>
    <w:rsid w:val="00794C4E"/>
    <w:rsid w:val="007963A2"/>
    <w:rsid w:val="007A6F05"/>
    <w:rsid w:val="007B097B"/>
    <w:rsid w:val="007B6642"/>
    <w:rsid w:val="007C5CDC"/>
    <w:rsid w:val="007C6807"/>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06E28"/>
    <w:rsid w:val="00810805"/>
    <w:rsid w:val="00810F55"/>
    <w:rsid w:val="00811A91"/>
    <w:rsid w:val="00814958"/>
    <w:rsid w:val="008149CF"/>
    <w:rsid w:val="00816CA5"/>
    <w:rsid w:val="00817FC3"/>
    <w:rsid w:val="00823E54"/>
    <w:rsid w:val="00824A4E"/>
    <w:rsid w:val="008254E7"/>
    <w:rsid w:val="008321A8"/>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96DF6"/>
    <w:rsid w:val="008A0590"/>
    <w:rsid w:val="008B063A"/>
    <w:rsid w:val="008B066F"/>
    <w:rsid w:val="008B2878"/>
    <w:rsid w:val="008B2A80"/>
    <w:rsid w:val="008B4122"/>
    <w:rsid w:val="008B534E"/>
    <w:rsid w:val="008B536E"/>
    <w:rsid w:val="008B5F79"/>
    <w:rsid w:val="008B61CE"/>
    <w:rsid w:val="008C2242"/>
    <w:rsid w:val="008C2FFC"/>
    <w:rsid w:val="008C3D85"/>
    <w:rsid w:val="008D075D"/>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885"/>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6EB"/>
    <w:rsid w:val="00960DBD"/>
    <w:rsid w:val="00960E8B"/>
    <w:rsid w:val="009618C6"/>
    <w:rsid w:val="0096652B"/>
    <w:rsid w:val="00967743"/>
    <w:rsid w:val="009700AC"/>
    <w:rsid w:val="00970E4B"/>
    <w:rsid w:val="0097162D"/>
    <w:rsid w:val="009721B9"/>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AED"/>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68C"/>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5E50"/>
    <w:rsid w:val="00D96622"/>
    <w:rsid w:val="00D9708A"/>
    <w:rsid w:val="00D97AB1"/>
    <w:rsid w:val="00DA1925"/>
    <w:rsid w:val="00DA35CA"/>
    <w:rsid w:val="00DA70FF"/>
    <w:rsid w:val="00DB0CCF"/>
    <w:rsid w:val="00DB1EE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D0D"/>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616"/>
    <w:rsid w:val="00F5173D"/>
    <w:rsid w:val="00F52276"/>
    <w:rsid w:val="00F565B8"/>
    <w:rsid w:val="00F575A7"/>
    <w:rsid w:val="00F60831"/>
    <w:rsid w:val="00F651C3"/>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B760A"/>
    <w:rsid w:val="00FC097D"/>
    <w:rsid w:val="00FC0A54"/>
    <w:rsid w:val="00FC2F2E"/>
    <w:rsid w:val="00FC3A41"/>
    <w:rsid w:val="00FD314F"/>
    <w:rsid w:val="00FD3F68"/>
    <w:rsid w:val="00FD6099"/>
    <w:rsid w:val="00FD668C"/>
    <w:rsid w:val="00FD6BBF"/>
    <w:rsid w:val="00FD707C"/>
    <w:rsid w:val="00FE2B87"/>
    <w:rsid w:val="00FE51BD"/>
    <w:rsid w:val="00FE5DC3"/>
    <w:rsid w:val="00FF1779"/>
    <w:rsid w:val="00FF1981"/>
    <w:rsid w:val="00FF2340"/>
    <w:rsid w:val="00FF60C7"/>
    <w:rsid w:val="00FF7392"/>
    <w:rsid w:val="011B684E"/>
    <w:rsid w:val="01715CEB"/>
    <w:rsid w:val="020A5573"/>
    <w:rsid w:val="023B43DC"/>
    <w:rsid w:val="027163F5"/>
    <w:rsid w:val="03130023"/>
    <w:rsid w:val="06DC3C4A"/>
    <w:rsid w:val="070A04CB"/>
    <w:rsid w:val="074D26E8"/>
    <w:rsid w:val="07DB7F7C"/>
    <w:rsid w:val="0AE879CD"/>
    <w:rsid w:val="0C9D102A"/>
    <w:rsid w:val="0CC07B33"/>
    <w:rsid w:val="0DFF4DDF"/>
    <w:rsid w:val="0F380010"/>
    <w:rsid w:val="0F8F3712"/>
    <w:rsid w:val="10A62BEA"/>
    <w:rsid w:val="10AA3895"/>
    <w:rsid w:val="110F26B1"/>
    <w:rsid w:val="11A9203E"/>
    <w:rsid w:val="12026270"/>
    <w:rsid w:val="124E5775"/>
    <w:rsid w:val="13404ED0"/>
    <w:rsid w:val="15CF6EDD"/>
    <w:rsid w:val="17FB24AC"/>
    <w:rsid w:val="17FEB2DA"/>
    <w:rsid w:val="180C2802"/>
    <w:rsid w:val="1A7D41CF"/>
    <w:rsid w:val="1BA7556B"/>
    <w:rsid w:val="1E785972"/>
    <w:rsid w:val="1F0F06E9"/>
    <w:rsid w:val="1F6C47FF"/>
    <w:rsid w:val="1FD3237E"/>
    <w:rsid w:val="1FEB0921"/>
    <w:rsid w:val="20B5562B"/>
    <w:rsid w:val="21CE0EBF"/>
    <w:rsid w:val="24485B15"/>
    <w:rsid w:val="26154A57"/>
    <w:rsid w:val="262527A4"/>
    <w:rsid w:val="27054714"/>
    <w:rsid w:val="27B7431E"/>
    <w:rsid w:val="27F5BAE6"/>
    <w:rsid w:val="283D1127"/>
    <w:rsid w:val="29A62830"/>
    <w:rsid w:val="2A3A0933"/>
    <w:rsid w:val="2AF61794"/>
    <w:rsid w:val="2BBC4266"/>
    <w:rsid w:val="2BDEADA3"/>
    <w:rsid w:val="2D73499D"/>
    <w:rsid w:val="2EFD5D46"/>
    <w:rsid w:val="2F6F73FA"/>
    <w:rsid w:val="30CD6C9E"/>
    <w:rsid w:val="317B493D"/>
    <w:rsid w:val="326822C2"/>
    <w:rsid w:val="351D2CFA"/>
    <w:rsid w:val="383D375F"/>
    <w:rsid w:val="394332F8"/>
    <w:rsid w:val="39C84E9E"/>
    <w:rsid w:val="3AF834CA"/>
    <w:rsid w:val="3B0C717F"/>
    <w:rsid w:val="3BB75E87"/>
    <w:rsid w:val="3BEF9B3B"/>
    <w:rsid w:val="3BF6597B"/>
    <w:rsid w:val="3C3415F3"/>
    <w:rsid w:val="3C6B6EA5"/>
    <w:rsid w:val="3DB93D7E"/>
    <w:rsid w:val="3EA32EDF"/>
    <w:rsid w:val="3EFFCDD9"/>
    <w:rsid w:val="401D72F5"/>
    <w:rsid w:val="41386A17"/>
    <w:rsid w:val="41F79F8C"/>
    <w:rsid w:val="42B61283"/>
    <w:rsid w:val="455967A9"/>
    <w:rsid w:val="455F3977"/>
    <w:rsid w:val="456E4695"/>
    <w:rsid w:val="46DF76B3"/>
    <w:rsid w:val="476ECCFF"/>
    <w:rsid w:val="478C3379"/>
    <w:rsid w:val="4814620B"/>
    <w:rsid w:val="487A4700"/>
    <w:rsid w:val="4A456A7E"/>
    <w:rsid w:val="4BB12688"/>
    <w:rsid w:val="4CAC4573"/>
    <w:rsid w:val="4DAF8933"/>
    <w:rsid w:val="4F8F093E"/>
    <w:rsid w:val="4FD817BC"/>
    <w:rsid w:val="500B2151"/>
    <w:rsid w:val="50591497"/>
    <w:rsid w:val="513B7C42"/>
    <w:rsid w:val="51650C56"/>
    <w:rsid w:val="51942682"/>
    <w:rsid w:val="5232472D"/>
    <w:rsid w:val="54020F64"/>
    <w:rsid w:val="54DEDCBE"/>
    <w:rsid w:val="556E4ED2"/>
    <w:rsid w:val="57351534"/>
    <w:rsid w:val="579144D5"/>
    <w:rsid w:val="57EB50F1"/>
    <w:rsid w:val="581234E4"/>
    <w:rsid w:val="5A9E268E"/>
    <w:rsid w:val="5ABF37D8"/>
    <w:rsid w:val="5AE74AA8"/>
    <w:rsid w:val="5BA5123A"/>
    <w:rsid w:val="5BAE3879"/>
    <w:rsid w:val="5CF76748"/>
    <w:rsid w:val="5D182B8A"/>
    <w:rsid w:val="5DDF364E"/>
    <w:rsid w:val="5DF2C9C0"/>
    <w:rsid w:val="5E8D79CF"/>
    <w:rsid w:val="5E9241CC"/>
    <w:rsid w:val="5EBE6860"/>
    <w:rsid w:val="5EC0DD36"/>
    <w:rsid w:val="5F0E8E47"/>
    <w:rsid w:val="5FE66DB5"/>
    <w:rsid w:val="6188231B"/>
    <w:rsid w:val="61967534"/>
    <w:rsid w:val="648D579B"/>
    <w:rsid w:val="64B86B45"/>
    <w:rsid w:val="650E2E84"/>
    <w:rsid w:val="651313E3"/>
    <w:rsid w:val="651F6DEC"/>
    <w:rsid w:val="671D4AA2"/>
    <w:rsid w:val="677E6C0C"/>
    <w:rsid w:val="67FF225E"/>
    <w:rsid w:val="69957DEC"/>
    <w:rsid w:val="6C564AE8"/>
    <w:rsid w:val="6D67E8CC"/>
    <w:rsid w:val="6DBF0EF9"/>
    <w:rsid w:val="6DF72075"/>
    <w:rsid w:val="6EFE2361"/>
    <w:rsid w:val="6F2C465B"/>
    <w:rsid w:val="6F8C92B3"/>
    <w:rsid w:val="6FFFD769"/>
    <w:rsid w:val="70F832B8"/>
    <w:rsid w:val="731829DE"/>
    <w:rsid w:val="73905CC2"/>
    <w:rsid w:val="73FFF02A"/>
    <w:rsid w:val="74022FCB"/>
    <w:rsid w:val="760B0958"/>
    <w:rsid w:val="777A4E17"/>
    <w:rsid w:val="77DB17E7"/>
    <w:rsid w:val="77FE2469"/>
    <w:rsid w:val="7A0176CA"/>
    <w:rsid w:val="7A7C7F0D"/>
    <w:rsid w:val="7AD531E7"/>
    <w:rsid w:val="7B6E5005"/>
    <w:rsid w:val="7BF9DBB1"/>
    <w:rsid w:val="7C634FF1"/>
    <w:rsid w:val="7D164783"/>
    <w:rsid w:val="7DA83E82"/>
    <w:rsid w:val="7DDA30B2"/>
    <w:rsid w:val="7DED1E3B"/>
    <w:rsid w:val="7E3FE310"/>
    <w:rsid w:val="7E960D71"/>
    <w:rsid w:val="7EB61FB6"/>
    <w:rsid w:val="7ED196D6"/>
    <w:rsid w:val="7EFD8FF9"/>
    <w:rsid w:val="7F7F955C"/>
    <w:rsid w:val="7F96C9C4"/>
    <w:rsid w:val="7FAF5677"/>
    <w:rsid w:val="7FE94893"/>
    <w:rsid w:val="AD33E8D7"/>
    <w:rsid w:val="B7BB174F"/>
    <w:rsid w:val="BBF34697"/>
    <w:rsid w:val="BEDEF0A1"/>
    <w:rsid w:val="BF71A930"/>
    <w:rsid w:val="BFFF8AB7"/>
    <w:rsid w:val="C97F0CAB"/>
    <w:rsid w:val="E3BEC2E4"/>
    <w:rsid w:val="EBFBDDF9"/>
    <w:rsid w:val="ED36A1D0"/>
    <w:rsid w:val="ED5F3853"/>
    <w:rsid w:val="EFCBD07C"/>
    <w:rsid w:val="F3F6FFED"/>
    <w:rsid w:val="F5CFAB77"/>
    <w:rsid w:val="F5FE1A11"/>
    <w:rsid w:val="F7ABB782"/>
    <w:rsid w:val="FA95098D"/>
    <w:rsid w:val="FAFA2BF5"/>
    <w:rsid w:val="FBEF7AC0"/>
    <w:rsid w:val="FBFC66F3"/>
    <w:rsid w:val="FBFFFDCB"/>
    <w:rsid w:val="FE2F5935"/>
    <w:rsid w:val="FED66CB2"/>
    <w:rsid w:val="FEDD55D4"/>
    <w:rsid w:val="FFF4F6EC"/>
    <w:rsid w:val="FFFA9D18"/>
    <w:rsid w:val="FFFE0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2">
    <w:name w:val="Body Text"/>
    <w:basedOn w:val="1"/>
    <w:next w:val="3"/>
    <w:uiPriority w:val="0"/>
    <w:pPr>
      <w:spacing w:after="120"/>
    </w:pPr>
    <w:rPr>
      <w:rFonts w:ascii="Calibri" w:hAnsi="Calibri" w:eastAsia="宋体" w:cs="Times New Roman"/>
      <w:szCs w:val="22"/>
      <w:lang w:bidi="ar-SA"/>
    </w:rPr>
  </w:style>
  <w:style w:type="paragraph" w:styleId="3">
    <w:name w:val="Normal (Web)"/>
    <w:basedOn w:val="1"/>
    <w:next w:val="4"/>
    <w:qFormat/>
    <w:uiPriority w:val="0"/>
    <w:pPr>
      <w:suppressAutoHyphens/>
      <w:bidi w:val="0"/>
      <w:spacing w:before="100" w:beforeAutospacing="1" w:after="100" w:afterAutospacing="1"/>
      <w:ind w:left="0" w:right="0"/>
      <w:jc w:val="left"/>
    </w:pPr>
    <w:rPr>
      <w:rFonts w:ascii="Calibri" w:hAnsi="Calibri" w:eastAsia="宋体" w:cs="Times New Roman"/>
      <w:color w:val="auto"/>
      <w:kern w:val="0"/>
      <w:sz w:val="24"/>
      <w:szCs w:val="24"/>
      <w:lang w:val="en-US" w:eastAsia="zh-CN" w:bidi="ar"/>
    </w:rPr>
  </w:style>
  <w:style w:type="paragraph" w:styleId="4">
    <w:name w:val="Body Text First Indent"/>
    <w:basedOn w:val="2"/>
    <w:next w:val="5"/>
    <w:qFormat/>
    <w:uiPriority w:val="0"/>
    <w:pPr>
      <w:suppressAutoHyphens/>
      <w:autoSpaceDE/>
      <w:autoSpaceDN/>
      <w:bidi w:val="0"/>
      <w:spacing w:before="0" w:after="120" w:line="276" w:lineRule="auto"/>
      <w:ind w:left="0" w:firstLine="420" w:firstLineChars="100"/>
      <w:jc w:val="both"/>
    </w:pPr>
    <w:rPr>
      <w:rFonts w:ascii="等线" w:hAnsi="等线" w:eastAsia="等线" w:cs="Times New Roman"/>
      <w:color w:val="auto"/>
      <w:kern w:val="2"/>
      <w:sz w:val="21"/>
      <w:szCs w:val="22"/>
      <w:lang w:val="en-US" w:bidi="ar-SA"/>
    </w:rPr>
  </w:style>
  <w:style w:type="paragraph" w:styleId="5">
    <w:name w:val="Body Text First Indent 2"/>
    <w:basedOn w:val="1"/>
    <w:next w:val="1"/>
    <w:qFormat/>
    <w:uiPriority w:val="0"/>
    <w:pPr>
      <w:suppressAutoHyphens/>
      <w:bidi w:val="0"/>
      <w:ind w:firstLine="420" w:firstLineChars="200"/>
    </w:pPr>
    <w:rPr>
      <w:rFonts w:ascii="Calibri" w:hAnsi="Calibri" w:eastAsia="宋体" w:cs="Times New Roman"/>
      <w:color w:val="auto"/>
      <w:szCs w:val="24"/>
      <w:lang w:bidi="ar-SA"/>
    </w:rPr>
  </w:style>
  <w:style w:type="paragraph" w:styleId="6">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7">
    <w:name w:val="Document Map"/>
    <w:basedOn w:val="1"/>
    <w:semiHidden/>
    <w:uiPriority w:val="0"/>
    <w:pPr>
      <w:shd w:val="clear" w:color="auto" w:fill="000080"/>
    </w:pPr>
  </w:style>
  <w:style w:type="paragraph" w:styleId="8">
    <w:name w:val="Date"/>
    <w:basedOn w:val="1"/>
    <w:next w:val="1"/>
    <w:link w:val="19"/>
    <w:uiPriority w:val="0"/>
    <w:pPr>
      <w:ind w:left="100" w:leftChars="2500"/>
    </w:pPr>
    <w:rPr>
      <w:rFonts w:ascii="仿宋_GB2312" w:eastAsia="仿宋_GB2312"/>
      <w:sz w:val="32"/>
    </w:rPr>
  </w:style>
  <w:style w:type="paragraph" w:styleId="9">
    <w:name w:val="Balloon Text"/>
    <w:basedOn w:val="1"/>
    <w:semiHidden/>
    <w:uiPriority w:val="0"/>
    <w:rPr>
      <w:sz w:val="18"/>
      <w:szCs w:val="18"/>
    </w:rPr>
  </w:style>
  <w:style w:type="paragraph" w:styleId="10">
    <w:name w:val="footer"/>
    <w:basedOn w:val="1"/>
    <w:link w:val="20"/>
    <w:uiPriority w:val="0"/>
    <w:pPr>
      <w:tabs>
        <w:tab w:val="center" w:pos="4153"/>
        <w:tab w:val="right" w:pos="8306"/>
      </w:tabs>
      <w:snapToGrid w:val="0"/>
      <w:jc w:val="left"/>
    </w:pPr>
    <w:rPr>
      <w:sz w:val="18"/>
      <w:szCs w:val="18"/>
    </w:rPr>
  </w:style>
  <w:style w:type="paragraph" w:styleId="11">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12">
    <w:name w:val="List"/>
    <w:basedOn w:val="2"/>
    <w:uiPriority w:val="0"/>
    <w:pPr>
      <w:suppressAutoHyphens/>
      <w:bidi w:val="0"/>
      <w:spacing w:before="0" w:after="140" w:line="276" w:lineRule="auto"/>
    </w:pPr>
    <w:rPr>
      <w:rFonts w:ascii="Calibri" w:hAnsi="Calibri" w:eastAsia="宋体" w:cs="Times New Roman"/>
      <w:color w:val="auto"/>
      <w:szCs w:val="24"/>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paragraph" w:customStyle="1" w:styleId="17">
    <w:name w:val="Index"/>
    <w:basedOn w:val="1"/>
    <w:uiPriority w:val="0"/>
    <w:pPr>
      <w:widowControl w:val="0"/>
      <w:suppressLineNumbers/>
      <w:suppressAutoHyphens/>
      <w:bidi w:val="0"/>
    </w:pPr>
    <w:rPr>
      <w:rFonts w:ascii="Calibri" w:hAnsi="Calibri" w:eastAsia="宋体" w:cs="Times New Roman"/>
      <w:color w:val="auto"/>
      <w:szCs w:val="24"/>
      <w:lang w:bidi="ar-SA"/>
    </w:rPr>
  </w:style>
  <w:style w:type="paragraph" w:customStyle="1" w:styleId="18">
    <w:name w:val="Heading"/>
    <w:basedOn w:val="1"/>
    <w:next w:val="2"/>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character" w:customStyle="1" w:styleId="19">
    <w:name w:val=" Char Char2"/>
    <w:basedOn w:val="15"/>
    <w:link w:val="8"/>
    <w:uiPriority w:val="0"/>
    <w:rPr>
      <w:rFonts w:ascii="仿宋_GB2312" w:hAnsi="Times New Roman" w:eastAsia="仿宋_GB2312" w:cs="Times New Roman"/>
      <w:kern w:val="2"/>
      <w:sz w:val="32"/>
      <w:szCs w:val="24"/>
      <w:lang w:bidi="ar-SA"/>
    </w:rPr>
  </w:style>
  <w:style w:type="character" w:customStyle="1" w:styleId="20">
    <w:name w:val=" Char Char"/>
    <w:basedOn w:val="15"/>
    <w:link w:val="10"/>
    <w:semiHidden/>
    <w:uiPriority w:val="99"/>
    <w:rPr>
      <w:rFonts w:ascii="Times New Roman" w:hAnsi="Times New Roman" w:eastAsia="宋体" w:cs="Times New Roman"/>
      <w:kern w:val="2"/>
      <w:sz w:val="18"/>
      <w:szCs w:val="22"/>
    </w:rPr>
  </w:style>
  <w:style w:type="character" w:customStyle="1" w:styleId="21">
    <w:name w:val=" Char Char1"/>
    <w:basedOn w:val="15"/>
    <w:link w:val="11"/>
    <w:semiHidden/>
    <w:uiPriority w:val="99"/>
    <w:rPr>
      <w:rFonts w:ascii="Times New Roman" w:hAnsi="Times New Roman" w:eastAsia="宋体" w:cs="Times New Roman"/>
      <w:kern w:val="2"/>
      <w:sz w:val="18"/>
      <w:szCs w:val="22"/>
    </w:rPr>
  </w:style>
  <w:style w:type="character" w:customStyle="1" w:styleId="22">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4</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韩君:处室负责人审核</cp:lastModifiedBy>
  <cp:lastPrinted>2024-07-05T16:33:57Z</cp:lastPrinted>
  <dcterms:modified xsi:type="dcterms:W3CDTF">2024-07-08T02:46:40Z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