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400" w:lineRule="exact"/>
        <w:ind w:firstLine="160" w:firstLineChars="5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400" w:lineRule="exact"/>
        <w:textAlignment w:val="auto"/>
        <w:rPr>
          <w:rFonts w:hint="eastAsia" w:ascii="仿宋" w:hAnsi="仿宋" w:eastAsia="仿宋" w:cs="仿宋"/>
          <w:sz w:val="32"/>
          <w:szCs w:val="32"/>
        </w:rPr>
      </w:pP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sz w:val="44"/>
          <w:szCs w:val="44"/>
        </w:rPr>
      </w:pPr>
      <w:bookmarkStart w:id="0" w:name="标题"/>
      <w:bookmarkEnd w:id="0"/>
      <w:r>
        <w:rPr>
          <w:rFonts w:hint="eastAsia" w:ascii="方正小标宋_GBK" w:hAnsi="方正小标宋_GBK" w:eastAsia="方正小标宋_GBK" w:cs="方正小标宋_GBK"/>
          <w:sz w:val="44"/>
          <w:szCs w:val="44"/>
          <w:lang w:eastAsia="zh-CN"/>
        </w:rPr>
        <w:t>内蒙古自治区人民政府办公厅</w:t>
      </w:r>
      <w:r>
        <w:rPr>
          <w:rFonts w:hint="eastAsia" w:ascii="方正小标宋_GBK" w:hAnsi="方正小标宋_GBK" w:eastAsia="方正小标宋_GBK" w:cs="方正小标宋_GBK"/>
          <w:sz w:val="44"/>
          <w:szCs w:val="44"/>
        </w:rPr>
        <w:t>关于印发</w:t>
      </w: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内蒙古自治区政府投资基金管理办法</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lang w:eastAsia="zh-CN"/>
        </w:rPr>
        <w:t>通知</w:t>
      </w: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eastAsia" w:ascii="仿宋_GB2312" w:hAnsi="华文仿宋" w:eastAsia="仿宋_GB2312"/>
          <w:sz w:val="32"/>
        </w:rPr>
      </w:pPr>
      <w:r>
        <w:rPr>
          <w:rFonts w:hint="eastAsia" w:ascii="仿宋_GB2312" w:hAnsi="华文仿宋" w:eastAsia="仿宋_GB2312"/>
          <w:sz w:val="32"/>
          <w:lang w:eastAsia="zh-CN"/>
        </w:rPr>
        <w:t>内政办发〔2024〕1号</w:t>
      </w:r>
    </w:p>
    <w:p>
      <w:pPr>
        <w:pStyle w:val="10"/>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300" w:lineRule="exact"/>
        <w:ind w:left="0"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400" w:lineRule="exac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0" w:firstLine="640" w:firstLineChars="200"/>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经自治区人民政府同意，现将《内蒙古自治区政府投资基金管理办法》印发给你们，请结合实际，认真遵照执行。</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楷体" w:hAnsi="楷体" w:eastAsia="楷体" w:cs="楷体"/>
          <w:b w:val="0"/>
          <w:bCs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楷体" w:hAnsi="楷体" w:eastAsia="楷体" w:cs="楷体"/>
          <w:b w:val="0"/>
          <w:bCs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楷体" w:hAnsi="楷体" w:eastAsia="楷体" w:cs="楷体"/>
          <w:b w:val="0"/>
          <w:bCs w:val="0"/>
          <w:kern w:val="2"/>
          <w:sz w:val="32"/>
          <w:szCs w:val="32"/>
          <w:highlight w:val="none"/>
          <w:lang w:val="en-US" w:eastAsia="zh-CN" w:bidi="ar-SA"/>
        </w:rPr>
      </w:pPr>
    </w:p>
    <w:p>
      <w:pPr>
        <w:keepNext w:val="0"/>
        <w:keepLines w:val="0"/>
        <w:pageBreakBefore w:val="0"/>
        <w:widowControl w:val="0"/>
        <w:numPr>
          <w:ilvl w:val="0"/>
          <w:numId w:val="0"/>
        </w:numPr>
        <w:tabs>
          <w:tab w:val="left" w:pos="7560"/>
        </w:tabs>
        <w:kinsoku/>
        <w:wordWrap/>
        <w:overflowPunct/>
        <w:topLinePunct/>
        <w:autoSpaceDE/>
        <w:autoSpaceDN/>
        <w:bidi w:val="0"/>
        <w:adjustRightInd/>
        <w:snapToGrid/>
        <w:spacing w:line="580" w:lineRule="exact"/>
        <w:ind w:firstLine="5120" w:firstLineChars="1600"/>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2024年3月31日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kern w:val="2"/>
          <w:sz w:val="32"/>
          <w:szCs w:val="32"/>
          <w:highlight w:val="none"/>
          <w:lang w:val="en-US" w:eastAsia="zh-CN" w:bidi="ar-SA"/>
        </w:rPr>
      </w:pPr>
      <w:r>
        <w:rPr>
          <w:rFonts w:hint="eastAsia" w:ascii="楷体" w:hAnsi="楷体" w:eastAsia="楷体" w:cs="楷体"/>
          <w:b w:val="0"/>
          <w:bCs w:val="0"/>
          <w:kern w:val="2"/>
          <w:sz w:val="32"/>
          <w:szCs w:val="32"/>
          <w:highlight w:val="none"/>
          <w:lang w:val="en-US" w:eastAsia="zh-CN" w:bidi="ar-SA"/>
        </w:rPr>
        <w:t>（此件公开发布）</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b w:val="0"/>
          <w:bCs w:val="0"/>
          <w:kern w:val="2"/>
          <w:sz w:val="32"/>
          <w:szCs w:val="32"/>
          <w:highlight w:val="none"/>
          <w:lang w:val="en-US" w:eastAsia="zh-CN" w:bidi="ar-SA"/>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rPr>
          <w:rStyle w:val="14"/>
          <w:rFonts w:hint="eastAsia" w:ascii="仿宋" w:hAnsi="仿宋" w:eastAsia="仿宋" w:cs="仿宋"/>
          <w:b w:val="0"/>
          <w:bCs/>
          <w:color w:val="auto"/>
          <w:sz w:val="32"/>
          <w:szCs w:val="32"/>
        </w:rPr>
      </w:pP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rPr>
          <w:rStyle w:val="14"/>
          <w:rFonts w:hint="eastAsia" w:ascii="方正小标宋_GBK" w:hAnsi="方正小标宋_GBK" w:eastAsia="方正小标宋_GBK" w:cs="方正小标宋_GBK"/>
          <w:b w:val="0"/>
          <w:bCs/>
          <w:color w:val="auto"/>
          <w:sz w:val="44"/>
          <w:szCs w:val="44"/>
        </w:rPr>
      </w:pPr>
      <w:r>
        <w:rPr>
          <w:rStyle w:val="14"/>
          <w:rFonts w:hint="eastAsia" w:ascii="方正小标宋_GBK" w:hAnsi="方正小标宋_GBK" w:eastAsia="方正小标宋_GBK" w:cs="方正小标宋_GBK"/>
          <w:b w:val="0"/>
          <w:bCs/>
          <w:color w:val="auto"/>
          <w:sz w:val="44"/>
          <w:szCs w:val="44"/>
        </w:rPr>
        <w:t>内蒙古自治区政府投资基金管理办法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center"/>
        <w:textAlignment w:val="auto"/>
        <w:rPr>
          <w:rStyle w:val="14"/>
          <w:rFonts w:hint="eastAsia" w:ascii="仿宋" w:hAnsi="仿宋" w:eastAsia="仿宋" w:cs="仿宋"/>
          <w:b w:val="0"/>
          <w:bCs/>
          <w:color w:val="auto"/>
          <w:sz w:val="32"/>
          <w:szCs w:val="32"/>
        </w:rPr>
      </w:pP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Fonts w:hint="eastAsia" w:ascii="黑体" w:hAnsi="黑体" w:eastAsia="黑体" w:cs="黑体"/>
          <w:bCs/>
          <w:color w:val="auto"/>
          <w:sz w:val="32"/>
          <w:szCs w:val="32"/>
        </w:rPr>
      </w:pPr>
      <w:r>
        <w:rPr>
          <w:rStyle w:val="14"/>
          <w:rFonts w:hint="eastAsia" w:ascii="黑体" w:hAnsi="黑体" w:eastAsia="黑体" w:cs="黑体"/>
          <w:b w:val="0"/>
          <w:bCs/>
          <w:color w:val="auto"/>
          <w:sz w:val="32"/>
          <w:szCs w:val="32"/>
        </w:rPr>
        <w:t>第一章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rPr>
        <w:t>总</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rPr>
        <w:t>则</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highlight w:val="none"/>
        </w:rPr>
      </w:pPr>
      <w:r>
        <w:rPr>
          <w:rStyle w:val="14"/>
          <w:rFonts w:hint="eastAsia" w:ascii="黑体" w:hAnsi="黑体" w:eastAsia="黑体" w:cs="黑体"/>
          <w:b w:val="0"/>
          <w:bCs/>
          <w:color w:val="auto"/>
          <w:sz w:val="32"/>
          <w:szCs w:val="32"/>
          <w:highlight w:val="none"/>
        </w:rPr>
        <w:t>第一条</w:t>
      </w:r>
      <w:r>
        <w:rPr>
          <w:rStyle w:val="14"/>
          <w:rFonts w:hint="eastAsia" w:ascii="仿宋" w:hAnsi="仿宋" w:eastAsia="仿宋" w:cs="仿宋"/>
          <w:b w:val="0"/>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为进一步创新政府投资方式，发挥政府资金的引导作用和放大效应，规范政府投资基金的设立、运行与监管，根据《中华人民共和国预算法》</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《中华人民共和国公司法》</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《中华人民共和国合伙企业法》</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《中华人民共和国证券投资基金法》</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《私募投资基金监</w:t>
      </w:r>
      <w:r>
        <w:rPr>
          <w:rFonts w:hint="eastAsia" w:ascii="仿宋" w:hAnsi="仿宋" w:eastAsia="仿宋" w:cs="仿宋"/>
          <w:bCs/>
          <w:color w:val="auto"/>
          <w:sz w:val="32"/>
          <w:szCs w:val="32"/>
        </w:rPr>
        <w:t>督</w:t>
      </w:r>
      <w:r>
        <w:rPr>
          <w:rFonts w:hint="eastAsia" w:ascii="仿宋" w:hAnsi="仿宋" w:eastAsia="仿宋" w:cs="仿宋"/>
          <w:bCs/>
          <w:color w:val="auto"/>
          <w:sz w:val="32"/>
          <w:szCs w:val="32"/>
          <w:highlight w:val="none"/>
        </w:rPr>
        <w:t>管</w:t>
      </w:r>
      <w:r>
        <w:rPr>
          <w:rFonts w:hint="eastAsia" w:ascii="仿宋" w:hAnsi="仿宋" w:eastAsia="仿宋" w:cs="仿宋"/>
          <w:bCs/>
          <w:color w:val="auto"/>
          <w:sz w:val="32"/>
          <w:szCs w:val="32"/>
        </w:rPr>
        <w:t>理条例</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rPr>
        <w:t>国务院第762号令</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eastAsia="zh-CN"/>
        </w:rPr>
        <w:t>及</w:t>
      </w:r>
      <w:r>
        <w:rPr>
          <w:rFonts w:hint="eastAsia" w:ascii="仿宋" w:hAnsi="仿宋" w:eastAsia="仿宋" w:cs="仿宋"/>
          <w:bCs/>
          <w:color w:val="auto"/>
          <w:sz w:val="32"/>
          <w:szCs w:val="32"/>
          <w:highlight w:val="none"/>
        </w:rPr>
        <w:t>《国家发展改革委关于印发〈政府出资产业投资基金管理暂行办法〉的通知》（发改财金规〔2016〕2800号）</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《财政部关于印发〈政</w:t>
      </w:r>
      <w:r>
        <w:rPr>
          <w:rFonts w:hint="eastAsia" w:ascii="仿宋" w:hAnsi="仿宋" w:eastAsia="仿宋" w:cs="仿宋"/>
          <w:bCs/>
          <w:color w:val="auto"/>
          <w:spacing w:val="-6"/>
          <w:sz w:val="32"/>
          <w:szCs w:val="32"/>
          <w:highlight w:val="none"/>
        </w:rPr>
        <w:t>府投资基金暂行管理办法〉的通知》（财预〔2015〕210号）、</w:t>
      </w:r>
      <w:r>
        <w:rPr>
          <w:rFonts w:hint="eastAsia" w:ascii="仿宋" w:hAnsi="仿宋" w:eastAsia="仿宋" w:cs="仿宋"/>
          <w:bCs/>
          <w:color w:val="auto"/>
          <w:sz w:val="32"/>
          <w:szCs w:val="32"/>
          <w:highlight w:val="none"/>
          <w:lang w:eastAsia="zh-CN"/>
        </w:rPr>
        <w:t>财政部</w:t>
      </w:r>
      <w:r>
        <w:rPr>
          <w:rFonts w:hint="eastAsia" w:ascii="仿宋" w:hAnsi="仿宋" w:eastAsia="仿宋" w:cs="仿宋"/>
          <w:bCs/>
          <w:color w:val="auto"/>
          <w:sz w:val="32"/>
          <w:szCs w:val="32"/>
          <w:highlight w:val="none"/>
        </w:rPr>
        <w:t>《关于加强政府投资基金管理提高财政出资效益的通知》（财</w:t>
      </w:r>
      <w:r>
        <w:rPr>
          <w:rFonts w:hint="eastAsia" w:ascii="仿宋" w:hAnsi="仿宋" w:eastAsia="仿宋" w:cs="仿宋"/>
          <w:bCs/>
          <w:color w:val="auto"/>
          <w:spacing w:val="6"/>
          <w:sz w:val="32"/>
          <w:szCs w:val="32"/>
          <w:highlight w:val="none"/>
        </w:rPr>
        <w:t>预〔2020〕7号）等法律、法规和文件精神，结合自治区实际</w:t>
      </w:r>
      <w:r>
        <w:rPr>
          <w:rFonts w:hint="eastAsia" w:ascii="仿宋" w:hAnsi="仿宋" w:eastAsia="仿宋" w:cs="仿宋"/>
          <w:bCs/>
          <w:color w:val="auto"/>
          <w:spacing w:val="6"/>
          <w:sz w:val="32"/>
          <w:szCs w:val="32"/>
          <w:highlight w:val="none"/>
          <w:lang w:eastAsia="zh-CN"/>
        </w:rPr>
        <w:t>，</w:t>
      </w:r>
      <w:r>
        <w:rPr>
          <w:rFonts w:hint="eastAsia" w:ascii="仿宋" w:hAnsi="仿宋" w:eastAsia="仿宋" w:cs="仿宋"/>
          <w:bCs/>
          <w:color w:val="auto"/>
          <w:sz w:val="32"/>
          <w:szCs w:val="32"/>
          <w:highlight w:val="none"/>
        </w:rPr>
        <w:t>制定本办法。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Style w:val="14"/>
          <w:rFonts w:hint="eastAsia" w:ascii="仿宋" w:hAnsi="仿宋" w:eastAsia="仿宋" w:cs="仿宋"/>
          <w:b w:val="0"/>
          <w:bCs/>
          <w:strike/>
          <w:color w:val="auto"/>
          <w:sz w:val="32"/>
          <w:szCs w:val="32"/>
          <w:highlight w:val="none"/>
        </w:rPr>
      </w:pPr>
      <w:r>
        <w:rPr>
          <w:rStyle w:val="14"/>
          <w:rFonts w:hint="eastAsia" w:ascii="仿宋" w:hAnsi="仿宋" w:eastAsia="仿宋" w:cs="仿宋"/>
          <w:b w:val="0"/>
          <w:bCs/>
          <w:color w:val="auto"/>
          <w:sz w:val="32"/>
          <w:szCs w:val="32"/>
        </w:rPr>
        <w:t xml:space="preserve">   </w:t>
      </w:r>
      <w:r>
        <w:rPr>
          <w:rStyle w:val="14"/>
          <w:rFonts w:hint="eastAsia" w:ascii="仿宋" w:hAnsi="仿宋" w:eastAsia="仿宋" w:cs="仿宋"/>
          <w:b w:val="0"/>
          <w:bCs/>
          <w:color w:val="auto"/>
          <w:sz w:val="32"/>
          <w:szCs w:val="32"/>
          <w:highlight w:val="none"/>
        </w:rPr>
        <w:t xml:space="preserve"> </w:t>
      </w:r>
      <w:r>
        <w:rPr>
          <w:rStyle w:val="14"/>
          <w:rFonts w:hint="eastAsia" w:ascii="黑体" w:hAnsi="黑体" w:eastAsia="黑体" w:cs="黑体"/>
          <w:b w:val="0"/>
          <w:bCs/>
          <w:color w:val="auto"/>
          <w:sz w:val="32"/>
          <w:szCs w:val="32"/>
          <w:highlight w:val="none"/>
        </w:rPr>
        <w:t>第二条</w:t>
      </w:r>
      <w:r>
        <w:rPr>
          <w:rStyle w:val="14"/>
          <w:rFonts w:hint="eastAsia" w:ascii="仿宋" w:hAnsi="仿宋" w:eastAsia="仿宋" w:cs="仿宋"/>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highlight w:val="none"/>
        </w:rPr>
        <w:t>本办法所称政府投资基金，是指由自治区各级</w:t>
      </w:r>
      <w:r>
        <w:rPr>
          <w:rStyle w:val="14"/>
          <w:rFonts w:hint="eastAsia" w:ascii="仿宋" w:hAnsi="仿宋" w:eastAsia="仿宋" w:cs="仿宋"/>
          <w:b w:val="0"/>
          <w:bCs/>
          <w:color w:val="auto"/>
          <w:sz w:val="32"/>
          <w:szCs w:val="32"/>
          <w:highlight w:val="none"/>
          <w:lang w:eastAsia="zh-CN"/>
        </w:rPr>
        <w:t>人民</w:t>
      </w:r>
      <w:r>
        <w:rPr>
          <w:rStyle w:val="14"/>
          <w:rFonts w:hint="eastAsia" w:ascii="仿宋" w:hAnsi="仿宋" w:eastAsia="仿宋" w:cs="仿宋"/>
          <w:b w:val="0"/>
          <w:bCs/>
          <w:color w:val="auto"/>
          <w:sz w:val="32"/>
          <w:szCs w:val="32"/>
          <w:highlight w:val="none"/>
        </w:rPr>
        <w:t>政府通过预算安排</w:t>
      </w:r>
      <w:r>
        <w:rPr>
          <w:rStyle w:val="14"/>
          <w:rFonts w:hint="eastAsia" w:ascii="仿宋" w:hAnsi="仿宋" w:eastAsia="仿宋" w:cs="仿宋"/>
          <w:b w:val="0"/>
          <w:bCs/>
          <w:color w:val="auto"/>
          <w:sz w:val="32"/>
          <w:szCs w:val="32"/>
          <w:highlight w:val="none"/>
          <w:lang w:eastAsia="zh-CN"/>
        </w:rPr>
        <w:t>，</w:t>
      </w:r>
      <w:r>
        <w:rPr>
          <w:rStyle w:val="14"/>
          <w:rFonts w:hint="eastAsia" w:ascii="仿宋" w:hAnsi="仿宋" w:eastAsia="仿宋" w:cs="仿宋"/>
          <w:b w:val="0"/>
          <w:bCs/>
          <w:color w:val="auto"/>
          <w:sz w:val="32"/>
          <w:szCs w:val="32"/>
          <w:highlight w:val="none"/>
        </w:rPr>
        <w:t>以单独出资或与社会资本共同出资设立，引导社会各类资本投资经济社会发展的重点领域和薄弱环节，支持相关产业和领域发展，主要投资于非公开交易企业股权的股权投资基金和创业投资基金。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Style w:val="14"/>
          <w:rFonts w:hint="eastAsia" w:ascii="仿宋" w:hAnsi="仿宋" w:eastAsia="仿宋" w:cs="仿宋"/>
          <w:b w:val="0"/>
          <w:bCs/>
          <w:color w:val="auto"/>
          <w:sz w:val="32"/>
          <w:szCs w:val="32"/>
          <w:highlight w:val="none"/>
          <w:shd w:val="clear" w:color="FFFFFF" w:fill="D9D9D9"/>
        </w:rPr>
      </w:pPr>
      <w:r>
        <w:rPr>
          <w:rStyle w:val="14"/>
          <w:rFonts w:hint="eastAsia" w:ascii="黑体" w:hAnsi="黑体" w:eastAsia="黑体" w:cs="黑体"/>
          <w:b w:val="0"/>
          <w:bCs/>
          <w:color w:val="auto"/>
          <w:sz w:val="32"/>
          <w:szCs w:val="32"/>
          <w:highlight w:val="none"/>
        </w:rPr>
        <w:t>第三条</w:t>
      </w:r>
      <w:r>
        <w:rPr>
          <w:rStyle w:val="14"/>
          <w:rFonts w:hint="eastAsia" w:ascii="仿宋" w:hAnsi="仿宋" w:eastAsia="仿宋" w:cs="仿宋"/>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highlight w:val="none"/>
        </w:rPr>
        <w:t>本办法所称政府出资，是指自治区各级财政部门通过一般公共预算、政府性基金预算、国有资本经营预算等直接安排的财政资金。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Style w:val="14"/>
          <w:rFonts w:hint="eastAsia" w:ascii="仿宋" w:hAnsi="仿宋" w:eastAsia="仿宋" w:cs="仿宋"/>
          <w:b w:val="0"/>
          <w:bCs/>
          <w:color w:val="auto"/>
          <w:sz w:val="32"/>
          <w:szCs w:val="32"/>
          <w:highlight w:val="none"/>
        </w:rPr>
      </w:pPr>
      <w:r>
        <w:rPr>
          <w:rStyle w:val="14"/>
          <w:rFonts w:hint="eastAsia" w:ascii="黑体" w:hAnsi="黑体" w:eastAsia="黑体" w:cs="黑体"/>
          <w:b w:val="0"/>
          <w:bCs/>
          <w:color w:val="auto"/>
          <w:sz w:val="32"/>
          <w:szCs w:val="32"/>
          <w:highlight w:val="none"/>
        </w:rPr>
        <w:t>第四条</w:t>
      </w:r>
      <w:r>
        <w:rPr>
          <w:rStyle w:val="14"/>
          <w:rFonts w:hint="eastAsia" w:ascii="仿宋" w:hAnsi="仿宋" w:eastAsia="仿宋" w:cs="仿宋"/>
          <w:b w:val="0"/>
          <w:bCs/>
          <w:color w:val="auto"/>
          <w:sz w:val="32"/>
          <w:szCs w:val="32"/>
          <w:lang w:val="en-US" w:eastAsia="zh-CN"/>
        </w:rPr>
        <w:t xml:space="preserve">  </w:t>
      </w:r>
      <w:r>
        <w:rPr>
          <w:rStyle w:val="14"/>
          <w:rFonts w:hint="eastAsia" w:ascii="仿宋" w:hAnsi="仿宋" w:eastAsia="仿宋" w:cs="仿宋"/>
          <w:b w:val="0"/>
          <w:bCs/>
          <w:color w:val="auto"/>
          <w:sz w:val="32"/>
          <w:szCs w:val="32"/>
          <w:highlight w:val="none"/>
        </w:rPr>
        <w:t>政府投资基金可以采用公司制、有限合伙制、契约制等组织形式。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Style w:val="14"/>
          <w:rFonts w:hint="eastAsia" w:ascii="仿宋" w:hAnsi="仿宋" w:eastAsia="仿宋" w:cs="仿宋"/>
          <w:b w:val="0"/>
          <w:bCs/>
          <w:color w:val="auto"/>
          <w:sz w:val="32"/>
          <w:szCs w:val="32"/>
          <w:highlight w:val="none"/>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五</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Style w:val="14"/>
          <w:rFonts w:hint="eastAsia" w:ascii="仿宋" w:hAnsi="仿宋" w:eastAsia="仿宋" w:cs="仿宋"/>
          <w:b w:val="0"/>
          <w:bCs/>
          <w:color w:val="auto"/>
          <w:sz w:val="32"/>
          <w:szCs w:val="32"/>
          <w:highlight w:val="none"/>
        </w:rPr>
        <w:t>政府投资基金</w:t>
      </w:r>
      <w:r>
        <w:rPr>
          <w:rStyle w:val="14"/>
          <w:rFonts w:hint="eastAsia" w:ascii="仿宋" w:hAnsi="仿宋" w:eastAsia="仿宋" w:cs="仿宋"/>
          <w:b w:val="0"/>
          <w:bCs/>
          <w:color w:val="auto"/>
          <w:sz w:val="32"/>
          <w:szCs w:val="32"/>
          <w:highlight w:val="none"/>
          <w:lang w:eastAsia="zh-CN"/>
        </w:rPr>
        <w:t>管理坚持以铸牢中华民族共同体意识为工作主线，</w:t>
      </w:r>
      <w:r>
        <w:rPr>
          <w:rStyle w:val="14"/>
          <w:rFonts w:hint="eastAsia" w:ascii="仿宋" w:hAnsi="仿宋" w:eastAsia="仿宋" w:cs="仿宋"/>
          <w:b w:val="0"/>
          <w:bCs/>
          <w:color w:val="auto"/>
          <w:sz w:val="32"/>
          <w:szCs w:val="32"/>
          <w:highlight w:val="none"/>
        </w:rPr>
        <w:t>坚持统筹推进、量力而行</w:t>
      </w:r>
      <w:r>
        <w:rPr>
          <w:rStyle w:val="14"/>
          <w:rFonts w:hint="eastAsia" w:ascii="仿宋" w:hAnsi="仿宋" w:eastAsia="仿宋" w:cs="仿宋"/>
          <w:b w:val="0"/>
          <w:bCs/>
          <w:color w:val="auto"/>
          <w:sz w:val="32"/>
          <w:szCs w:val="32"/>
          <w:highlight w:val="none"/>
          <w:lang w:eastAsia="zh-CN"/>
        </w:rPr>
        <w:t>和</w:t>
      </w:r>
      <w:r>
        <w:rPr>
          <w:rStyle w:val="14"/>
          <w:rFonts w:hint="eastAsia" w:ascii="仿宋" w:hAnsi="仿宋" w:eastAsia="仿宋" w:cs="仿宋"/>
          <w:b w:val="0"/>
          <w:bCs/>
          <w:color w:val="auto"/>
          <w:sz w:val="32"/>
          <w:szCs w:val="32"/>
          <w:highlight w:val="none"/>
        </w:rPr>
        <w:t>市场化运作、专业化管理的原则，严格控制设立数量，合理确定设立规模</w:t>
      </w:r>
      <w:r>
        <w:rPr>
          <w:rStyle w:val="14"/>
          <w:rFonts w:hint="eastAsia" w:ascii="仿宋" w:hAnsi="仿宋" w:eastAsia="仿宋" w:cs="仿宋"/>
          <w:b w:val="0"/>
          <w:bCs/>
          <w:color w:val="auto"/>
          <w:sz w:val="32"/>
          <w:szCs w:val="32"/>
          <w:highlight w:val="none"/>
          <w:lang w:eastAsia="zh-CN"/>
        </w:rPr>
        <w:t>。</w:t>
      </w:r>
      <w:r>
        <w:rPr>
          <w:rStyle w:val="14"/>
          <w:rFonts w:hint="eastAsia" w:ascii="仿宋" w:hAnsi="仿宋" w:eastAsia="仿宋" w:cs="仿宋"/>
          <w:b w:val="0"/>
          <w:bCs/>
          <w:color w:val="auto"/>
          <w:sz w:val="32"/>
          <w:szCs w:val="32"/>
          <w:highlight w:val="none"/>
        </w:rPr>
        <w:t>已设立政府投资基金的领域，原则上不再安排财政专项资金。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Style w:val="14"/>
          <w:rFonts w:hint="eastAsia" w:ascii="仿宋" w:hAnsi="仿宋" w:eastAsia="仿宋" w:cs="仿宋"/>
          <w:b w:val="0"/>
          <w:bCs/>
          <w:color w:val="auto"/>
          <w:sz w:val="32"/>
          <w:szCs w:val="32"/>
          <w:highlight w:val="none"/>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六</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highlight w:val="none"/>
          <w:lang w:eastAsia="zh-CN"/>
        </w:rPr>
        <w:t>各级</w:t>
      </w:r>
      <w:r>
        <w:rPr>
          <w:rStyle w:val="14"/>
          <w:rFonts w:hint="eastAsia" w:ascii="仿宋" w:hAnsi="仿宋" w:eastAsia="仿宋" w:cs="仿宋"/>
          <w:b w:val="0"/>
          <w:bCs/>
          <w:color w:val="auto"/>
          <w:sz w:val="32"/>
          <w:szCs w:val="32"/>
          <w:highlight w:val="none"/>
        </w:rPr>
        <w:t>发展改革部门负责政府投资基金信用信息登记管理，对政府投资基金产业政策符合性</w:t>
      </w:r>
      <w:r>
        <w:rPr>
          <w:rStyle w:val="14"/>
          <w:rFonts w:hint="eastAsia" w:ascii="仿宋" w:hAnsi="仿宋" w:eastAsia="仿宋" w:cs="仿宋"/>
          <w:b w:val="0"/>
          <w:bCs/>
          <w:color w:val="auto"/>
          <w:sz w:val="32"/>
          <w:szCs w:val="32"/>
          <w:highlight w:val="none"/>
          <w:lang w:val="en-US" w:eastAsia="zh-CN"/>
        </w:rPr>
        <w:t>和</w:t>
      </w:r>
      <w:r>
        <w:rPr>
          <w:rStyle w:val="14"/>
          <w:rFonts w:hint="eastAsia" w:ascii="仿宋" w:hAnsi="仿宋" w:eastAsia="仿宋" w:cs="仿宋"/>
          <w:b w:val="0"/>
          <w:bCs/>
          <w:color w:val="auto"/>
          <w:sz w:val="32"/>
          <w:szCs w:val="32"/>
          <w:highlight w:val="none"/>
          <w:lang w:eastAsia="zh-CN"/>
        </w:rPr>
        <w:t>章程</w:t>
      </w:r>
      <w:r>
        <w:rPr>
          <w:rStyle w:val="14"/>
          <w:rFonts w:hint="eastAsia" w:ascii="仿宋" w:hAnsi="仿宋" w:eastAsia="仿宋" w:cs="仿宋"/>
          <w:b w:val="0"/>
          <w:bCs/>
          <w:color w:val="auto"/>
          <w:sz w:val="32"/>
          <w:szCs w:val="32"/>
          <w:highlight w:val="none"/>
          <w:lang w:val="en-US" w:eastAsia="zh-CN"/>
        </w:rPr>
        <w:t>等</w:t>
      </w:r>
      <w:r>
        <w:rPr>
          <w:rStyle w:val="14"/>
          <w:rFonts w:hint="eastAsia" w:ascii="仿宋" w:hAnsi="仿宋" w:eastAsia="仿宋" w:cs="仿宋"/>
          <w:b w:val="0"/>
          <w:bCs/>
          <w:color w:val="auto"/>
          <w:sz w:val="32"/>
          <w:szCs w:val="32"/>
          <w:highlight w:val="none"/>
        </w:rPr>
        <w:t>材料完备性进行</w:t>
      </w:r>
      <w:r>
        <w:rPr>
          <w:rStyle w:val="14"/>
          <w:rFonts w:hint="eastAsia" w:ascii="仿宋" w:hAnsi="仿宋" w:eastAsia="仿宋" w:cs="仿宋"/>
          <w:b w:val="0"/>
          <w:bCs/>
          <w:color w:val="auto"/>
          <w:sz w:val="32"/>
          <w:szCs w:val="32"/>
          <w:highlight w:val="none"/>
          <w:lang w:eastAsia="zh-CN"/>
        </w:rPr>
        <w:t>审查</w:t>
      </w:r>
      <w:r>
        <w:rPr>
          <w:rStyle w:val="14"/>
          <w:rFonts w:hint="eastAsia" w:ascii="仿宋" w:hAnsi="仿宋" w:eastAsia="仿宋" w:cs="仿宋"/>
          <w:b w:val="0"/>
          <w:bCs/>
          <w:color w:val="auto"/>
          <w:sz w:val="32"/>
          <w:szCs w:val="32"/>
          <w:highlight w:val="none"/>
        </w:rPr>
        <w:t>，依托全国政府出资产业投资基金信用信息登记系统进行</w:t>
      </w:r>
      <w:bookmarkStart w:id="1" w:name="_GoBack"/>
      <w:bookmarkEnd w:id="1"/>
      <w:r>
        <w:rPr>
          <w:rStyle w:val="14"/>
          <w:rFonts w:hint="eastAsia" w:ascii="仿宋" w:hAnsi="仿宋" w:eastAsia="仿宋" w:cs="仿宋"/>
          <w:b w:val="0"/>
          <w:bCs/>
          <w:color w:val="auto"/>
          <w:sz w:val="32"/>
          <w:szCs w:val="32"/>
          <w:highlight w:val="none"/>
        </w:rPr>
        <w:t>事中事后管理。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Style w:val="14"/>
          <w:rFonts w:hint="eastAsia" w:ascii="仿宋" w:hAnsi="仿宋" w:eastAsia="仿宋" w:cs="仿宋"/>
          <w:b w:val="0"/>
          <w:bCs/>
          <w:color w:val="auto"/>
          <w:sz w:val="32"/>
          <w:szCs w:val="32"/>
          <w:highlight w:val="none"/>
        </w:rPr>
      </w:pPr>
      <w:r>
        <w:rPr>
          <w:rStyle w:val="14"/>
          <w:rFonts w:hint="eastAsia" w:ascii="仿宋" w:hAnsi="仿宋" w:eastAsia="仿宋" w:cs="仿宋"/>
          <w:b w:val="0"/>
          <w:bCs/>
          <w:color w:val="auto"/>
          <w:sz w:val="32"/>
          <w:szCs w:val="32"/>
          <w:highlight w:val="none"/>
        </w:rPr>
        <w:t xml:space="preserve">   </w:t>
      </w:r>
      <w:r>
        <w:rPr>
          <w:rStyle w:val="14"/>
          <w:rFonts w:hint="eastAsia" w:ascii="黑体" w:hAnsi="黑体" w:eastAsia="黑体" w:cs="黑体"/>
          <w:b w:val="0"/>
          <w:bCs/>
          <w:color w:val="auto"/>
          <w:sz w:val="32"/>
          <w:szCs w:val="32"/>
          <w:highlight w:val="none"/>
        </w:rPr>
        <w:t xml:space="preserve"> </w:t>
      </w:r>
      <w:r>
        <w:rPr>
          <w:rStyle w:val="14"/>
          <w:rFonts w:hint="eastAsia" w:ascii="黑体" w:hAnsi="黑体" w:eastAsia="黑体" w:cs="黑体"/>
          <w:b w:val="0"/>
          <w:bCs/>
          <w:color w:val="auto"/>
          <w:sz w:val="32"/>
          <w:szCs w:val="32"/>
          <w:highlight w:val="none"/>
          <w:lang w:val="en-US" w:eastAsia="zh-CN"/>
        </w:rPr>
        <w:t>第七条</w:t>
      </w:r>
      <w:r>
        <w:rPr>
          <w:rStyle w:val="14"/>
          <w:rFonts w:hint="eastAsia" w:ascii="仿宋" w:hAnsi="仿宋" w:eastAsia="仿宋" w:cs="仿宋"/>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highlight w:val="none"/>
        </w:rPr>
        <w:t>各级财政部门对基金设立</w:t>
      </w:r>
      <w:r>
        <w:rPr>
          <w:rStyle w:val="14"/>
          <w:rFonts w:hint="eastAsia" w:ascii="仿宋" w:hAnsi="仿宋" w:eastAsia="仿宋" w:cs="仿宋"/>
          <w:b w:val="0"/>
          <w:bCs/>
          <w:color w:val="auto"/>
          <w:sz w:val="32"/>
          <w:szCs w:val="32"/>
          <w:highlight w:val="none"/>
          <w:lang w:eastAsia="zh-CN"/>
        </w:rPr>
        <w:t>、增资</w:t>
      </w:r>
      <w:r>
        <w:rPr>
          <w:rStyle w:val="14"/>
          <w:rFonts w:hint="eastAsia" w:ascii="仿宋" w:hAnsi="仿宋" w:eastAsia="仿宋" w:cs="仿宋"/>
          <w:b w:val="0"/>
          <w:bCs/>
          <w:color w:val="auto"/>
          <w:sz w:val="32"/>
          <w:szCs w:val="32"/>
          <w:highlight w:val="none"/>
        </w:rPr>
        <w:t>的政府投入能力进行</w:t>
      </w:r>
      <w:r>
        <w:rPr>
          <w:rStyle w:val="14"/>
          <w:rFonts w:hint="eastAsia" w:ascii="仿宋" w:hAnsi="仿宋" w:eastAsia="仿宋" w:cs="仿宋"/>
          <w:b w:val="0"/>
          <w:bCs/>
          <w:color w:val="auto"/>
          <w:sz w:val="32"/>
          <w:szCs w:val="32"/>
          <w:highlight w:val="none"/>
          <w:lang w:eastAsia="zh-CN"/>
        </w:rPr>
        <w:t>评价</w:t>
      </w:r>
      <w:r>
        <w:rPr>
          <w:rStyle w:val="14"/>
          <w:rFonts w:hint="eastAsia" w:ascii="仿宋" w:hAnsi="仿宋" w:eastAsia="仿宋" w:cs="仿宋"/>
          <w:b w:val="0"/>
          <w:bCs/>
          <w:color w:val="auto"/>
          <w:sz w:val="32"/>
          <w:szCs w:val="32"/>
          <w:highlight w:val="none"/>
        </w:rPr>
        <w:t>审核，负责结合本地区财力状况确定政府投资基金中政府出资规模及资金来源，并就基金预算安排相关事项报</w:t>
      </w:r>
      <w:r>
        <w:rPr>
          <w:rStyle w:val="14"/>
          <w:rFonts w:hint="eastAsia" w:ascii="仿宋" w:hAnsi="仿宋" w:eastAsia="仿宋" w:cs="仿宋"/>
          <w:b w:val="0"/>
          <w:bCs/>
          <w:color w:val="auto"/>
          <w:sz w:val="32"/>
          <w:szCs w:val="32"/>
          <w:highlight w:val="none"/>
          <w:lang w:eastAsia="zh-CN"/>
        </w:rPr>
        <w:t>本</w:t>
      </w:r>
      <w:r>
        <w:rPr>
          <w:rStyle w:val="14"/>
          <w:rFonts w:hint="eastAsia" w:ascii="仿宋" w:hAnsi="仿宋" w:eastAsia="仿宋" w:cs="仿宋"/>
          <w:b w:val="0"/>
          <w:bCs/>
          <w:color w:val="auto"/>
          <w:sz w:val="32"/>
          <w:szCs w:val="32"/>
          <w:highlight w:val="none"/>
        </w:rPr>
        <w:t>级</w:t>
      </w:r>
      <w:r>
        <w:rPr>
          <w:rStyle w:val="14"/>
          <w:rFonts w:hint="eastAsia" w:ascii="仿宋" w:hAnsi="仿宋" w:eastAsia="仿宋" w:cs="仿宋"/>
          <w:b w:val="0"/>
          <w:bCs/>
          <w:color w:val="auto"/>
          <w:sz w:val="32"/>
          <w:szCs w:val="32"/>
          <w:highlight w:val="none"/>
          <w:lang w:eastAsia="zh-CN"/>
        </w:rPr>
        <w:t>人民</w:t>
      </w:r>
      <w:r>
        <w:rPr>
          <w:rStyle w:val="14"/>
          <w:rFonts w:hint="eastAsia" w:ascii="仿宋" w:hAnsi="仿宋" w:eastAsia="仿宋" w:cs="仿宋"/>
          <w:b w:val="0"/>
          <w:bCs/>
          <w:color w:val="auto"/>
          <w:sz w:val="32"/>
          <w:szCs w:val="32"/>
          <w:highlight w:val="none"/>
        </w:rPr>
        <w:t>政府批准；负责根据</w:t>
      </w:r>
      <w:r>
        <w:rPr>
          <w:rStyle w:val="14"/>
          <w:rFonts w:hint="eastAsia" w:ascii="仿宋" w:hAnsi="仿宋" w:eastAsia="仿宋" w:cs="仿宋"/>
          <w:b w:val="0"/>
          <w:bCs/>
          <w:color w:val="auto"/>
          <w:sz w:val="32"/>
          <w:szCs w:val="32"/>
          <w:highlight w:val="none"/>
          <w:lang w:eastAsia="zh-CN"/>
        </w:rPr>
        <w:t>本</w:t>
      </w:r>
      <w:r>
        <w:rPr>
          <w:rStyle w:val="14"/>
          <w:rFonts w:hint="eastAsia" w:ascii="仿宋" w:hAnsi="仿宋" w:eastAsia="仿宋" w:cs="仿宋"/>
          <w:b w:val="0"/>
          <w:bCs/>
          <w:color w:val="auto"/>
          <w:sz w:val="32"/>
          <w:szCs w:val="32"/>
          <w:highlight w:val="none"/>
        </w:rPr>
        <w:t>级</w:t>
      </w:r>
      <w:r>
        <w:rPr>
          <w:rStyle w:val="14"/>
          <w:rFonts w:hint="eastAsia" w:ascii="仿宋" w:hAnsi="仿宋" w:eastAsia="仿宋" w:cs="仿宋"/>
          <w:b w:val="0"/>
          <w:bCs/>
          <w:color w:val="auto"/>
          <w:sz w:val="32"/>
          <w:szCs w:val="32"/>
          <w:highlight w:val="none"/>
          <w:lang w:eastAsia="zh-CN"/>
        </w:rPr>
        <w:t>人民</w:t>
      </w:r>
      <w:r>
        <w:rPr>
          <w:rStyle w:val="14"/>
          <w:rFonts w:hint="eastAsia" w:ascii="仿宋" w:hAnsi="仿宋" w:eastAsia="仿宋" w:cs="仿宋"/>
          <w:b w:val="0"/>
          <w:bCs/>
          <w:color w:val="auto"/>
          <w:sz w:val="32"/>
          <w:szCs w:val="32"/>
          <w:highlight w:val="none"/>
        </w:rPr>
        <w:t>政府授权或合同章程规定代行政府出资人职责；</w:t>
      </w:r>
      <w:r>
        <w:rPr>
          <w:rStyle w:val="14"/>
          <w:rFonts w:hint="eastAsia" w:ascii="仿宋" w:hAnsi="仿宋" w:eastAsia="仿宋" w:cs="仿宋"/>
          <w:b w:val="0"/>
          <w:bCs/>
          <w:color w:val="auto"/>
          <w:sz w:val="32"/>
          <w:szCs w:val="32"/>
          <w:highlight w:val="none"/>
          <w:lang w:eastAsia="zh-CN"/>
        </w:rPr>
        <w:t>负责</w:t>
      </w:r>
      <w:r>
        <w:rPr>
          <w:rStyle w:val="14"/>
          <w:rFonts w:hint="eastAsia" w:ascii="仿宋" w:hAnsi="仿宋" w:eastAsia="仿宋" w:cs="仿宋"/>
          <w:b w:val="0"/>
          <w:bCs/>
          <w:color w:val="auto"/>
          <w:sz w:val="32"/>
          <w:szCs w:val="32"/>
          <w:highlight w:val="none"/>
          <w:lang w:val="en-US" w:eastAsia="zh-CN"/>
        </w:rPr>
        <w:t>会同相关部门</w:t>
      </w:r>
      <w:r>
        <w:rPr>
          <w:rStyle w:val="14"/>
          <w:rFonts w:hint="eastAsia" w:ascii="仿宋" w:hAnsi="仿宋" w:eastAsia="仿宋" w:cs="仿宋"/>
          <w:b w:val="0"/>
          <w:bCs/>
          <w:color w:val="auto"/>
          <w:sz w:val="32"/>
          <w:szCs w:val="32"/>
          <w:highlight w:val="none"/>
        </w:rPr>
        <w:t>对基金实施全过程绩效管理，组织开展重点绩效评价；</w:t>
      </w:r>
      <w:r>
        <w:rPr>
          <w:rStyle w:val="14"/>
          <w:rFonts w:hint="eastAsia" w:ascii="仿宋" w:hAnsi="仿宋" w:eastAsia="仿宋" w:cs="仿宋"/>
          <w:b w:val="0"/>
          <w:bCs/>
          <w:color w:val="auto"/>
          <w:sz w:val="32"/>
          <w:szCs w:val="32"/>
          <w:highlight w:val="none"/>
          <w:lang w:eastAsia="zh-CN"/>
        </w:rPr>
        <w:t>负责</w:t>
      </w:r>
      <w:r>
        <w:rPr>
          <w:rStyle w:val="14"/>
          <w:rFonts w:hint="eastAsia" w:ascii="仿宋" w:hAnsi="仿宋" w:eastAsia="仿宋" w:cs="仿宋"/>
          <w:b w:val="0"/>
          <w:bCs/>
          <w:color w:val="auto"/>
          <w:sz w:val="32"/>
          <w:szCs w:val="32"/>
          <w:highlight w:val="none"/>
        </w:rPr>
        <w:t>加强财政资金安全监管、债务风险防控；负责本级政府投资基金终止时，监督基金资产清算。</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720"/>
        <w:jc w:val="both"/>
        <w:textAlignment w:val="auto"/>
        <w:rPr>
          <w:rStyle w:val="14"/>
          <w:rFonts w:hint="eastAsia" w:ascii="仿宋" w:hAnsi="仿宋" w:eastAsia="仿宋" w:cs="仿宋"/>
          <w:b w:val="0"/>
          <w:bCs/>
          <w:color w:val="auto"/>
          <w:sz w:val="32"/>
          <w:szCs w:val="32"/>
          <w:highlight w:val="none"/>
        </w:rPr>
      </w:pPr>
      <w:r>
        <w:rPr>
          <w:rStyle w:val="14"/>
          <w:rFonts w:hint="eastAsia" w:ascii="黑体" w:hAnsi="黑体" w:eastAsia="黑体" w:cs="黑体"/>
          <w:b w:val="0"/>
          <w:bCs/>
          <w:color w:val="auto"/>
          <w:sz w:val="32"/>
          <w:szCs w:val="32"/>
          <w:highlight w:val="none"/>
          <w:lang w:val="en-US" w:eastAsia="zh-CN"/>
        </w:rPr>
        <w:t>第八条</w:t>
      </w:r>
      <w:r>
        <w:rPr>
          <w:rStyle w:val="14"/>
          <w:rFonts w:hint="eastAsia" w:ascii="仿宋" w:hAnsi="仿宋" w:eastAsia="仿宋" w:cs="仿宋"/>
          <w:b w:val="0"/>
          <w:bCs/>
          <w:color w:val="auto"/>
          <w:sz w:val="32"/>
          <w:szCs w:val="32"/>
          <w:lang w:val="en-US" w:eastAsia="zh-CN"/>
        </w:rPr>
        <w:t xml:space="preserve">  </w:t>
      </w:r>
      <w:r>
        <w:rPr>
          <w:rStyle w:val="14"/>
          <w:rFonts w:hint="eastAsia" w:ascii="仿宋" w:hAnsi="仿宋" w:eastAsia="仿宋" w:cs="仿宋"/>
          <w:b w:val="0"/>
          <w:bCs/>
          <w:color w:val="auto"/>
          <w:sz w:val="32"/>
          <w:szCs w:val="32"/>
          <w:highlight w:val="none"/>
        </w:rPr>
        <w:t>基金设立部门负责制定发起设立基金的可行性方案；负责行业项目库的建设、维护和项目推介</w:t>
      </w:r>
      <w:r>
        <w:rPr>
          <w:rStyle w:val="14"/>
          <w:rFonts w:hint="eastAsia" w:ascii="仿宋" w:hAnsi="仿宋" w:eastAsia="仿宋" w:cs="仿宋"/>
          <w:b w:val="0"/>
          <w:bCs/>
          <w:color w:val="auto"/>
          <w:sz w:val="32"/>
          <w:szCs w:val="32"/>
          <w:highlight w:val="none"/>
          <w:lang w:eastAsia="zh-CN"/>
        </w:rPr>
        <w:t>，</w:t>
      </w:r>
      <w:r>
        <w:rPr>
          <w:rStyle w:val="14"/>
          <w:rFonts w:hint="eastAsia" w:ascii="仿宋" w:hAnsi="仿宋" w:eastAsia="仿宋" w:cs="仿宋"/>
          <w:b w:val="0"/>
          <w:bCs/>
          <w:color w:val="auto"/>
          <w:sz w:val="32"/>
          <w:szCs w:val="32"/>
          <w:highlight w:val="none"/>
        </w:rPr>
        <w:t>政府投资基金原则上优先投向入库项目，项目库实行滚动管理、动态调整</w:t>
      </w:r>
      <w:r>
        <w:rPr>
          <w:rStyle w:val="14"/>
          <w:rFonts w:hint="eastAsia" w:ascii="仿宋" w:hAnsi="仿宋" w:eastAsia="仿宋" w:cs="仿宋"/>
          <w:b w:val="0"/>
          <w:bCs/>
          <w:color w:val="auto"/>
          <w:sz w:val="32"/>
          <w:szCs w:val="32"/>
          <w:highlight w:val="none"/>
          <w:lang w:eastAsia="zh-CN"/>
        </w:rPr>
        <w:t>；</w:t>
      </w:r>
      <w:r>
        <w:rPr>
          <w:rStyle w:val="14"/>
          <w:rFonts w:hint="eastAsia" w:ascii="仿宋" w:hAnsi="仿宋" w:eastAsia="仿宋" w:cs="仿宋"/>
          <w:b w:val="0"/>
          <w:bCs/>
          <w:color w:val="auto"/>
          <w:sz w:val="32"/>
          <w:szCs w:val="32"/>
          <w:highlight w:val="none"/>
        </w:rPr>
        <w:t>负责基金存续期间</w:t>
      </w:r>
      <w:r>
        <w:rPr>
          <w:rStyle w:val="14"/>
          <w:rFonts w:hint="eastAsia" w:ascii="仿宋" w:hAnsi="仿宋" w:eastAsia="仿宋" w:cs="仿宋"/>
          <w:b w:val="0"/>
          <w:bCs/>
          <w:color w:val="auto"/>
          <w:sz w:val="32"/>
          <w:szCs w:val="32"/>
          <w:highlight w:val="none"/>
          <w:lang w:val="en-US" w:eastAsia="zh-CN"/>
        </w:rPr>
        <w:t>相关</w:t>
      </w:r>
      <w:r>
        <w:rPr>
          <w:rStyle w:val="14"/>
          <w:rFonts w:hint="eastAsia" w:ascii="仿宋" w:hAnsi="仿宋" w:eastAsia="仿宋" w:cs="仿宋"/>
          <w:b w:val="0"/>
          <w:bCs/>
          <w:color w:val="auto"/>
          <w:sz w:val="32"/>
          <w:szCs w:val="32"/>
          <w:highlight w:val="none"/>
        </w:rPr>
        <w:t>业务指导；</w:t>
      </w:r>
      <w:r>
        <w:rPr>
          <w:rStyle w:val="14"/>
          <w:rFonts w:hint="eastAsia" w:ascii="仿宋" w:hAnsi="仿宋" w:eastAsia="仿宋" w:cs="仿宋"/>
          <w:b w:val="0"/>
          <w:bCs/>
          <w:color w:val="auto"/>
          <w:sz w:val="32"/>
          <w:szCs w:val="32"/>
          <w:highlight w:val="none"/>
          <w:lang w:eastAsia="zh-CN"/>
        </w:rPr>
        <w:t>负责</w:t>
      </w:r>
      <w:r>
        <w:rPr>
          <w:rStyle w:val="14"/>
          <w:rFonts w:hint="eastAsia" w:ascii="仿宋" w:hAnsi="仿宋" w:eastAsia="仿宋" w:cs="仿宋"/>
          <w:b w:val="0"/>
          <w:bCs/>
          <w:color w:val="auto"/>
          <w:sz w:val="32"/>
          <w:szCs w:val="32"/>
          <w:highlight w:val="none"/>
        </w:rPr>
        <w:t>做好事前绩效评估，制定绩效目标和绩效指标，开展绩效监控</w:t>
      </w:r>
      <w:r>
        <w:rPr>
          <w:rStyle w:val="14"/>
          <w:rFonts w:hint="eastAsia" w:ascii="仿宋" w:hAnsi="仿宋" w:eastAsia="仿宋" w:cs="仿宋"/>
          <w:b w:val="0"/>
          <w:bCs/>
          <w:color w:val="auto"/>
          <w:sz w:val="32"/>
          <w:szCs w:val="32"/>
          <w:highlight w:val="none"/>
          <w:lang w:eastAsia="zh-CN"/>
        </w:rPr>
        <w:t>；负责</w:t>
      </w:r>
      <w:r>
        <w:rPr>
          <w:rStyle w:val="14"/>
          <w:rFonts w:hint="eastAsia" w:ascii="仿宋" w:hAnsi="仿宋" w:eastAsia="仿宋" w:cs="仿宋"/>
          <w:b w:val="0"/>
          <w:bCs/>
          <w:color w:val="auto"/>
          <w:sz w:val="32"/>
          <w:szCs w:val="32"/>
          <w:highlight w:val="none"/>
        </w:rPr>
        <w:t>每年末</w:t>
      </w:r>
      <w:r>
        <w:rPr>
          <w:rStyle w:val="14"/>
          <w:rFonts w:hint="eastAsia" w:ascii="仿宋" w:hAnsi="仿宋" w:eastAsia="仿宋" w:cs="仿宋"/>
          <w:b w:val="0"/>
          <w:bCs/>
          <w:color w:val="auto"/>
          <w:sz w:val="32"/>
          <w:szCs w:val="32"/>
          <w:highlight w:val="none"/>
          <w:lang w:eastAsia="zh-CN"/>
        </w:rPr>
        <w:t>对</w:t>
      </w:r>
      <w:r>
        <w:rPr>
          <w:rStyle w:val="14"/>
          <w:rFonts w:hint="eastAsia" w:ascii="仿宋" w:hAnsi="仿宋" w:eastAsia="仿宋" w:cs="仿宋"/>
          <w:b w:val="0"/>
          <w:bCs/>
          <w:color w:val="auto"/>
          <w:sz w:val="32"/>
          <w:szCs w:val="32"/>
          <w:highlight w:val="none"/>
        </w:rPr>
        <w:t>基金实施绩效</w:t>
      </w:r>
      <w:r>
        <w:rPr>
          <w:rStyle w:val="14"/>
          <w:rFonts w:hint="eastAsia" w:ascii="仿宋" w:hAnsi="仿宋" w:eastAsia="仿宋" w:cs="仿宋"/>
          <w:b w:val="0"/>
          <w:bCs/>
          <w:color w:val="auto"/>
          <w:sz w:val="32"/>
          <w:szCs w:val="32"/>
          <w:highlight w:val="none"/>
          <w:lang w:eastAsia="zh-CN"/>
        </w:rPr>
        <w:t>进行</w:t>
      </w:r>
      <w:r>
        <w:rPr>
          <w:rStyle w:val="14"/>
          <w:rFonts w:hint="eastAsia" w:ascii="仿宋" w:hAnsi="仿宋" w:eastAsia="仿宋" w:cs="仿宋"/>
          <w:b w:val="0"/>
          <w:bCs/>
          <w:color w:val="auto"/>
          <w:sz w:val="32"/>
          <w:szCs w:val="32"/>
          <w:highlight w:val="none"/>
        </w:rPr>
        <w:t>自评，自评结果报</w:t>
      </w:r>
      <w:r>
        <w:rPr>
          <w:rStyle w:val="14"/>
          <w:rFonts w:hint="eastAsia" w:ascii="仿宋" w:hAnsi="仿宋" w:eastAsia="仿宋" w:cs="仿宋"/>
          <w:b w:val="0"/>
          <w:bCs/>
          <w:color w:val="auto"/>
          <w:sz w:val="32"/>
          <w:szCs w:val="32"/>
          <w:highlight w:val="none"/>
          <w:lang w:eastAsia="zh-CN"/>
        </w:rPr>
        <w:t>送同级</w:t>
      </w:r>
      <w:r>
        <w:rPr>
          <w:rStyle w:val="14"/>
          <w:rFonts w:hint="eastAsia" w:ascii="仿宋" w:hAnsi="仿宋" w:eastAsia="仿宋" w:cs="仿宋"/>
          <w:b w:val="0"/>
          <w:bCs/>
          <w:color w:val="auto"/>
          <w:sz w:val="32"/>
          <w:szCs w:val="32"/>
          <w:highlight w:val="none"/>
        </w:rPr>
        <w:t>财政部门和其他主要出资人审核。</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rPr>
      </w:pPr>
      <w:r>
        <w:rPr>
          <w:rStyle w:val="14"/>
          <w:rFonts w:hint="eastAsia" w:ascii="黑体" w:hAnsi="黑体" w:eastAsia="黑体" w:cs="黑体"/>
          <w:b w:val="0"/>
          <w:bCs/>
          <w:color w:val="auto"/>
          <w:sz w:val="32"/>
          <w:szCs w:val="32"/>
          <w:lang w:eastAsia="zh-CN"/>
        </w:rPr>
        <w:t>第二章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rPr>
        <w:t>政府投资基金的前期准备</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Style w:val="14"/>
          <w:rFonts w:hint="eastAsia" w:ascii="仿宋" w:hAnsi="仿宋" w:eastAsia="仿宋" w:cs="仿宋"/>
          <w:b w:val="0"/>
          <w:bCs/>
          <w:color w:val="auto"/>
          <w:sz w:val="32"/>
          <w:szCs w:val="32"/>
          <w:highlight w:val="none"/>
        </w:rPr>
      </w:pPr>
      <w:r>
        <w:rPr>
          <w:rStyle w:val="14"/>
          <w:rFonts w:hint="eastAsia" w:ascii="黑体" w:hAnsi="黑体" w:eastAsia="黑体" w:cs="黑体"/>
          <w:b w:val="0"/>
          <w:bCs/>
          <w:color w:val="auto"/>
          <w:sz w:val="32"/>
          <w:szCs w:val="32"/>
          <w:highlight w:val="none"/>
          <w:lang w:eastAsia="zh-CN"/>
        </w:rPr>
        <w:t>第九条</w:t>
      </w:r>
      <w:r>
        <w:rPr>
          <w:rStyle w:val="14"/>
          <w:rFonts w:hint="eastAsia" w:ascii="仿宋" w:hAnsi="仿宋" w:eastAsia="仿宋" w:cs="仿宋"/>
          <w:b w:val="0"/>
          <w:bCs/>
          <w:color w:val="auto"/>
          <w:sz w:val="32"/>
          <w:szCs w:val="32"/>
          <w:lang w:val="en-US" w:eastAsia="zh-CN"/>
        </w:rPr>
        <w:t xml:space="preserve">  </w:t>
      </w:r>
      <w:r>
        <w:rPr>
          <w:rStyle w:val="14"/>
          <w:rFonts w:hint="eastAsia" w:ascii="仿宋" w:hAnsi="仿宋" w:eastAsia="仿宋" w:cs="仿宋"/>
          <w:b w:val="0"/>
          <w:bCs/>
          <w:color w:val="auto"/>
          <w:sz w:val="32"/>
          <w:szCs w:val="32"/>
          <w:highlight w:val="none"/>
        </w:rPr>
        <w:t>设立政府投资基金，首先应当由发起设立的行业主管部门组织开展设立政府投资基金的可行性研究论证工作，形成可行性方案。基金</w:t>
      </w:r>
      <w:r>
        <w:rPr>
          <w:rStyle w:val="14"/>
          <w:rFonts w:hint="eastAsia" w:ascii="仿宋" w:hAnsi="仿宋" w:eastAsia="仿宋" w:cs="仿宋"/>
          <w:b w:val="0"/>
          <w:bCs/>
          <w:color w:val="auto"/>
          <w:sz w:val="32"/>
          <w:szCs w:val="32"/>
          <w:highlight w:val="none"/>
          <w:lang w:val="en-US" w:eastAsia="zh-CN"/>
        </w:rPr>
        <w:t>设立</w:t>
      </w:r>
      <w:r>
        <w:rPr>
          <w:rStyle w:val="14"/>
          <w:rFonts w:hint="eastAsia" w:ascii="仿宋" w:hAnsi="仿宋" w:eastAsia="仿宋" w:cs="仿宋"/>
          <w:b w:val="0"/>
          <w:bCs/>
          <w:color w:val="auto"/>
          <w:sz w:val="32"/>
          <w:szCs w:val="32"/>
          <w:highlight w:val="none"/>
        </w:rPr>
        <w:t>部门不是行业主管部门的，应当会同行业主管部门形成可行性方案。</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left="0" w:leftChars="0" w:firstLine="0" w:firstLineChars="0"/>
        <w:jc w:val="both"/>
        <w:textAlignment w:val="auto"/>
        <w:rPr>
          <w:rStyle w:val="14"/>
          <w:rFonts w:hint="eastAsia" w:ascii="仿宋" w:hAnsi="仿宋" w:eastAsia="仿宋" w:cs="仿宋"/>
          <w:b w:val="0"/>
          <w:bCs/>
          <w:color w:val="auto"/>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 xml:space="preserve">    </w:t>
      </w:r>
      <w:r>
        <w:rPr>
          <w:rFonts w:hint="eastAsia" w:ascii="仿宋" w:hAnsi="仿宋" w:eastAsia="仿宋" w:cs="仿宋"/>
          <w:bCs/>
          <w:color w:val="auto"/>
          <w:sz w:val="32"/>
          <w:szCs w:val="32"/>
          <w:highlight w:val="none"/>
          <w:lang w:val="en-US" w:eastAsia="zh-CN"/>
        </w:rPr>
        <w:t>行业项目库是申请设立政府投资基金的必要条件，原则上未建立行业项目库的不得提出设立申请。</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Style w:val="14"/>
          <w:rFonts w:hint="eastAsia" w:ascii="仿宋" w:hAnsi="仿宋" w:eastAsia="仿宋" w:cs="仿宋"/>
          <w:b w:val="0"/>
          <w:bCs/>
          <w:color w:val="auto"/>
          <w:sz w:val="32"/>
          <w:szCs w:val="32"/>
          <w:highlight w:val="none"/>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十</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Style w:val="14"/>
          <w:rFonts w:hint="eastAsia" w:ascii="仿宋" w:hAnsi="仿宋" w:eastAsia="仿宋" w:cs="仿宋"/>
          <w:b w:val="0"/>
          <w:bCs/>
          <w:color w:val="auto"/>
          <w:sz w:val="32"/>
          <w:szCs w:val="32"/>
          <w:highlight w:val="none"/>
        </w:rPr>
        <w:t>政府投资基金可行性方案应</w:t>
      </w:r>
      <w:r>
        <w:rPr>
          <w:rStyle w:val="14"/>
          <w:rFonts w:hint="eastAsia" w:ascii="仿宋" w:hAnsi="仿宋" w:eastAsia="仿宋" w:cs="仿宋"/>
          <w:b w:val="0"/>
          <w:bCs/>
          <w:color w:val="auto"/>
          <w:sz w:val="32"/>
          <w:szCs w:val="32"/>
          <w:highlight w:val="none"/>
          <w:lang w:eastAsia="zh-CN"/>
        </w:rPr>
        <w:t>当</w:t>
      </w:r>
      <w:r>
        <w:rPr>
          <w:rStyle w:val="14"/>
          <w:rFonts w:hint="eastAsia" w:ascii="仿宋" w:hAnsi="仿宋" w:eastAsia="仿宋" w:cs="仿宋"/>
          <w:b w:val="0"/>
          <w:bCs/>
          <w:color w:val="auto"/>
          <w:sz w:val="32"/>
          <w:szCs w:val="32"/>
          <w:highlight w:val="none"/>
        </w:rPr>
        <w:t>包括</w:t>
      </w:r>
      <w:r>
        <w:rPr>
          <w:rStyle w:val="14"/>
          <w:rFonts w:hint="eastAsia" w:ascii="仿宋" w:hAnsi="仿宋" w:eastAsia="仿宋" w:cs="仿宋"/>
          <w:b w:val="0"/>
          <w:bCs/>
          <w:color w:val="auto"/>
          <w:sz w:val="32"/>
          <w:szCs w:val="32"/>
          <w:highlight w:val="none"/>
          <w:lang w:eastAsia="zh-CN"/>
        </w:rPr>
        <w:t>以下内容</w:t>
      </w:r>
      <w:r>
        <w:rPr>
          <w:rStyle w:val="14"/>
          <w:rFonts w:hint="eastAsia" w:ascii="仿宋" w:hAnsi="仿宋" w:eastAsia="仿宋" w:cs="仿宋"/>
          <w:b w:val="0"/>
          <w:bCs/>
          <w:color w:val="auto"/>
          <w:sz w:val="32"/>
          <w:szCs w:val="32"/>
          <w:highlight w:val="none"/>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（一）基金组建可行性分析报告；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（二）政府出资受托管理机构竞选方案；</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（三）基金管理人竞选方案；</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（四）基金托管人竞选方案；</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（五）基金章程、合伙协议或基金协议、合同等；</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行业项目库备选项目清单；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rPr>
        <w:t>）其他资料。</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FF0000"/>
          <w:sz w:val="32"/>
          <w:szCs w:val="32"/>
          <w:highlight w:val="none"/>
          <w:lang w:val="en-US" w:eastAsia="zh-CN"/>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十一</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基金组建可行性分析报告</w:t>
      </w:r>
      <w:r>
        <w:rPr>
          <w:rFonts w:hint="eastAsia" w:ascii="仿宋" w:hAnsi="仿宋" w:eastAsia="仿宋" w:cs="仿宋"/>
          <w:bCs/>
          <w:color w:val="auto"/>
          <w:sz w:val="32"/>
          <w:szCs w:val="32"/>
          <w:lang w:eastAsia="zh-CN"/>
        </w:rPr>
        <w:t>内容</w:t>
      </w:r>
      <w:r>
        <w:rPr>
          <w:rFonts w:hint="eastAsia" w:ascii="仿宋" w:hAnsi="仿宋" w:eastAsia="仿宋" w:cs="仿宋"/>
          <w:bCs/>
          <w:color w:val="auto"/>
          <w:sz w:val="32"/>
          <w:szCs w:val="32"/>
        </w:rPr>
        <w:t>应</w:t>
      </w:r>
      <w:r>
        <w:rPr>
          <w:rFonts w:hint="eastAsia" w:ascii="仿宋" w:hAnsi="仿宋" w:eastAsia="仿宋" w:cs="仿宋"/>
          <w:bCs/>
          <w:color w:val="auto"/>
          <w:sz w:val="32"/>
          <w:szCs w:val="32"/>
          <w:lang w:eastAsia="zh-CN"/>
        </w:rPr>
        <w:t>当</w:t>
      </w:r>
      <w:r>
        <w:rPr>
          <w:rFonts w:hint="eastAsia" w:ascii="仿宋" w:hAnsi="仿宋" w:eastAsia="仿宋" w:cs="仿宋"/>
          <w:bCs/>
          <w:color w:val="auto"/>
          <w:sz w:val="32"/>
          <w:szCs w:val="32"/>
        </w:rPr>
        <w:t>包括：基金名</w:t>
      </w:r>
      <w:r>
        <w:rPr>
          <w:rFonts w:hint="eastAsia" w:ascii="仿宋" w:hAnsi="仿宋" w:eastAsia="仿宋" w:cs="仿宋"/>
          <w:bCs/>
          <w:color w:val="auto"/>
          <w:spacing w:val="6"/>
          <w:sz w:val="32"/>
          <w:szCs w:val="32"/>
        </w:rPr>
        <w:t>称、设立背景、设立的必要性和依据、</w:t>
      </w:r>
      <w:r>
        <w:rPr>
          <w:rFonts w:hint="eastAsia" w:ascii="仿宋" w:hAnsi="仿宋" w:eastAsia="仿宋" w:cs="仿宋"/>
          <w:bCs/>
          <w:color w:val="auto"/>
          <w:spacing w:val="6"/>
          <w:sz w:val="32"/>
          <w:szCs w:val="32"/>
          <w:highlight w:val="none"/>
        </w:rPr>
        <w:t>基金各参与方基本情况</w:t>
      </w:r>
      <w:r>
        <w:rPr>
          <w:rFonts w:hint="eastAsia" w:ascii="仿宋" w:hAnsi="仿宋" w:eastAsia="仿宋" w:cs="仿宋"/>
          <w:bCs/>
          <w:color w:val="auto"/>
          <w:spacing w:val="6"/>
          <w:sz w:val="32"/>
          <w:szCs w:val="32"/>
        </w:rPr>
        <w:t>、</w:t>
      </w:r>
      <w:r>
        <w:rPr>
          <w:rFonts w:hint="eastAsia" w:ascii="仿宋" w:hAnsi="仿宋" w:eastAsia="仿宋" w:cs="仿宋"/>
          <w:bCs/>
          <w:color w:val="auto"/>
          <w:sz w:val="32"/>
          <w:szCs w:val="32"/>
          <w:highlight w:val="none"/>
        </w:rPr>
        <w:t>治理结构和组织架构</w:t>
      </w:r>
      <w:r>
        <w:rPr>
          <w:rFonts w:hint="eastAsia" w:ascii="仿宋" w:hAnsi="仿宋" w:eastAsia="仿宋" w:cs="仿宋"/>
          <w:bCs/>
          <w:color w:val="auto"/>
          <w:sz w:val="32"/>
          <w:szCs w:val="32"/>
        </w:rPr>
        <w:t>、政策目标、绩效目标、</w:t>
      </w:r>
      <w:r>
        <w:rPr>
          <w:rFonts w:hint="eastAsia" w:ascii="仿宋" w:hAnsi="仿宋" w:eastAsia="仿宋" w:cs="仿宋"/>
          <w:bCs/>
          <w:color w:val="auto"/>
          <w:sz w:val="32"/>
          <w:szCs w:val="32"/>
          <w:highlight w:val="none"/>
        </w:rPr>
        <w:t>投资产业领域</w:t>
      </w:r>
      <w:r>
        <w:rPr>
          <w:rFonts w:hint="eastAsia" w:ascii="仿宋" w:hAnsi="仿宋" w:eastAsia="仿宋" w:cs="仿宋"/>
          <w:bCs/>
          <w:color w:val="auto"/>
          <w:sz w:val="32"/>
          <w:szCs w:val="32"/>
        </w:rPr>
        <w:t>、目标规模、筹资计划、出资方案、</w:t>
      </w:r>
      <w:r>
        <w:rPr>
          <w:rFonts w:hint="eastAsia" w:ascii="仿宋" w:hAnsi="仿宋" w:eastAsia="仿宋" w:cs="仿宋"/>
          <w:bCs/>
          <w:color w:val="auto"/>
          <w:sz w:val="32"/>
          <w:szCs w:val="32"/>
          <w:highlight w:val="none"/>
        </w:rPr>
        <w:t>出资承诺</w:t>
      </w:r>
      <w:r>
        <w:rPr>
          <w:rFonts w:hint="eastAsia" w:ascii="仿宋" w:hAnsi="仿宋" w:eastAsia="仿宋" w:cs="仿宋"/>
          <w:bCs/>
          <w:color w:val="auto"/>
          <w:sz w:val="32"/>
          <w:szCs w:val="32"/>
        </w:rPr>
        <w:t>、</w:t>
      </w:r>
      <w:r>
        <w:rPr>
          <w:rFonts w:hint="eastAsia" w:ascii="仿宋" w:hAnsi="仿宋" w:eastAsia="仿宋" w:cs="仿宋"/>
          <w:bCs/>
          <w:color w:val="auto"/>
          <w:sz w:val="32"/>
          <w:szCs w:val="32"/>
          <w:highlight w:val="none"/>
        </w:rPr>
        <w:t>投资方式、存续期限、决策机制、激励机制、风险防范、容错免责制度、退出机制、管理费用和收益分配，对社会资本和竞争态</w:t>
      </w:r>
      <w:r>
        <w:rPr>
          <w:rFonts w:hint="eastAsia" w:ascii="仿宋" w:hAnsi="仿宋" w:eastAsia="仿宋" w:cs="仿宋"/>
          <w:bCs/>
          <w:color w:val="auto"/>
          <w:sz w:val="32"/>
          <w:szCs w:val="32"/>
        </w:rPr>
        <w:t>势的影响分析、预期效果等。</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Style w:val="14"/>
          <w:rFonts w:hint="eastAsia" w:ascii="仿宋" w:hAnsi="仿宋" w:eastAsia="仿宋" w:cs="仿宋"/>
          <w:b w:val="0"/>
          <w:bCs/>
          <w:color w:val="auto"/>
          <w:kern w:val="0"/>
          <w:sz w:val="32"/>
          <w:szCs w:val="32"/>
          <w:highlight w:val="none"/>
          <w:lang w:val="en-US" w:eastAsia="zh-CN"/>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十二</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政府出资受托管理机构、基金管理人、基金托管人竞选方案</w:t>
      </w:r>
      <w:r>
        <w:rPr>
          <w:rFonts w:hint="eastAsia" w:ascii="仿宋" w:hAnsi="仿宋" w:eastAsia="仿宋" w:cs="仿宋"/>
          <w:bCs/>
          <w:color w:val="auto"/>
          <w:sz w:val="32"/>
          <w:szCs w:val="32"/>
          <w:lang w:eastAsia="zh-CN"/>
        </w:rPr>
        <w:t>内容</w:t>
      </w:r>
      <w:r>
        <w:rPr>
          <w:rFonts w:hint="eastAsia" w:ascii="仿宋" w:hAnsi="仿宋" w:eastAsia="仿宋" w:cs="仿宋"/>
          <w:bCs/>
          <w:color w:val="auto"/>
          <w:sz w:val="32"/>
          <w:szCs w:val="32"/>
        </w:rPr>
        <w:t>应</w:t>
      </w:r>
      <w:r>
        <w:rPr>
          <w:rFonts w:hint="eastAsia" w:ascii="仿宋" w:hAnsi="仿宋" w:eastAsia="仿宋" w:cs="仿宋"/>
          <w:bCs/>
          <w:color w:val="auto"/>
          <w:sz w:val="32"/>
          <w:szCs w:val="32"/>
          <w:lang w:eastAsia="zh-CN"/>
        </w:rPr>
        <w:t>当</w:t>
      </w:r>
      <w:r>
        <w:rPr>
          <w:rFonts w:hint="eastAsia" w:ascii="仿宋" w:hAnsi="仿宋" w:eastAsia="仿宋" w:cs="仿宋"/>
          <w:bCs/>
          <w:color w:val="auto"/>
          <w:sz w:val="32"/>
          <w:szCs w:val="32"/>
        </w:rPr>
        <w:t>包括：竞选形式方式、竞选人资格条件、竞选评价办法等。</w:t>
      </w:r>
      <w:r>
        <w:rPr>
          <w:rFonts w:hint="eastAsia" w:ascii="仿宋" w:hAnsi="仿宋" w:eastAsia="仿宋" w:cs="仿宋"/>
          <w:bCs/>
          <w:color w:val="auto"/>
          <w:sz w:val="32"/>
          <w:szCs w:val="32"/>
          <w:lang w:eastAsia="zh-CN"/>
        </w:rPr>
        <w:t>竞选</w:t>
      </w:r>
      <w:r>
        <w:rPr>
          <w:rFonts w:hint="eastAsia" w:ascii="仿宋" w:hAnsi="仿宋" w:eastAsia="仿宋" w:cs="仿宋"/>
          <w:bCs/>
          <w:color w:val="auto"/>
          <w:sz w:val="32"/>
          <w:szCs w:val="32"/>
          <w:highlight w:val="none"/>
          <w:lang w:val="en-US" w:eastAsia="zh-CN"/>
        </w:rPr>
        <w:t>评价办法内容应当包含管理费率、跟投比例、业绩等要素。</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第三章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政府投资基金的设立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Style w:val="14"/>
          <w:rFonts w:hint="eastAsia" w:ascii="仿宋" w:hAnsi="仿宋" w:eastAsia="仿宋" w:cs="仿宋"/>
          <w:b w:val="0"/>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仿宋" w:hAnsi="仿宋" w:eastAsia="仿宋" w:cs="仿宋"/>
          <w:b w:val="0"/>
          <w:bCs/>
          <w:color w:val="auto"/>
          <w:sz w:val="32"/>
          <w:szCs w:val="32"/>
          <w:highlight w:val="none"/>
        </w:rPr>
        <w:t xml:space="preserve"> </w:t>
      </w:r>
      <w:r>
        <w:rPr>
          <w:rStyle w:val="14"/>
          <w:rFonts w:hint="eastAsia" w:ascii="黑体" w:hAnsi="黑体" w:eastAsia="黑体" w:cs="黑体"/>
          <w:b w:val="0"/>
          <w:bCs/>
          <w:color w:val="auto"/>
          <w:sz w:val="32"/>
          <w:szCs w:val="32"/>
          <w:highlight w:val="none"/>
        </w:rPr>
        <w:t>第十</w:t>
      </w:r>
      <w:r>
        <w:rPr>
          <w:rStyle w:val="14"/>
          <w:rFonts w:hint="eastAsia" w:ascii="黑体" w:hAnsi="黑体" w:eastAsia="黑体" w:cs="黑体"/>
          <w:b w:val="0"/>
          <w:bCs/>
          <w:color w:val="auto"/>
          <w:sz w:val="32"/>
          <w:szCs w:val="32"/>
          <w:highlight w:val="none"/>
          <w:lang w:eastAsia="zh-CN"/>
        </w:rPr>
        <w:t>三</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highlight w:val="none"/>
        </w:rPr>
        <w:t xml:space="preserve">  自治区本级政府投资基金，</w:t>
      </w:r>
      <w:r>
        <w:rPr>
          <w:rStyle w:val="14"/>
          <w:rFonts w:hint="eastAsia" w:ascii="仿宋" w:hAnsi="仿宋" w:eastAsia="仿宋" w:cs="仿宋"/>
          <w:b w:val="0"/>
          <w:bCs/>
          <w:color w:val="auto"/>
          <w:sz w:val="32"/>
          <w:szCs w:val="32"/>
          <w:highlight w:val="none"/>
          <w:lang w:eastAsia="zh-CN"/>
        </w:rPr>
        <w:t>不得</w:t>
      </w:r>
      <w:r>
        <w:rPr>
          <w:rStyle w:val="14"/>
          <w:rFonts w:hint="eastAsia" w:ascii="仿宋" w:hAnsi="仿宋" w:eastAsia="仿宋" w:cs="仿宋"/>
          <w:b w:val="0"/>
          <w:bCs/>
          <w:color w:val="auto"/>
          <w:sz w:val="32"/>
          <w:szCs w:val="32"/>
          <w:highlight w:val="none"/>
        </w:rPr>
        <w:t>在同一领域或行业重复设立母基金。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16" w:firstLineChars="200"/>
        <w:jc w:val="both"/>
        <w:textAlignment w:val="auto"/>
        <w:rPr>
          <w:rStyle w:val="14"/>
          <w:rFonts w:hint="eastAsia" w:ascii="仿宋" w:hAnsi="仿宋" w:eastAsia="仿宋" w:cs="仿宋"/>
          <w:b w:val="0"/>
          <w:bCs/>
          <w:color w:val="auto"/>
          <w:sz w:val="32"/>
          <w:szCs w:val="32"/>
          <w:highlight w:val="none"/>
        </w:rPr>
      </w:pPr>
      <w:r>
        <w:rPr>
          <w:rStyle w:val="14"/>
          <w:rFonts w:hint="eastAsia" w:ascii="仿宋" w:hAnsi="仿宋" w:eastAsia="仿宋" w:cs="仿宋"/>
          <w:b w:val="0"/>
          <w:bCs/>
          <w:color w:val="auto"/>
          <w:spacing w:val="-6"/>
          <w:sz w:val="32"/>
          <w:szCs w:val="32"/>
        </w:rPr>
        <w:t>财政出资设立基金或注资须严格审核，纳入年度预算管理，</w:t>
      </w:r>
      <w:r>
        <w:rPr>
          <w:rStyle w:val="14"/>
          <w:rFonts w:hint="eastAsia" w:ascii="仿宋" w:hAnsi="仿宋" w:eastAsia="仿宋" w:cs="仿宋"/>
          <w:b w:val="0"/>
          <w:bCs/>
          <w:color w:val="auto"/>
          <w:sz w:val="32"/>
          <w:szCs w:val="32"/>
        </w:rPr>
        <w:t>报</w:t>
      </w:r>
      <w:r>
        <w:rPr>
          <w:rStyle w:val="14"/>
          <w:rFonts w:hint="eastAsia" w:ascii="仿宋" w:hAnsi="仿宋" w:eastAsia="仿宋" w:cs="仿宋"/>
          <w:b w:val="0"/>
          <w:bCs/>
          <w:color w:val="auto"/>
          <w:sz w:val="32"/>
          <w:szCs w:val="32"/>
          <w:lang w:eastAsia="zh-CN"/>
        </w:rPr>
        <w:t>送</w:t>
      </w:r>
      <w:r>
        <w:rPr>
          <w:rStyle w:val="14"/>
          <w:rFonts w:hint="eastAsia" w:ascii="仿宋" w:hAnsi="仿宋" w:eastAsia="仿宋" w:cs="仿宋"/>
          <w:b w:val="0"/>
          <w:bCs/>
          <w:color w:val="auto"/>
          <w:sz w:val="32"/>
          <w:szCs w:val="32"/>
        </w:rPr>
        <w:t>本级人大或其常委会批准；数额较大的，应</w:t>
      </w:r>
      <w:r>
        <w:rPr>
          <w:rStyle w:val="14"/>
          <w:rFonts w:hint="eastAsia" w:ascii="仿宋" w:hAnsi="仿宋" w:eastAsia="仿宋" w:cs="仿宋"/>
          <w:b w:val="0"/>
          <w:bCs/>
          <w:color w:val="auto"/>
          <w:sz w:val="32"/>
          <w:szCs w:val="32"/>
          <w:lang w:eastAsia="zh-CN"/>
        </w:rPr>
        <w:t>当</w:t>
      </w:r>
      <w:r>
        <w:rPr>
          <w:rStyle w:val="14"/>
          <w:rFonts w:hint="eastAsia" w:ascii="仿宋" w:hAnsi="仿宋" w:eastAsia="仿宋" w:cs="仿宋"/>
          <w:b w:val="0"/>
          <w:bCs/>
          <w:color w:val="auto"/>
          <w:sz w:val="32"/>
          <w:szCs w:val="32"/>
        </w:rPr>
        <w:t>根据基金投资进度分年</w:t>
      </w:r>
      <w:r>
        <w:rPr>
          <w:rStyle w:val="14"/>
          <w:rFonts w:hint="eastAsia" w:ascii="仿宋" w:hAnsi="仿宋" w:eastAsia="仿宋" w:cs="仿宋"/>
          <w:b w:val="0"/>
          <w:bCs/>
          <w:color w:val="auto"/>
          <w:sz w:val="32"/>
          <w:szCs w:val="32"/>
          <w:highlight w:val="none"/>
          <w:lang w:eastAsia="zh-CN"/>
        </w:rPr>
        <w:t>度</w:t>
      </w:r>
      <w:r>
        <w:rPr>
          <w:rStyle w:val="14"/>
          <w:rFonts w:hint="eastAsia" w:ascii="仿宋" w:hAnsi="仿宋" w:eastAsia="仿宋" w:cs="仿宋"/>
          <w:b w:val="0"/>
          <w:bCs/>
          <w:color w:val="auto"/>
          <w:sz w:val="32"/>
          <w:szCs w:val="32"/>
        </w:rPr>
        <w:t>安排。设立基金要充分考虑财政承受能力，合理确定基金规模和投资范围。年度预算中，未足额保障</w:t>
      </w:r>
      <w:r>
        <w:rPr>
          <w:rStyle w:val="14"/>
          <w:rFonts w:hint="eastAsia" w:ascii="仿宋" w:hAnsi="仿宋" w:eastAsia="仿宋" w:cs="仿宋"/>
          <w:b w:val="0"/>
          <w:bCs/>
          <w:color w:val="auto"/>
          <w:sz w:val="32"/>
          <w:szCs w:val="32"/>
          <w:lang w:eastAsia="zh-CN"/>
        </w:rPr>
        <w:t>“</w:t>
      </w:r>
      <w:r>
        <w:rPr>
          <w:rStyle w:val="14"/>
          <w:rFonts w:hint="eastAsia" w:ascii="仿宋" w:hAnsi="仿宋" w:eastAsia="仿宋" w:cs="仿宋"/>
          <w:b w:val="0"/>
          <w:bCs/>
          <w:color w:val="auto"/>
          <w:sz w:val="32"/>
          <w:szCs w:val="32"/>
        </w:rPr>
        <w:t>三保</w:t>
      </w:r>
      <w:r>
        <w:rPr>
          <w:rStyle w:val="14"/>
          <w:rFonts w:hint="eastAsia" w:ascii="仿宋" w:hAnsi="仿宋" w:eastAsia="仿宋" w:cs="仿宋"/>
          <w:b w:val="0"/>
          <w:bCs/>
          <w:color w:val="auto"/>
          <w:sz w:val="32"/>
          <w:szCs w:val="32"/>
          <w:lang w:eastAsia="zh-CN"/>
        </w:rPr>
        <w:t>”</w:t>
      </w:r>
      <w:r>
        <w:rPr>
          <w:rStyle w:val="14"/>
          <w:rFonts w:hint="eastAsia" w:ascii="仿宋" w:hAnsi="仿宋" w:eastAsia="仿宋" w:cs="仿宋"/>
          <w:b w:val="0"/>
          <w:bCs/>
          <w:color w:val="auto"/>
          <w:sz w:val="32"/>
          <w:szCs w:val="32"/>
        </w:rPr>
        <w:t>、债务付息等必保支出的地区，不得安排资金新设基金。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地方各级人民政府或所属部门、直属机构出资设立的政府投资基金，可以按</w:t>
      </w:r>
      <w:r>
        <w:rPr>
          <w:rStyle w:val="14"/>
          <w:rFonts w:hint="eastAsia" w:ascii="仿宋" w:hAnsi="仿宋" w:eastAsia="仿宋" w:cs="仿宋"/>
          <w:b w:val="0"/>
          <w:bCs/>
          <w:color w:val="auto"/>
          <w:sz w:val="32"/>
          <w:szCs w:val="32"/>
          <w:lang w:eastAsia="zh-CN"/>
        </w:rPr>
        <w:t>照</w:t>
      </w:r>
      <w:r>
        <w:rPr>
          <w:rStyle w:val="14"/>
          <w:rFonts w:hint="eastAsia" w:ascii="仿宋" w:hAnsi="仿宋" w:eastAsia="仿宋" w:cs="仿宋"/>
          <w:b w:val="0"/>
          <w:bCs/>
          <w:color w:val="auto"/>
          <w:sz w:val="32"/>
          <w:szCs w:val="32"/>
        </w:rPr>
        <w:t>规定争取</w:t>
      </w:r>
      <w:r>
        <w:rPr>
          <w:rStyle w:val="14"/>
          <w:rFonts w:hint="eastAsia" w:ascii="仿宋" w:hAnsi="仿宋" w:eastAsia="仿宋" w:cs="仿宋"/>
          <w:b w:val="0"/>
          <w:bCs/>
          <w:color w:val="auto"/>
          <w:sz w:val="32"/>
          <w:szCs w:val="32"/>
          <w:lang w:eastAsia="zh-CN"/>
        </w:rPr>
        <w:t>国家</w:t>
      </w:r>
      <w:r>
        <w:rPr>
          <w:rStyle w:val="14"/>
          <w:rFonts w:hint="eastAsia" w:ascii="仿宋" w:hAnsi="仿宋" w:eastAsia="仿宋" w:cs="仿宋"/>
          <w:b w:val="0"/>
          <w:bCs/>
          <w:color w:val="auto"/>
          <w:sz w:val="32"/>
          <w:szCs w:val="32"/>
        </w:rPr>
        <w:t>各部</w:t>
      </w:r>
      <w:r>
        <w:rPr>
          <w:rStyle w:val="14"/>
          <w:rFonts w:hint="eastAsia" w:ascii="仿宋" w:hAnsi="仿宋" w:eastAsia="仿宋" w:cs="仿宋"/>
          <w:b w:val="0"/>
          <w:bCs/>
          <w:color w:val="auto"/>
          <w:sz w:val="32"/>
          <w:szCs w:val="32"/>
          <w:lang w:eastAsia="zh-CN"/>
        </w:rPr>
        <w:t>委</w:t>
      </w:r>
      <w:r>
        <w:rPr>
          <w:rStyle w:val="14"/>
          <w:rFonts w:hint="eastAsia" w:ascii="仿宋" w:hAnsi="仿宋" w:eastAsia="仿宋" w:cs="仿宋"/>
          <w:b w:val="0"/>
          <w:bCs/>
          <w:color w:val="auto"/>
          <w:sz w:val="32"/>
          <w:szCs w:val="32"/>
        </w:rPr>
        <w:t>或直属机构设立的政府投</w:t>
      </w:r>
      <w:r>
        <w:rPr>
          <w:rStyle w:val="14"/>
          <w:rFonts w:hint="eastAsia" w:ascii="仿宋" w:hAnsi="仿宋" w:eastAsia="仿宋" w:cs="仿宋"/>
          <w:b w:val="0"/>
          <w:bCs/>
          <w:color w:val="auto"/>
          <w:spacing w:val="6"/>
          <w:sz w:val="32"/>
          <w:szCs w:val="32"/>
        </w:rPr>
        <w:t>资基金母基金通过投资、参股等多种方式设立。各盟行政公署、</w:t>
      </w:r>
      <w:r>
        <w:rPr>
          <w:rStyle w:val="14"/>
          <w:rFonts w:hint="eastAsia" w:ascii="仿宋" w:hAnsi="仿宋" w:eastAsia="仿宋" w:cs="仿宋"/>
          <w:b w:val="0"/>
          <w:bCs/>
          <w:color w:val="auto"/>
          <w:sz w:val="32"/>
          <w:szCs w:val="32"/>
        </w:rPr>
        <w:t>市人民政府</w:t>
      </w:r>
      <w:r>
        <w:rPr>
          <w:rStyle w:val="14"/>
          <w:rFonts w:hint="eastAsia" w:ascii="仿宋" w:hAnsi="仿宋" w:eastAsia="仿宋" w:cs="仿宋"/>
          <w:b w:val="0"/>
          <w:bCs/>
          <w:color w:val="auto"/>
          <w:sz w:val="32"/>
          <w:szCs w:val="32"/>
          <w:lang w:eastAsia="zh-CN"/>
        </w:rPr>
        <w:t>，</w:t>
      </w:r>
      <w:r>
        <w:rPr>
          <w:rStyle w:val="14"/>
          <w:rFonts w:hint="eastAsia" w:ascii="仿宋" w:hAnsi="仿宋" w:eastAsia="仿宋" w:cs="仿宋"/>
          <w:b w:val="0"/>
          <w:bCs/>
          <w:color w:val="auto"/>
          <w:sz w:val="32"/>
          <w:szCs w:val="32"/>
        </w:rPr>
        <w:t>各旗县（市、区）</w:t>
      </w:r>
      <w:r>
        <w:rPr>
          <w:rStyle w:val="14"/>
          <w:rFonts w:hint="eastAsia" w:ascii="仿宋" w:hAnsi="仿宋" w:eastAsia="仿宋" w:cs="仿宋"/>
          <w:b w:val="0"/>
          <w:bCs/>
          <w:color w:val="auto"/>
          <w:sz w:val="32"/>
          <w:szCs w:val="32"/>
          <w:lang w:eastAsia="zh-CN"/>
        </w:rPr>
        <w:t>人民</w:t>
      </w:r>
      <w:r>
        <w:rPr>
          <w:rStyle w:val="14"/>
          <w:rFonts w:hint="eastAsia" w:ascii="仿宋" w:hAnsi="仿宋" w:eastAsia="仿宋" w:cs="仿宋"/>
          <w:b w:val="0"/>
          <w:bCs/>
          <w:color w:val="auto"/>
          <w:sz w:val="32"/>
          <w:szCs w:val="32"/>
        </w:rPr>
        <w:t>政府可</w:t>
      </w:r>
      <w:r>
        <w:rPr>
          <w:rStyle w:val="14"/>
          <w:rFonts w:hint="eastAsia" w:ascii="仿宋" w:hAnsi="仿宋" w:eastAsia="仿宋" w:cs="仿宋"/>
          <w:b w:val="0"/>
          <w:bCs/>
          <w:color w:val="auto"/>
          <w:sz w:val="32"/>
          <w:szCs w:val="32"/>
          <w:lang w:eastAsia="zh-CN"/>
        </w:rPr>
        <w:t>以</w:t>
      </w:r>
      <w:r>
        <w:rPr>
          <w:rStyle w:val="14"/>
          <w:rFonts w:hint="eastAsia" w:ascii="仿宋" w:hAnsi="仿宋" w:eastAsia="仿宋" w:cs="仿宋"/>
          <w:b w:val="0"/>
          <w:bCs/>
          <w:color w:val="auto"/>
          <w:sz w:val="32"/>
          <w:szCs w:val="32"/>
        </w:rPr>
        <w:t>参照上述要求控制本地区政府投资基金的数量。</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left="0" w:firstLine="640" w:firstLineChars="200"/>
        <w:jc w:val="both"/>
        <w:textAlignment w:val="auto"/>
        <w:rPr>
          <w:rStyle w:val="14"/>
          <w:rFonts w:hint="eastAsia" w:ascii="仿宋" w:hAnsi="仿宋" w:eastAsia="仿宋" w:cs="仿宋"/>
          <w:b w:val="0"/>
          <w:bCs/>
          <w:strike w:val="0"/>
          <w:dstrike w:val="0"/>
          <w:color w:val="auto"/>
          <w:sz w:val="32"/>
          <w:szCs w:val="32"/>
          <w:highlight w:val="none"/>
          <w:lang w:val="en-US" w:eastAsia="zh-CN"/>
        </w:rPr>
      </w:pPr>
      <w:r>
        <w:rPr>
          <w:rStyle w:val="14"/>
          <w:rFonts w:hint="eastAsia" w:ascii="黑体" w:hAnsi="黑体" w:eastAsia="黑体" w:cs="黑体"/>
          <w:b w:val="0"/>
          <w:bCs/>
          <w:color w:val="auto"/>
          <w:sz w:val="32"/>
          <w:szCs w:val="32"/>
          <w:highlight w:val="none"/>
          <w:lang w:eastAsia="zh-CN"/>
        </w:rPr>
        <w:t>第十四条</w:t>
      </w:r>
      <w:r>
        <w:rPr>
          <w:rStyle w:val="14"/>
          <w:rFonts w:hint="eastAsia" w:ascii="仿宋" w:hAnsi="仿宋" w:eastAsia="仿宋" w:cs="仿宋"/>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highlight w:val="none"/>
        </w:rPr>
        <w:t>政府投资基金</w:t>
      </w:r>
      <w:r>
        <w:rPr>
          <w:rStyle w:val="14"/>
          <w:rFonts w:hint="eastAsia" w:ascii="仿宋" w:hAnsi="仿宋" w:eastAsia="仿宋" w:cs="仿宋"/>
          <w:b w:val="0"/>
          <w:bCs/>
          <w:strike w:val="0"/>
          <w:dstrike w:val="0"/>
          <w:color w:val="auto"/>
          <w:sz w:val="32"/>
          <w:szCs w:val="32"/>
          <w:highlight w:val="none"/>
          <w:lang w:val="en-US" w:eastAsia="zh-CN"/>
        </w:rPr>
        <w:t>按照出资确认、部门初审、政府决策的程序设立。</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Style w:val="14"/>
          <w:rFonts w:hint="eastAsia" w:ascii="仿宋" w:hAnsi="仿宋" w:eastAsia="仿宋" w:cs="仿宋"/>
          <w:b w:val="0"/>
          <w:bCs/>
          <w:color w:val="auto"/>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（一）出资确认。基金设立部门向</w:t>
      </w:r>
      <w:r>
        <w:rPr>
          <w:rStyle w:val="14"/>
          <w:rFonts w:hint="eastAsia" w:ascii="仿宋" w:hAnsi="仿宋" w:eastAsia="仿宋" w:cs="仿宋"/>
          <w:b w:val="0"/>
          <w:bCs/>
          <w:color w:val="auto"/>
          <w:sz w:val="32"/>
          <w:szCs w:val="32"/>
          <w:highlight w:val="none"/>
        </w:rPr>
        <w:t>本级财政部门</w:t>
      </w:r>
      <w:r>
        <w:rPr>
          <w:rStyle w:val="14"/>
          <w:rFonts w:hint="eastAsia" w:ascii="仿宋" w:hAnsi="仿宋" w:eastAsia="仿宋" w:cs="仿宋"/>
          <w:b w:val="0"/>
          <w:bCs/>
          <w:color w:val="auto"/>
          <w:sz w:val="32"/>
          <w:szCs w:val="32"/>
          <w:highlight w:val="none"/>
          <w:lang w:val="en-US" w:eastAsia="zh-CN"/>
        </w:rPr>
        <w:t>提出资金需求，由财政部门</w:t>
      </w:r>
      <w:r>
        <w:rPr>
          <w:rStyle w:val="14"/>
          <w:rFonts w:hint="eastAsia" w:ascii="仿宋" w:hAnsi="仿宋" w:eastAsia="仿宋" w:cs="仿宋"/>
          <w:b w:val="0"/>
          <w:bCs/>
          <w:color w:val="auto"/>
          <w:sz w:val="32"/>
          <w:szCs w:val="32"/>
          <w:highlight w:val="none"/>
        </w:rPr>
        <w:t>确认政府出资安排</w:t>
      </w:r>
      <w:r>
        <w:rPr>
          <w:rStyle w:val="14"/>
          <w:rFonts w:hint="eastAsia" w:ascii="仿宋" w:hAnsi="仿宋" w:eastAsia="仿宋" w:cs="仿宋"/>
          <w:b w:val="0"/>
          <w:bCs/>
          <w:color w:val="auto"/>
          <w:sz w:val="32"/>
          <w:szCs w:val="32"/>
          <w:highlight w:val="none"/>
          <w:lang w:val="en-US" w:eastAsia="zh-CN"/>
        </w:rPr>
        <w:t>。</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Style w:val="14"/>
          <w:rFonts w:hint="eastAsia" w:ascii="仿宋" w:hAnsi="仿宋" w:eastAsia="仿宋" w:cs="仿宋"/>
          <w:b w:val="0"/>
          <w:bCs/>
          <w:color w:val="auto"/>
          <w:sz w:val="32"/>
          <w:szCs w:val="32"/>
          <w:highlight w:val="none"/>
        </w:rPr>
      </w:pPr>
      <w:r>
        <w:rPr>
          <w:rStyle w:val="14"/>
          <w:rFonts w:hint="eastAsia" w:ascii="仿宋" w:hAnsi="仿宋" w:eastAsia="仿宋" w:cs="仿宋"/>
          <w:b w:val="0"/>
          <w:bCs/>
          <w:color w:val="auto"/>
          <w:sz w:val="32"/>
          <w:szCs w:val="32"/>
          <w:highlight w:val="none"/>
          <w:lang w:val="en-US" w:eastAsia="zh-CN"/>
        </w:rPr>
        <w:t>（二）部门初审。基金设立部门向</w:t>
      </w:r>
      <w:r>
        <w:rPr>
          <w:rStyle w:val="14"/>
          <w:rFonts w:hint="eastAsia" w:ascii="仿宋" w:hAnsi="仿宋" w:eastAsia="仿宋" w:cs="仿宋"/>
          <w:b w:val="0"/>
          <w:bCs/>
          <w:color w:val="auto"/>
          <w:sz w:val="32"/>
          <w:szCs w:val="32"/>
          <w:highlight w:val="none"/>
        </w:rPr>
        <w:t>本级发展改革部门</w:t>
      </w:r>
      <w:r>
        <w:rPr>
          <w:rStyle w:val="14"/>
          <w:rFonts w:hint="eastAsia" w:ascii="仿宋" w:hAnsi="仿宋" w:eastAsia="仿宋" w:cs="仿宋"/>
          <w:b w:val="0"/>
          <w:bCs/>
          <w:color w:val="auto"/>
          <w:sz w:val="32"/>
          <w:szCs w:val="32"/>
          <w:highlight w:val="none"/>
          <w:lang w:val="en-US" w:eastAsia="zh-CN"/>
        </w:rPr>
        <w:t>提交基金章程等</w:t>
      </w:r>
      <w:r>
        <w:rPr>
          <w:rStyle w:val="14"/>
          <w:rFonts w:hint="eastAsia" w:ascii="仿宋" w:hAnsi="仿宋" w:eastAsia="仿宋" w:cs="仿宋"/>
          <w:b w:val="0"/>
          <w:bCs/>
          <w:strike w:val="0"/>
          <w:dstrike w:val="0"/>
          <w:color w:val="auto"/>
          <w:sz w:val="32"/>
          <w:szCs w:val="32"/>
          <w:highlight w:val="none"/>
        </w:rPr>
        <w:t>报批材料</w:t>
      </w:r>
      <w:r>
        <w:rPr>
          <w:rStyle w:val="14"/>
          <w:rFonts w:hint="eastAsia" w:ascii="仿宋" w:hAnsi="仿宋" w:eastAsia="仿宋" w:cs="仿宋"/>
          <w:b w:val="0"/>
          <w:bCs/>
          <w:strike w:val="0"/>
          <w:dstrike w:val="0"/>
          <w:color w:val="auto"/>
          <w:sz w:val="32"/>
          <w:szCs w:val="32"/>
          <w:highlight w:val="none"/>
          <w:lang w:eastAsia="zh-CN"/>
        </w:rPr>
        <w:t>，</w:t>
      </w:r>
      <w:r>
        <w:rPr>
          <w:rStyle w:val="14"/>
          <w:rFonts w:hint="eastAsia" w:ascii="仿宋" w:hAnsi="仿宋" w:eastAsia="仿宋" w:cs="仿宋"/>
          <w:b w:val="0"/>
          <w:bCs/>
          <w:color w:val="auto"/>
          <w:sz w:val="32"/>
          <w:szCs w:val="32"/>
          <w:highlight w:val="none"/>
        </w:rPr>
        <w:t>发展改革部门对</w:t>
      </w:r>
      <w:r>
        <w:rPr>
          <w:rStyle w:val="14"/>
          <w:rFonts w:hint="eastAsia" w:ascii="仿宋" w:hAnsi="仿宋" w:eastAsia="仿宋" w:cs="仿宋"/>
          <w:b w:val="0"/>
          <w:bCs/>
          <w:color w:val="auto"/>
          <w:sz w:val="32"/>
          <w:szCs w:val="32"/>
          <w:highlight w:val="none"/>
          <w:lang w:val="en-US" w:eastAsia="zh-CN"/>
        </w:rPr>
        <w:t>基金</w:t>
      </w:r>
      <w:r>
        <w:rPr>
          <w:rStyle w:val="14"/>
          <w:rFonts w:hint="eastAsia" w:ascii="仿宋" w:hAnsi="仿宋" w:eastAsia="仿宋" w:cs="仿宋"/>
          <w:b w:val="0"/>
          <w:bCs/>
          <w:strike w:val="0"/>
          <w:dstrike w:val="0"/>
          <w:color w:val="auto"/>
          <w:sz w:val="32"/>
          <w:szCs w:val="32"/>
          <w:highlight w:val="none"/>
        </w:rPr>
        <w:t>投资领域产业合规性</w:t>
      </w:r>
      <w:r>
        <w:rPr>
          <w:rStyle w:val="14"/>
          <w:rFonts w:hint="eastAsia" w:ascii="仿宋" w:hAnsi="仿宋" w:eastAsia="仿宋" w:cs="仿宋"/>
          <w:b w:val="0"/>
          <w:bCs/>
          <w:strike w:val="0"/>
          <w:dstrike w:val="0"/>
          <w:color w:val="auto"/>
          <w:sz w:val="32"/>
          <w:szCs w:val="32"/>
          <w:highlight w:val="none"/>
          <w:lang w:val="en-US" w:eastAsia="zh-CN"/>
        </w:rPr>
        <w:t>和报批材料</w:t>
      </w:r>
      <w:r>
        <w:rPr>
          <w:rStyle w:val="14"/>
          <w:rFonts w:hint="eastAsia" w:ascii="仿宋" w:hAnsi="仿宋" w:eastAsia="仿宋" w:cs="仿宋"/>
          <w:b w:val="0"/>
          <w:bCs/>
          <w:strike w:val="0"/>
          <w:dstrike w:val="0"/>
          <w:color w:val="auto"/>
          <w:sz w:val="32"/>
          <w:szCs w:val="32"/>
          <w:highlight w:val="none"/>
        </w:rPr>
        <w:t>齐备性进</w:t>
      </w:r>
      <w:r>
        <w:rPr>
          <w:rStyle w:val="14"/>
          <w:rFonts w:hint="eastAsia" w:ascii="仿宋" w:hAnsi="仿宋" w:eastAsia="仿宋" w:cs="仿宋"/>
          <w:b w:val="0"/>
          <w:bCs/>
          <w:color w:val="auto"/>
          <w:sz w:val="32"/>
          <w:szCs w:val="32"/>
          <w:highlight w:val="none"/>
        </w:rPr>
        <w:t>行初审。</w:t>
      </w:r>
      <w:r>
        <w:rPr>
          <w:rStyle w:val="14"/>
          <w:rFonts w:hint="eastAsia" w:ascii="仿宋" w:hAnsi="仿宋" w:eastAsia="仿宋" w:cs="仿宋"/>
          <w:b w:val="0"/>
          <w:bCs/>
          <w:color w:val="auto"/>
          <w:sz w:val="32"/>
          <w:szCs w:val="32"/>
          <w:highlight w:val="none"/>
          <w:lang w:val="en-US" w:eastAsia="zh-CN"/>
        </w:rPr>
        <w:t>必要时可邀请有关专家参与论证。</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Style w:val="14"/>
          <w:rFonts w:hint="eastAsia" w:ascii="仿宋" w:hAnsi="仿宋" w:eastAsia="仿宋" w:cs="仿宋"/>
          <w:b w:val="0"/>
          <w:bCs/>
          <w:color w:val="auto"/>
          <w:sz w:val="32"/>
          <w:szCs w:val="32"/>
        </w:rPr>
      </w:pPr>
      <w:r>
        <w:rPr>
          <w:rStyle w:val="14"/>
          <w:rFonts w:hint="eastAsia" w:ascii="仿宋" w:hAnsi="仿宋" w:eastAsia="仿宋" w:cs="仿宋"/>
          <w:b w:val="0"/>
          <w:bCs/>
          <w:color w:val="auto"/>
          <w:sz w:val="32"/>
          <w:szCs w:val="32"/>
          <w:highlight w:val="none"/>
          <w:lang w:val="en-US" w:eastAsia="zh-CN"/>
        </w:rPr>
        <w:t>（三）政府决策。</w:t>
      </w:r>
      <w:r>
        <w:rPr>
          <w:rStyle w:val="14"/>
          <w:rFonts w:hint="eastAsia" w:ascii="仿宋" w:hAnsi="仿宋" w:eastAsia="仿宋" w:cs="仿宋"/>
          <w:b w:val="0"/>
          <w:bCs/>
          <w:color w:val="auto"/>
          <w:sz w:val="32"/>
          <w:szCs w:val="32"/>
          <w:highlight w:val="none"/>
        </w:rPr>
        <w:t>财政部门</w:t>
      </w:r>
      <w:r>
        <w:rPr>
          <w:rStyle w:val="14"/>
          <w:rFonts w:hint="eastAsia" w:ascii="仿宋" w:hAnsi="仿宋" w:eastAsia="仿宋" w:cs="仿宋"/>
          <w:b w:val="0"/>
          <w:bCs/>
          <w:color w:val="auto"/>
          <w:sz w:val="32"/>
          <w:szCs w:val="32"/>
          <w:highlight w:val="none"/>
          <w:lang w:val="en-US" w:eastAsia="zh-CN"/>
        </w:rPr>
        <w:t>或财政部门</w:t>
      </w:r>
      <w:r>
        <w:rPr>
          <w:rStyle w:val="14"/>
          <w:rFonts w:hint="eastAsia" w:ascii="仿宋" w:hAnsi="仿宋" w:eastAsia="仿宋" w:cs="仿宋"/>
          <w:b w:val="0"/>
          <w:bCs/>
          <w:color w:val="auto"/>
          <w:sz w:val="32"/>
          <w:szCs w:val="32"/>
          <w:highlight w:val="none"/>
        </w:rPr>
        <w:t>会同</w:t>
      </w:r>
      <w:r>
        <w:rPr>
          <w:rStyle w:val="14"/>
          <w:rFonts w:hint="eastAsia" w:ascii="仿宋" w:hAnsi="仿宋" w:eastAsia="仿宋" w:cs="仿宋"/>
          <w:b w:val="0"/>
          <w:bCs/>
          <w:color w:val="auto"/>
          <w:sz w:val="32"/>
          <w:szCs w:val="32"/>
          <w:highlight w:val="none"/>
          <w:lang w:val="en-US" w:eastAsia="zh-CN"/>
        </w:rPr>
        <w:t>基金设立</w:t>
      </w:r>
      <w:r>
        <w:rPr>
          <w:rStyle w:val="14"/>
          <w:rFonts w:hint="eastAsia" w:ascii="仿宋" w:hAnsi="仿宋" w:eastAsia="仿宋" w:cs="仿宋"/>
          <w:b w:val="0"/>
          <w:bCs/>
          <w:color w:val="auto"/>
          <w:sz w:val="32"/>
          <w:szCs w:val="32"/>
          <w:highlight w:val="none"/>
        </w:rPr>
        <w:t>部门报</w:t>
      </w:r>
      <w:r>
        <w:rPr>
          <w:rStyle w:val="14"/>
          <w:rFonts w:hint="eastAsia" w:ascii="仿宋" w:hAnsi="仿宋" w:eastAsia="仿宋" w:cs="仿宋"/>
          <w:b w:val="0"/>
          <w:bCs/>
          <w:color w:val="auto"/>
          <w:sz w:val="32"/>
          <w:szCs w:val="32"/>
          <w:highlight w:val="none"/>
          <w:lang w:eastAsia="zh-CN"/>
        </w:rPr>
        <w:t>送</w:t>
      </w:r>
      <w:r>
        <w:rPr>
          <w:rStyle w:val="14"/>
          <w:rFonts w:hint="eastAsia" w:ascii="仿宋" w:hAnsi="仿宋" w:eastAsia="仿宋" w:cs="仿宋"/>
          <w:b w:val="0"/>
          <w:bCs/>
          <w:color w:val="auto"/>
          <w:sz w:val="32"/>
          <w:szCs w:val="32"/>
          <w:highlight w:val="none"/>
        </w:rPr>
        <w:t>本级</w:t>
      </w:r>
      <w:r>
        <w:rPr>
          <w:rStyle w:val="14"/>
          <w:rFonts w:hint="eastAsia" w:ascii="仿宋" w:hAnsi="仿宋" w:eastAsia="仿宋" w:cs="仿宋"/>
          <w:b w:val="0"/>
          <w:bCs/>
          <w:color w:val="auto"/>
          <w:sz w:val="32"/>
          <w:szCs w:val="32"/>
          <w:highlight w:val="none"/>
          <w:lang w:eastAsia="zh-CN"/>
        </w:rPr>
        <w:t>人民</w:t>
      </w:r>
      <w:r>
        <w:rPr>
          <w:rStyle w:val="14"/>
          <w:rFonts w:hint="eastAsia" w:ascii="仿宋" w:hAnsi="仿宋" w:eastAsia="仿宋" w:cs="仿宋"/>
          <w:b w:val="0"/>
          <w:bCs/>
          <w:color w:val="auto"/>
          <w:sz w:val="32"/>
          <w:szCs w:val="32"/>
          <w:highlight w:val="none"/>
        </w:rPr>
        <w:t>政府批准。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firstLine="640" w:firstLineChars="200"/>
        <w:jc w:val="both"/>
        <w:textAlignment w:val="auto"/>
        <w:rPr>
          <w:rStyle w:val="14"/>
          <w:rFonts w:hint="eastAsia" w:ascii="仿宋" w:hAnsi="仿宋" w:eastAsia="仿宋" w:cs="仿宋"/>
          <w:b w:val="0"/>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十五</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rPr>
        <w:t>各级发展改革部门负责本级</w:t>
      </w:r>
      <w:r>
        <w:rPr>
          <w:rStyle w:val="14"/>
          <w:rFonts w:hint="eastAsia" w:ascii="仿宋" w:hAnsi="仿宋" w:eastAsia="仿宋" w:cs="仿宋"/>
          <w:b w:val="0"/>
          <w:bCs/>
          <w:color w:val="auto"/>
          <w:sz w:val="32"/>
          <w:szCs w:val="32"/>
          <w:lang w:eastAsia="zh-CN"/>
        </w:rPr>
        <w:t>人民</w:t>
      </w:r>
      <w:r>
        <w:rPr>
          <w:rStyle w:val="14"/>
          <w:rFonts w:hint="eastAsia" w:ascii="仿宋" w:hAnsi="仿宋" w:eastAsia="仿宋" w:cs="仿宋"/>
          <w:b w:val="0"/>
          <w:bCs/>
          <w:color w:val="auto"/>
          <w:sz w:val="32"/>
          <w:szCs w:val="32"/>
        </w:rPr>
        <w:t>政府或所属部门、直属机构政府出资设立的投资基金材料完备性和产业政策符合性审查。以下情况除外：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Style w:val="14"/>
          <w:rFonts w:hint="eastAsia" w:ascii="仿宋" w:hAnsi="仿宋" w:eastAsia="仿宋" w:cs="仿宋"/>
          <w:b w:val="0"/>
          <w:bCs/>
          <w:color w:val="auto"/>
          <w:sz w:val="32"/>
          <w:szCs w:val="32"/>
        </w:rPr>
      </w:pPr>
      <w:r>
        <w:rPr>
          <w:rStyle w:val="14"/>
          <w:rFonts w:hint="eastAsia" w:ascii="仿宋" w:hAnsi="仿宋" w:eastAsia="仿宋" w:cs="仿宋"/>
          <w:b w:val="0"/>
          <w:bCs/>
          <w:color w:val="auto"/>
          <w:sz w:val="32"/>
          <w:szCs w:val="32"/>
        </w:rPr>
        <w:t>（一）地方各级人民政府或所属部门、直属机构出</w:t>
      </w:r>
      <w:r>
        <w:rPr>
          <w:rStyle w:val="14"/>
          <w:rFonts w:hint="eastAsia" w:ascii="仿宋" w:hAnsi="仿宋" w:eastAsia="仿宋" w:cs="仿宋"/>
          <w:b w:val="0"/>
          <w:bCs/>
          <w:color w:val="auto"/>
          <w:spacing w:val="-6"/>
          <w:sz w:val="32"/>
          <w:szCs w:val="32"/>
        </w:rPr>
        <w:t>资额50亿</w:t>
      </w:r>
      <w:r>
        <w:rPr>
          <w:rStyle w:val="14"/>
          <w:rFonts w:hint="eastAsia" w:ascii="仿宋" w:hAnsi="仿宋" w:eastAsia="仿宋" w:cs="仿宋"/>
          <w:b w:val="0"/>
          <w:bCs/>
          <w:color w:val="auto"/>
          <w:sz w:val="32"/>
          <w:szCs w:val="32"/>
        </w:rPr>
        <w:t>元人民币（或等值外币）及以上的，由</w:t>
      </w:r>
      <w:r>
        <w:rPr>
          <w:rStyle w:val="14"/>
          <w:rFonts w:hint="eastAsia" w:ascii="仿宋" w:hAnsi="仿宋" w:eastAsia="仿宋" w:cs="仿宋"/>
          <w:b w:val="0"/>
          <w:bCs/>
          <w:color w:val="auto"/>
          <w:sz w:val="32"/>
          <w:szCs w:val="32"/>
          <w:lang w:eastAsia="zh-CN"/>
        </w:rPr>
        <w:t>自治区发展改革委报送</w:t>
      </w:r>
      <w:r>
        <w:rPr>
          <w:rStyle w:val="14"/>
          <w:rFonts w:hint="eastAsia" w:ascii="仿宋" w:hAnsi="仿宋" w:eastAsia="仿宋" w:cs="仿宋"/>
          <w:b w:val="0"/>
          <w:bCs/>
          <w:color w:val="auto"/>
          <w:sz w:val="32"/>
          <w:szCs w:val="32"/>
        </w:rPr>
        <w:t>国家发展改革委</w:t>
      </w:r>
      <w:r>
        <w:rPr>
          <w:rStyle w:val="14"/>
          <w:rFonts w:hint="eastAsia" w:ascii="仿宋" w:hAnsi="仿宋" w:eastAsia="仿宋" w:cs="仿宋"/>
          <w:b w:val="0"/>
          <w:bCs/>
          <w:color w:val="auto"/>
          <w:sz w:val="32"/>
          <w:szCs w:val="32"/>
          <w:lang w:eastAsia="zh-CN"/>
        </w:rPr>
        <w:t>进行</w:t>
      </w:r>
      <w:r>
        <w:rPr>
          <w:rStyle w:val="14"/>
          <w:rFonts w:hint="eastAsia" w:ascii="仿宋" w:hAnsi="仿宋" w:eastAsia="仿宋" w:cs="仿宋"/>
          <w:b w:val="0"/>
          <w:bCs/>
          <w:color w:val="auto"/>
          <w:sz w:val="32"/>
          <w:szCs w:val="32"/>
        </w:rPr>
        <w:t>材料完备性和产业政策符合性审查；</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Style w:val="14"/>
          <w:rFonts w:hint="eastAsia" w:ascii="仿宋" w:hAnsi="仿宋" w:eastAsia="仿宋" w:cs="仿宋"/>
          <w:b w:val="0"/>
          <w:bCs/>
          <w:color w:val="auto"/>
          <w:sz w:val="32"/>
          <w:szCs w:val="32"/>
        </w:rPr>
      </w:pPr>
      <w:r>
        <w:rPr>
          <w:rStyle w:val="14"/>
          <w:rFonts w:hint="eastAsia" w:ascii="仿宋" w:hAnsi="仿宋" w:eastAsia="仿宋" w:cs="仿宋"/>
          <w:b w:val="0"/>
          <w:bCs/>
          <w:color w:val="auto"/>
          <w:sz w:val="32"/>
          <w:szCs w:val="32"/>
        </w:rPr>
        <w:t>（二）地方各级人民政府或所属部门、直属机构出</w:t>
      </w:r>
      <w:r>
        <w:rPr>
          <w:rStyle w:val="14"/>
          <w:rFonts w:hint="eastAsia" w:ascii="仿宋" w:hAnsi="仿宋" w:eastAsia="仿宋" w:cs="仿宋"/>
          <w:b w:val="0"/>
          <w:bCs/>
          <w:color w:val="auto"/>
          <w:spacing w:val="-6"/>
          <w:sz w:val="32"/>
          <w:szCs w:val="32"/>
        </w:rPr>
        <w:t>资额50亿</w:t>
      </w:r>
      <w:r>
        <w:rPr>
          <w:rStyle w:val="14"/>
          <w:rFonts w:hint="eastAsia" w:ascii="仿宋" w:hAnsi="仿宋" w:eastAsia="仿宋" w:cs="仿宋"/>
          <w:b w:val="0"/>
          <w:bCs/>
          <w:color w:val="auto"/>
          <w:sz w:val="32"/>
          <w:szCs w:val="32"/>
        </w:rPr>
        <w:t>元人民币（或等值外币）以下，20亿元人民币（或等值外币）及以上的，由自治区发展改革委负责产业政策符合性和</w:t>
      </w:r>
      <w:r>
        <w:rPr>
          <w:rStyle w:val="14"/>
          <w:rFonts w:hint="eastAsia" w:ascii="仿宋" w:hAnsi="仿宋" w:eastAsia="仿宋" w:cs="仿宋"/>
          <w:b w:val="0"/>
          <w:bCs/>
          <w:color w:val="auto"/>
          <w:sz w:val="32"/>
          <w:szCs w:val="32"/>
          <w:lang w:eastAsia="zh-CN"/>
        </w:rPr>
        <w:t>章程等</w:t>
      </w:r>
      <w:r>
        <w:rPr>
          <w:rStyle w:val="14"/>
          <w:rFonts w:hint="eastAsia" w:ascii="仿宋" w:hAnsi="仿宋" w:eastAsia="仿宋" w:cs="仿宋"/>
          <w:b w:val="0"/>
          <w:bCs/>
          <w:color w:val="auto"/>
          <w:sz w:val="32"/>
          <w:szCs w:val="32"/>
        </w:rPr>
        <w:t>材料完备性审查。</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第十</w:t>
      </w:r>
      <w:r>
        <w:rPr>
          <w:rStyle w:val="14"/>
          <w:rFonts w:hint="eastAsia" w:ascii="黑体" w:hAnsi="黑体" w:eastAsia="黑体" w:cs="黑体"/>
          <w:b w:val="0"/>
          <w:bCs/>
          <w:color w:val="auto"/>
          <w:sz w:val="32"/>
          <w:szCs w:val="32"/>
          <w:highlight w:val="none"/>
          <w:lang w:eastAsia="zh-CN"/>
        </w:rPr>
        <w:t>六</w:t>
      </w:r>
      <w:r>
        <w:rPr>
          <w:rStyle w:val="14"/>
          <w:rFonts w:hint="eastAsia" w:ascii="黑体" w:hAnsi="黑体" w:eastAsia="黑体" w:cs="黑体"/>
          <w:b w:val="0"/>
          <w:bCs/>
          <w:color w:val="auto"/>
          <w:sz w:val="32"/>
          <w:szCs w:val="32"/>
          <w:highlight w:val="none"/>
        </w:rPr>
        <w:t>条</w:t>
      </w:r>
      <w:r>
        <w:rPr>
          <w:rStyle w:val="14"/>
          <w:rFonts w:hint="eastAsia" w:ascii="黑体" w:hAnsi="黑体" w:eastAsia="黑体" w:cs="黑体"/>
          <w:b w:val="0"/>
          <w:bCs/>
          <w:color w:val="auto"/>
          <w:sz w:val="32"/>
          <w:szCs w:val="32"/>
          <w:highlight w:val="none"/>
          <w:lang w:val="en-US" w:eastAsia="zh-CN"/>
        </w:rPr>
        <w:t xml:space="preserve">  </w:t>
      </w:r>
      <w:r>
        <w:rPr>
          <w:rFonts w:hint="eastAsia" w:ascii="仿宋" w:hAnsi="仿宋" w:eastAsia="仿宋" w:cs="仿宋"/>
          <w:bCs/>
          <w:color w:val="auto"/>
          <w:sz w:val="32"/>
          <w:szCs w:val="32"/>
        </w:rPr>
        <w:t>设立政府投资基金报</w:t>
      </w:r>
      <w:r>
        <w:rPr>
          <w:rFonts w:hint="eastAsia" w:ascii="仿宋" w:hAnsi="仿宋" w:eastAsia="仿宋" w:cs="仿宋"/>
          <w:bCs/>
          <w:color w:val="auto"/>
          <w:sz w:val="32"/>
          <w:szCs w:val="32"/>
          <w:lang w:eastAsia="zh-CN"/>
        </w:rPr>
        <w:t>送本</w:t>
      </w:r>
      <w:r>
        <w:rPr>
          <w:rFonts w:hint="eastAsia" w:ascii="仿宋" w:hAnsi="仿宋" w:eastAsia="仿宋" w:cs="仿宋"/>
          <w:bCs/>
          <w:color w:val="auto"/>
          <w:sz w:val="32"/>
          <w:szCs w:val="32"/>
        </w:rPr>
        <w:t>级</w:t>
      </w:r>
      <w:r>
        <w:rPr>
          <w:rFonts w:hint="eastAsia" w:ascii="仿宋" w:hAnsi="仿宋" w:eastAsia="仿宋" w:cs="仿宋"/>
          <w:bCs/>
          <w:color w:val="auto"/>
          <w:sz w:val="32"/>
          <w:szCs w:val="32"/>
          <w:lang w:eastAsia="zh-CN"/>
        </w:rPr>
        <w:t>人民</w:t>
      </w:r>
      <w:r>
        <w:rPr>
          <w:rFonts w:hint="eastAsia" w:ascii="仿宋" w:hAnsi="仿宋" w:eastAsia="仿宋" w:cs="仿宋"/>
          <w:bCs/>
          <w:color w:val="auto"/>
          <w:sz w:val="32"/>
          <w:szCs w:val="32"/>
        </w:rPr>
        <w:t>政府批准时，应当提交以下材料：</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（一）申请设立政府投资基金请示；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（二）政府投资基金可行性方案；</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strike/>
          <w:color w:val="auto"/>
          <w:sz w:val="32"/>
          <w:szCs w:val="32"/>
        </w:rPr>
      </w:pPr>
      <w:r>
        <w:rPr>
          <w:rFonts w:hint="eastAsia" w:ascii="仿宋" w:hAnsi="仿宋" w:eastAsia="仿宋" w:cs="仿宋"/>
          <w:bCs/>
          <w:color w:val="auto"/>
          <w:sz w:val="32"/>
          <w:szCs w:val="32"/>
        </w:rPr>
        <w:t xml:space="preserve">   （三）其他资料。</w:t>
      </w:r>
      <w:r>
        <w:rPr>
          <w:rStyle w:val="14"/>
          <w:rFonts w:hint="eastAsia" w:ascii="仿宋" w:hAnsi="仿宋" w:eastAsia="仿宋" w:cs="仿宋"/>
          <w:b w:val="0"/>
          <w:bCs/>
          <w:color w:val="auto"/>
          <w:sz w:val="32"/>
          <w:szCs w:val="32"/>
        </w:rPr>
        <w:t xml:space="preserve">    </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Style w:val="14"/>
          <w:rFonts w:hint="eastAsia" w:ascii="仿宋" w:hAnsi="仿宋" w:eastAsia="仿宋" w:cs="仿宋"/>
          <w:b w:val="0"/>
          <w:bCs/>
          <w:color w:val="auto"/>
          <w:sz w:val="32"/>
          <w:szCs w:val="32"/>
        </w:rPr>
      </w:pPr>
      <w:r>
        <w:rPr>
          <w:rStyle w:val="14"/>
          <w:rFonts w:hint="eastAsia" w:ascii="黑体" w:hAnsi="黑体" w:eastAsia="黑体" w:cs="黑体"/>
          <w:b w:val="0"/>
          <w:bCs/>
          <w:color w:val="auto"/>
          <w:sz w:val="32"/>
          <w:szCs w:val="32"/>
          <w:highlight w:val="none"/>
        </w:rPr>
        <w:t>第十</w:t>
      </w:r>
      <w:r>
        <w:rPr>
          <w:rStyle w:val="14"/>
          <w:rFonts w:hint="eastAsia" w:ascii="黑体" w:hAnsi="黑体" w:eastAsia="黑体" w:cs="黑体"/>
          <w:b w:val="0"/>
          <w:bCs/>
          <w:color w:val="auto"/>
          <w:sz w:val="32"/>
          <w:szCs w:val="32"/>
          <w:highlight w:val="none"/>
          <w:lang w:eastAsia="zh-CN"/>
        </w:rPr>
        <w:t>七</w:t>
      </w:r>
      <w:r>
        <w:rPr>
          <w:rStyle w:val="14"/>
          <w:rFonts w:hint="eastAsia" w:ascii="黑体" w:hAnsi="黑体" w:eastAsia="黑体" w:cs="黑体"/>
          <w:b w:val="0"/>
          <w:bCs/>
          <w:color w:val="auto"/>
          <w:sz w:val="32"/>
          <w:szCs w:val="32"/>
          <w:highlight w:val="none"/>
        </w:rPr>
        <w:t>条</w:t>
      </w:r>
      <w:r>
        <w:rPr>
          <w:rStyle w:val="14"/>
          <w:rFonts w:hint="eastAsia" w:ascii="黑体" w:hAnsi="黑体" w:eastAsia="黑体" w:cs="黑体"/>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rPr>
        <w:t>各盟市</w:t>
      </w:r>
      <w:r>
        <w:rPr>
          <w:rStyle w:val="14"/>
          <w:rFonts w:hint="eastAsia" w:ascii="仿宋" w:hAnsi="仿宋" w:eastAsia="仿宋" w:cs="仿宋"/>
          <w:b w:val="0"/>
          <w:bCs/>
          <w:color w:val="auto"/>
          <w:sz w:val="32"/>
          <w:szCs w:val="32"/>
          <w:lang w:eastAsia="zh-CN"/>
        </w:rPr>
        <w:t>、</w:t>
      </w:r>
      <w:r>
        <w:rPr>
          <w:rStyle w:val="14"/>
          <w:rFonts w:hint="eastAsia" w:ascii="仿宋" w:hAnsi="仿宋" w:eastAsia="仿宋" w:cs="仿宋"/>
          <w:b w:val="0"/>
          <w:bCs/>
          <w:color w:val="auto"/>
          <w:sz w:val="32"/>
          <w:szCs w:val="32"/>
          <w:highlight w:val="none"/>
          <w:lang w:eastAsia="zh-CN"/>
        </w:rPr>
        <w:t>旗县（市、区）</w:t>
      </w:r>
      <w:r>
        <w:rPr>
          <w:rStyle w:val="14"/>
          <w:rFonts w:hint="eastAsia" w:ascii="仿宋" w:hAnsi="仿宋" w:eastAsia="仿宋" w:cs="仿宋"/>
          <w:b w:val="0"/>
          <w:bCs/>
          <w:color w:val="auto"/>
          <w:sz w:val="32"/>
          <w:szCs w:val="32"/>
        </w:rPr>
        <w:t>设立政府投资基金母基金</w:t>
      </w:r>
      <w:r>
        <w:rPr>
          <w:rStyle w:val="14"/>
          <w:rFonts w:hint="eastAsia" w:ascii="仿宋" w:hAnsi="仿宋" w:eastAsia="仿宋" w:cs="仿宋"/>
          <w:b w:val="0"/>
          <w:bCs/>
          <w:color w:val="auto"/>
          <w:sz w:val="32"/>
          <w:szCs w:val="32"/>
          <w:lang w:eastAsia="zh-CN"/>
        </w:rPr>
        <w:t>，</w:t>
      </w:r>
      <w:r>
        <w:rPr>
          <w:rStyle w:val="14"/>
          <w:rFonts w:hint="eastAsia" w:ascii="仿宋" w:hAnsi="仿宋" w:eastAsia="仿宋" w:cs="仿宋"/>
          <w:b w:val="0"/>
          <w:bCs/>
          <w:color w:val="auto"/>
          <w:sz w:val="32"/>
          <w:szCs w:val="32"/>
        </w:rPr>
        <w:t>须在</w:t>
      </w:r>
      <w:r>
        <w:rPr>
          <w:rStyle w:val="14"/>
          <w:rFonts w:hint="eastAsia" w:ascii="仿宋" w:hAnsi="仿宋" w:eastAsia="仿宋" w:cs="仿宋"/>
          <w:b w:val="0"/>
          <w:bCs/>
          <w:color w:val="auto"/>
          <w:sz w:val="32"/>
          <w:szCs w:val="32"/>
          <w:lang w:eastAsia="zh-CN"/>
        </w:rPr>
        <w:t>本</w:t>
      </w:r>
      <w:r>
        <w:rPr>
          <w:rStyle w:val="14"/>
          <w:rFonts w:hint="eastAsia" w:ascii="仿宋" w:hAnsi="仿宋" w:eastAsia="仿宋" w:cs="仿宋"/>
          <w:b w:val="0"/>
          <w:bCs/>
          <w:color w:val="auto"/>
          <w:sz w:val="32"/>
          <w:szCs w:val="32"/>
        </w:rPr>
        <w:t>级</w:t>
      </w:r>
      <w:r>
        <w:rPr>
          <w:rStyle w:val="14"/>
          <w:rFonts w:hint="eastAsia" w:ascii="仿宋" w:hAnsi="仿宋" w:eastAsia="仿宋" w:cs="仿宋"/>
          <w:b w:val="0"/>
          <w:bCs/>
          <w:color w:val="auto"/>
          <w:sz w:val="32"/>
          <w:szCs w:val="32"/>
          <w:lang w:eastAsia="zh-CN"/>
        </w:rPr>
        <w:t>人民</w:t>
      </w:r>
      <w:r>
        <w:rPr>
          <w:rStyle w:val="14"/>
          <w:rFonts w:hint="eastAsia" w:ascii="仿宋" w:hAnsi="仿宋" w:eastAsia="仿宋" w:cs="仿宋"/>
          <w:b w:val="0"/>
          <w:bCs/>
          <w:color w:val="auto"/>
          <w:sz w:val="32"/>
          <w:szCs w:val="32"/>
        </w:rPr>
        <w:t>政府批准后30个工作日内向自治区发展改革委、财政厅报备。</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第四章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政府投资基金的募集和登记管理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第十</w:t>
      </w:r>
      <w:r>
        <w:rPr>
          <w:rStyle w:val="14"/>
          <w:rFonts w:hint="eastAsia" w:ascii="黑体" w:hAnsi="黑体" w:eastAsia="黑体" w:cs="黑体"/>
          <w:b w:val="0"/>
          <w:bCs/>
          <w:color w:val="auto"/>
          <w:sz w:val="32"/>
          <w:szCs w:val="32"/>
          <w:highlight w:val="none"/>
          <w:lang w:eastAsia="zh-CN"/>
        </w:rPr>
        <w:t>八</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政府投资基金社会资金部分应当采取非公开方式向特定的具有风险识别能力和风险承受能力的合格投资者募集，募集行为应当符合相关法律法规及国家有关部门规定。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第十</w:t>
      </w:r>
      <w:r>
        <w:rPr>
          <w:rStyle w:val="14"/>
          <w:rFonts w:hint="eastAsia" w:ascii="黑体" w:hAnsi="黑体" w:eastAsia="黑体" w:cs="黑体"/>
          <w:b w:val="0"/>
          <w:bCs/>
          <w:color w:val="auto"/>
          <w:sz w:val="32"/>
          <w:szCs w:val="32"/>
          <w:highlight w:val="none"/>
          <w:lang w:eastAsia="zh-CN"/>
        </w:rPr>
        <w:t>九</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地方各级人民政府或所属部门、直属机构出资设立的投资基金募集完毕后20个工作日内，须由基金管理人在全国政府出资产业投资基金信用信息登记系统进行登记。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Style w:val="14"/>
          <w:rFonts w:hint="eastAsia" w:ascii="仿宋" w:hAnsi="仿宋" w:eastAsia="仿宋" w:cs="仿宋"/>
          <w:b w:val="0"/>
          <w:bCs/>
          <w:color w:val="auto"/>
          <w:sz w:val="32"/>
          <w:szCs w:val="32"/>
          <w:highlight w:val="none"/>
        </w:rPr>
      </w:pPr>
      <w:r>
        <w:rPr>
          <w:rStyle w:val="14"/>
          <w:rFonts w:hint="eastAsia" w:ascii="黑体" w:hAnsi="黑体" w:eastAsia="黑体" w:cs="黑体"/>
          <w:b w:val="0"/>
          <w:bCs/>
          <w:color w:val="auto"/>
          <w:sz w:val="32"/>
          <w:szCs w:val="32"/>
          <w:highlight w:val="none"/>
          <w:lang w:val="en-US" w:eastAsia="zh-CN"/>
        </w:rPr>
        <w:t>第二十条</w:t>
      </w: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以私募投资基金形式进行股权投资、投资管理、资产管理的基金，募集完毕后20个工作日内，须由基金管理人向中国证券投资基金业协会报送相关材料办理基金备案</w:t>
      </w:r>
      <w:r>
        <w:rPr>
          <w:rFonts w:hint="eastAsia" w:ascii="仿宋" w:hAnsi="仿宋" w:eastAsia="仿宋" w:cs="仿宋"/>
          <w:bCs/>
          <w:color w:val="auto"/>
          <w:sz w:val="32"/>
          <w:szCs w:val="32"/>
          <w:highlight w:val="none"/>
          <w:lang w:eastAsia="zh-CN"/>
        </w:rPr>
        <w:t>。</w:t>
      </w:r>
      <w:r>
        <w:rPr>
          <w:rStyle w:val="14"/>
          <w:rFonts w:hint="eastAsia" w:ascii="仿宋" w:hAnsi="仿宋" w:eastAsia="仿宋" w:cs="仿宋"/>
          <w:b w:val="0"/>
          <w:bCs/>
          <w:color w:val="auto"/>
          <w:sz w:val="32"/>
          <w:szCs w:val="32"/>
          <w:highlight w:val="none"/>
        </w:rPr>
        <w:t xml:space="preserve">    </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lang w:val="en-US" w:eastAsia="zh-CN"/>
        </w:rPr>
        <w:t>第二十一条</w:t>
      </w: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rPr>
        <w:t>地方各级人民政府出资设立的政府投资基金在市场监督管理部门注册登记后10个工作日内，须由基金管理</w:t>
      </w:r>
      <w:r>
        <w:rPr>
          <w:rFonts w:hint="eastAsia" w:ascii="仿宋" w:hAnsi="仿宋" w:eastAsia="仿宋" w:cs="仿宋"/>
          <w:bCs/>
          <w:color w:val="auto"/>
          <w:spacing w:val="6"/>
          <w:sz w:val="32"/>
          <w:szCs w:val="32"/>
        </w:rPr>
        <w:t>人向</w:t>
      </w:r>
      <w:r>
        <w:rPr>
          <w:rFonts w:hint="eastAsia" w:ascii="仿宋" w:hAnsi="仿宋" w:eastAsia="仿宋" w:cs="仿宋"/>
          <w:bCs/>
          <w:color w:val="auto"/>
          <w:spacing w:val="6"/>
          <w:sz w:val="32"/>
          <w:szCs w:val="32"/>
          <w:lang w:eastAsia="zh-CN"/>
        </w:rPr>
        <w:t>本</w:t>
      </w:r>
      <w:r>
        <w:rPr>
          <w:rFonts w:hint="eastAsia" w:ascii="仿宋" w:hAnsi="仿宋" w:eastAsia="仿宋" w:cs="仿宋"/>
          <w:bCs/>
          <w:color w:val="auto"/>
          <w:spacing w:val="6"/>
          <w:sz w:val="32"/>
          <w:szCs w:val="32"/>
        </w:rPr>
        <w:t>级财政部门申请财政部统一报表系统账号。申请通过后，</w:t>
      </w:r>
      <w:r>
        <w:rPr>
          <w:rFonts w:hint="eastAsia" w:ascii="仿宋" w:hAnsi="仿宋" w:eastAsia="仿宋" w:cs="仿宋"/>
          <w:bCs/>
          <w:color w:val="auto"/>
          <w:sz w:val="32"/>
          <w:szCs w:val="32"/>
        </w:rPr>
        <w:t>按照财政部有关规定，在每季度结束后15日内通过报表系统按时报送政府投资基金运行情况。采取母子基金架构设置的政府投资基金，季</w:t>
      </w:r>
      <w:r>
        <w:rPr>
          <w:rFonts w:hint="eastAsia" w:ascii="仿宋" w:hAnsi="仿宋" w:eastAsia="仿宋" w:cs="仿宋"/>
          <w:bCs/>
          <w:color w:val="auto"/>
          <w:sz w:val="32"/>
          <w:szCs w:val="32"/>
          <w:lang w:eastAsia="zh-CN"/>
        </w:rPr>
        <w:t>度</w:t>
      </w:r>
      <w:r>
        <w:rPr>
          <w:rFonts w:hint="eastAsia" w:ascii="仿宋" w:hAnsi="仿宋" w:eastAsia="仿宋" w:cs="仿宋"/>
          <w:bCs/>
          <w:color w:val="auto"/>
          <w:sz w:val="32"/>
          <w:szCs w:val="32"/>
        </w:rPr>
        <w:t>报</w:t>
      </w:r>
      <w:r>
        <w:rPr>
          <w:rFonts w:hint="eastAsia" w:ascii="仿宋" w:hAnsi="仿宋" w:eastAsia="仿宋" w:cs="仿宋"/>
          <w:bCs/>
          <w:color w:val="auto"/>
          <w:sz w:val="32"/>
          <w:szCs w:val="32"/>
          <w:lang w:eastAsia="zh-CN"/>
        </w:rPr>
        <w:t>表</w:t>
      </w:r>
      <w:r>
        <w:rPr>
          <w:rFonts w:hint="eastAsia" w:ascii="仿宋" w:hAnsi="仿宋" w:eastAsia="仿宋" w:cs="仿宋"/>
          <w:bCs/>
          <w:color w:val="auto"/>
          <w:sz w:val="32"/>
          <w:szCs w:val="32"/>
        </w:rPr>
        <w:t>由政府直接出资设立的母基金填报，母基金参股设立的子基金无需填报。</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第五章  政府投资基金的管理和托管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firstLine="640" w:firstLineChars="200"/>
        <w:jc w:val="both"/>
        <w:textAlignment w:val="auto"/>
        <w:rPr>
          <w:rStyle w:val="14"/>
          <w:rFonts w:hint="eastAsia" w:ascii="仿宋" w:hAnsi="仿宋" w:eastAsia="仿宋" w:cs="仿宋"/>
          <w:b w:val="0"/>
          <w:bCs/>
          <w:color w:val="auto"/>
          <w:sz w:val="32"/>
          <w:szCs w:val="32"/>
          <w:highlight w:val="none"/>
          <w:lang w:val="en-US" w:eastAsia="zh-CN"/>
        </w:rPr>
      </w:pPr>
      <w:r>
        <w:rPr>
          <w:rStyle w:val="14"/>
          <w:rFonts w:hint="eastAsia" w:ascii="黑体" w:hAnsi="黑体" w:eastAsia="黑体" w:cs="黑体"/>
          <w:b w:val="0"/>
          <w:bCs/>
          <w:color w:val="auto"/>
          <w:sz w:val="32"/>
          <w:szCs w:val="32"/>
          <w:highlight w:val="none"/>
          <w:lang w:val="en-US" w:eastAsia="zh-CN"/>
        </w:rPr>
        <w:t xml:space="preserve">第二十二条  </w:t>
      </w:r>
      <w:r>
        <w:rPr>
          <w:rStyle w:val="14"/>
          <w:rFonts w:hint="eastAsia" w:ascii="仿宋" w:hAnsi="仿宋" w:eastAsia="仿宋" w:cs="仿宋"/>
          <w:b w:val="0"/>
          <w:bCs/>
          <w:color w:val="auto"/>
          <w:sz w:val="32"/>
          <w:szCs w:val="32"/>
          <w:highlight w:val="none"/>
          <w:lang w:val="en-US" w:eastAsia="zh-CN"/>
        </w:rPr>
        <w:t>政府投资基金实行所有权、管理权、托管权相分离的管理体制。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bCs/>
          <w:color w:val="auto"/>
          <w:sz w:val="32"/>
          <w:szCs w:val="32"/>
          <w:highlight w:val="none"/>
        </w:rPr>
      </w:pPr>
      <w:r>
        <w:rPr>
          <w:rStyle w:val="14"/>
          <w:rFonts w:hint="eastAsia" w:ascii="黑体" w:hAnsi="黑体" w:eastAsia="黑体" w:cs="黑体"/>
          <w:b w:val="0"/>
          <w:bCs/>
          <w:color w:val="auto"/>
          <w:sz w:val="32"/>
          <w:szCs w:val="32"/>
          <w:highlight w:val="none"/>
          <w:lang w:val="en-US" w:eastAsia="zh-CN"/>
        </w:rPr>
        <w:t>第二十三条</w:t>
      </w:r>
      <w:r>
        <w:rPr>
          <w:rStyle w:val="14"/>
          <w:rFonts w:hint="eastAsia" w:ascii="仿宋" w:hAnsi="仿宋" w:eastAsia="仿宋" w:cs="仿宋"/>
          <w:b w:val="0"/>
          <w:bCs/>
          <w:color w:val="auto"/>
          <w:sz w:val="32"/>
          <w:szCs w:val="32"/>
          <w:highlight w:val="none"/>
          <w:lang w:val="en-US" w:eastAsia="zh-CN"/>
        </w:rPr>
        <w:t xml:space="preserve">  </w:t>
      </w:r>
      <w:r>
        <w:rPr>
          <w:rFonts w:hint="eastAsia" w:ascii="仿宋" w:hAnsi="仿宋" w:eastAsia="仿宋" w:cs="仿宋"/>
          <w:bCs/>
          <w:color w:val="auto"/>
          <w:sz w:val="32"/>
          <w:szCs w:val="32"/>
          <w:lang w:eastAsia="zh-CN"/>
        </w:rPr>
        <w:t>基金</w:t>
      </w:r>
      <w:r>
        <w:rPr>
          <w:rFonts w:hint="eastAsia" w:ascii="仿宋" w:hAnsi="仿宋" w:eastAsia="仿宋" w:cs="仿宋"/>
          <w:bCs/>
          <w:color w:val="auto"/>
          <w:sz w:val="32"/>
          <w:szCs w:val="32"/>
          <w:highlight w:val="none"/>
          <w:lang w:eastAsia="zh-CN"/>
        </w:rPr>
        <w:t>设立</w:t>
      </w:r>
      <w:r>
        <w:rPr>
          <w:rFonts w:hint="eastAsia" w:ascii="仿宋" w:hAnsi="仿宋" w:eastAsia="仿宋" w:cs="仿宋"/>
          <w:bCs/>
          <w:color w:val="auto"/>
          <w:sz w:val="32"/>
          <w:szCs w:val="32"/>
          <w:lang w:eastAsia="zh-CN"/>
        </w:rPr>
        <w:t>部门</w:t>
      </w:r>
      <w:r>
        <w:rPr>
          <w:rFonts w:hint="eastAsia" w:ascii="仿宋" w:hAnsi="仿宋" w:eastAsia="仿宋" w:cs="仿宋"/>
          <w:bCs/>
          <w:color w:val="auto"/>
          <w:sz w:val="32"/>
          <w:szCs w:val="32"/>
        </w:rPr>
        <w:t>会同财政部门根据本级</w:t>
      </w:r>
      <w:r>
        <w:rPr>
          <w:rFonts w:hint="eastAsia" w:ascii="仿宋" w:hAnsi="仿宋" w:eastAsia="仿宋" w:cs="仿宋"/>
          <w:bCs/>
          <w:color w:val="auto"/>
          <w:sz w:val="32"/>
          <w:szCs w:val="32"/>
          <w:lang w:eastAsia="zh-CN"/>
        </w:rPr>
        <w:t>人民</w:t>
      </w:r>
      <w:r>
        <w:rPr>
          <w:rFonts w:hint="eastAsia" w:ascii="仿宋" w:hAnsi="仿宋" w:eastAsia="仿宋" w:cs="仿宋"/>
          <w:bCs/>
          <w:color w:val="auto"/>
          <w:sz w:val="32"/>
          <w:szCs w:val="32"/>
        </w:rPr>
        <w:t>政府批准的政府出资受托管理机构竞选方案，按照市场化原则，公开公平择优确定</w:t>
      </w:r>
      <w:r>
        <w:rPr>
          <w:rFonts w:hint="eastAsia" w:ascii="仿宋" w:hAnsi="仿宋" w:eastAsia="仿宋" w:cs="仿宋"/>
          <w:bCs/>
          <w:color w:val="auto"/>
          <w:sz w:val="32"/>
          <w:szCs w:val="32"/>
          <w:lang w:eastAsia="zh-CN"/>
        </w:rPr>
        <w:t>受委托管理机构</w:t>
      </w:r>
      <w:r>
        <w:rPr>
          <w:rFonts w:hint="eastAsia" w:ascii="仿宋" w:hAnsi="仿宋" w:eastAsia="仿宋" w:cs="仿宋"/>
          <w:bCs/>
          <w:color w:val="auto"/>
          <w:sz w:val="32"/>
          <w:szCs w:val="32"/>
        </w:rPr>
        <w:t>，签订基金</w:t>
      </w:r>
      <w:r>
        <w:rPr>
          <w:rFonts w:hint="eastAsia" w:ascii="仿宋" w:hAnsi="仿宋" w:eastAsia="仿宋" w:cs="仿宋"/>
          <w:bCs/>
          <w:color w:val="auto"/>
          <w:sz w:val="32"/>
          <w:szCs w:val="32"/>
          <w:lang w:val="en-US" w:eastAsia="zh-CN"/>
        </w:rPr>
        <w:t>授权托管</w:t>
      </w:r>
      <w:r>
        <w:rPr>
          <w:rFonts w:hint="eastAsia" w:ascii="仿宋" w:hAnsi="仿宋" w:eastAsia="仿宋" w:cs="仿宋"/>
          <w:bCs/>
          <w:color w:val="auto"/>
          <w:sz w:val="32"/>
          <w:szCs w:val="32"/>
        </w:rPr>
        <w:t>协议，明确基金授权范围和职责，</w:t>
      </w:r>
      <w:r>
        <w:rPr>
          <w:rFonts w:hint="eastAsia" w:ascii="仿宋" w:hAnsi="仿宋" w:eastAsia="仿宋" w:cs="仿宋"/>
          <w:bCs/>
          <w:color w:val="auto"/>
          <w:sz w:val="32"/>
          <w:szCs w:val="32"/>
          <w:highlight w:val="none"/>
        </w:rPr>
        <w:t>将</w:t>
      </w:r>
      <w:r>
        <w:rPr>
          <w:rFonts w:hint="eastAsia" w:ascii="仿宋" w:hAnsi="仿宋" w:eastAsia="仿宋" w:cs="仿宋"/>
          <w:bCs/>
          <w:color w:val="auto"/>
          <w:sz w:val="32"/>
          <w:szCs w:val="32"/>
          <w:highlight w:val="none"/>
          <w:lang w:val="en-US" w:eastAsia="zh-CN"/>
        </w:rPr>
        <w:t>日常</w:t>
      </w:r>
      <w:r>
        <w:rPr>
          <w:rFonts w:hint="eastAsia" w:ascii="仿宋" w:hAnsi="仿宋" w:eastAsia="仿宋" w:cs="仿宋"/>
          <w:bCs/>
          <w:color w:val="auto"/>
          <w:sz w:val="32"/>
          <w:szCs w:val="32"/>
          <w:highlight w:val="none"/>
        </w:rPr>
        <w:t>管理费与绩效评价、职责履行情况、基金实际运行情况等挂钩</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政府出资受托管理机构应当具备以下基本条件：</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Cs/>
          <w:strike w:val="0"/>
          <w:dstrike w:val="0"/>
          <w:color w:val="auto"/>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（一）</w:t>
      </w:r>
      <w:r>
        <w:rPr>
          <w:rFonts w:hint="eastAsia" w:ascii="仿宋" w:hAnsi="仿宋" w:eastAsia="仿宋" w:cs="仿宋"/>
          <w:bCs/>
          <w:strike w:val="0"/>
          <w:dstrike w:val="0"/>
          <w:color w:val="auto"/>
          <w:sz w:val="32"/>
          <w:szCs w:val="32"/>
          <w:highlight w:val="none"/>
          <w:lang w:val="en-US" w:eastAsia="zh-CN"/>
        </w:rPr>
        <w:t>具有独立法人资格；</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Cs/>
          <w:color w:val="auto"/>
          <w:spacing w:val="-6"/>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（二）</w:t>
      </w:r>
      <w:r>
        <w:rPr>
          <w:rFonts w:hint="eastAsia" w:ascii="仿宋" w:hAnsi="仿宋" w:eastAsia="仿宋" w:cs="仿宋"/>
          <w:bCs/>
          <w:color w:val="auto"/>
          <w:spacing w:val="-6"/>
          <w:sz w:val="32"/>
          <w:szCs w:val="32"/>
          <w:highlight w:val="none"/>
          <w:lang w:val="en-US" w:eastAsia="zh-CN"/>
        </w:rPr>
        <w:t>较为丰富的基金管理经验和与之适应的专业管理团队；</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Cs/>
          <w:color w:val="auto"/>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（三）</w:t>
      </w:r>
      <w:r>
        <w:rPr>
          <w:rFonts w:hint="eastAsia" w:ascii="仿宋" w:hAnsi="仿宋" w:eastAsia="仿宋" w:cs="仿宋"/>
          <w:bCs/>
          <w:color w:val="auto"/>
          <w:sz w:val="32"/>
          <w:szCs w:val="32"/>
          <w:highlight w:val="none"/>
          <w:lang w:val="en-US" w:eastAsia="zh-CN"/>
        </w:rPr>
        <w:t>诚信经营，依法合规运作。</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bCs/>
          <w:color w:val="auto"/>
          <w:sz w:val="32"/>
          <w:szCs w:val="32"/>
          <w:highlight w:val="none"/>
          <w:lang w:eastAsia="zh-CN"/>
        </w:rPr>
      </w:pPr>
      <w:r>
        <w:rPr>
          <w:rStyle w:val="14"/>
          <w:rFonts w:hint="eastAsia" w:ascii="黑体" w:hAnsi="黑体" w:eastAsia="黑体" w:cs="黑体"/>
          <w:b w:val="0"/>
          <w:bCs/>
          <w:color w:val="auto"/>
          <w:sz w:val="32"/>
          <w:szCs w:val="32"/>
          <w:highlight w:val="none"/>
          <w:lang w:val="en-US" w:eastAsia="zh-CN"/>
        </w:rPr>
        <w:t>第二十四条</w:t>
      </w:r>
      <w:r>
        <w:rPr>
          <w:rFonts w:hint="eastAsia" w:ascii="仿宋" w:hAnsi="仿宋" w:eastAsia="仿宋" w:cs="仿宋"/>
          <w:bCs/>
          <w:color w:val="auto"/>
          <w:sz w:val="32"/>
          <w:szCs w:val="32"/>
          <w:highlight w:val="none"/>
          <w:lang w:val="en-US" w:eastAsia="zh-CN"/>
        </w:rPr>
        <w:t xml:space="preserve">  政府出资受托管理机构</w:t>
      </w:r>
      <w:r>
        <w:rPr>
          <w:rFonts w:hint="eastAsia" w:ascii="仿宋" w:hAnsi="仿宋" w:eastAsia="仿宋" w:cs="仿宋"/>
          <w:bCs/>
          <w:color w:val="auto"/>
          <w:sz w:val="32"/>
          <w:szCs w:val="32"/>
          <w:highlight w:val="none"/>
        </w:rPr>
        <w:t>履行以下职责</w:t>
      </w:r>
      <w:r>
        <w:rPr>
          <w:rFonts w:hint="eastAsia" w:ascii="仿宋" w:hAnsi="仿宋" w:eastAsia="仿宋" w:cs="仿宋"/>
          <w:bCs/>
          <w:color w:val="auto"/>
          <w:sz w:val="32"/>
          <w:szCs w:val="32"/>
          <w:highlight w:val="none"/>
          <w:lang w:eastAsia="zh-CN"/>
        </w:rPr>
        <w:t>：</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Cs/>
          <w:color w:val="auto"/>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（一）</w:t>
      </w:r>
      <w:r>
        <w:rPr>
          <w:rFonts w:hint="eastAsia" w:ascii="仿宋" w:hAnsi="仿宋" w:eastAsia="仿宋" w:cs="仿宋"/>
          <w:bCs/>
          <w:color w:val="auto"/>
          <w:sz w:val="32"/>
          <w:szCs w:val="32"/>
          <w:highlight w:val="none"/>
          <w:lang w:val="en-US" w:eastAsia="zh-CN"/>
        </w:rPr>
        <w:t>根据财政部门授权代行政府出资人相关职责，负责管理政府出资专户（专账）；</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Cs/>
          <w:color w:val="auto"/>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（二）</w:t>
      </w:r>
      <w:r>
        <w:rPr>
          <w:rFonts w:hint="eastAsia" w:ascii="仿宋" w:hAnsi="仿宋" w:eastAsia="仿宋" w:cs="仿宋"/>
          <w:b w:val="0"/>
          <w:bCs/>
          <w:color w:val="auto"/>
          <w:sz w:val="32"/>
          <w:szCs w:val="32"/>
          <w:highlight w:val="none"/>
          <w:lang w:val="en-US" w:eastAsia="zh-CN"/>
        </w:rPr>
        <w:t>依据基金章程、合伙协议等相关制度，派出人员履行投资决策程序，</w:t>
      </w:r>
      <w:r>
        <w:rPr>
          <w:rFonts w:hint="eastAsia" w:ascii="仿宋" w:hAnsi="仿宋" w:eastAsia="仿宋" w:cs="仿宋"/>
          <w:bCs/>
          <w:color w:val="auto"/>
          <w:sz w:val="32"/>
          <w:szCs w:val="32"/>
          <w:highlight w:val="none"/>
          <w:lang w:val="en-US" w:eastAsia="zh-CN"/>
        </w:rPr>
        <w:t>对基金投资项目合规性进行审核，当投资项目出现违规损害政府出资利益、违反基金章程以及基金相关规定的情形时，政府出资受托管理机构可以提请终止该项目投资；</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Cs/>
          <w:color w:val="auto"/>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（三）</w:t>
      </w:r>
      <w:r>
        <w:rPr>
          <w:rFonts w:hint="eastAsia" w:ascii="仿宋" w:hAnsi="仿宋" w:eastAsia="仿宋" w:cs="仿宋"/>
          <w:bCs/>
          <w:color w:val="auto"/>
          <w:sz w:val="32"/>
          <w:szCs w:val="32"/>
          <w:highlight w:val="none"/>
          <w:lang w:val="en-US" w:eastAsia="zh-CN"/>
        </w:rPr>
        <w:t>负责督促基金管理人开展年度财务审计、考</w:t>
      </w:r>
      <w:r>
        <w:rPr>
          <w:rFonts w:hint="eastAsia" w:ascii="仿宋" w:hAnsi="仿宋" w:eastAsia="仿宋" w:cs="仿宋"/>
          <w:bCs/>
          <w:color w:val="auto"/>
          <w:spacing w:val="-6"/>
          <w:sz w:val="32"/>
          <w:szCs w:val="32"/>
          <w:highlight w:val="none"/>
          <w:lang w:val="en-US" w:eastAsia="zh-CN"/>
        </w:rPr>
        <w:t>核评价等，</w:t>
      </w:r>
      <w:r>
        <w:rPr>
          <w:rFonts w:hint="eastAsia" w:ascii="仿宋" w:hAnsi="仿宋" w:eastAsia="仿宋" w:cs="仿宋"/>
          <w:bCs/>
          <w:color w:val="auto"/>
          <w:sz w:val="32"/>
          <w:szCs w:val="32"/>
          <w:highlight w:val="none"/>
          <w:lang w:val="en-US" w:eastAsia="zh-CN"/>
        </w:rPr>
        <w:t>定期汇总向财政等有关部门报送基金运作情况；</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 w:hAnsi="仿宋" w:eastAsia="仿宋" w:cs="仿宋"/>
          <w:b w:val="0"/>
          <w:bCs/>
          <w:color w:val="auto"/>
          <w:sz w:val="32"/>
          <w:szCs w:val="32"/>
          <w:highlight w:val="none"/>
          <w:lang w:val="en-US" w:eastAsia="zh-CN"/>
        </w:rPr>
      </w:pPr>
      <w:r>
        <w:rPr>
          <w:rStyle w:val="14"/>
          <w:rFonts w:hint="eastAsia" w:ascii="仿宋" w:hAnsi="仿宋" w:eastAsia="仿宋" w:cs="仿宋"/>
          <w:b w:val="0"/>
          <w:bCs/>
          <w:color w:val="auto"/>
          <w:sz w:val="32"/>
          <w:szCs w:val="32"/>
          <w:highlight w:val="none"/>
          <w:lang w:val="en-US" w:eastAsia="zh-CN"/>
        </w:rPr>
        <w:t>（四）</w:t>
      </w:r>
      <w:r>
        <w:rPr>
          <w:rFonts w:hint="eastAsia" w:ascii="仿宋" w:hAnsi="仿宋" w:eastAsia="仿宋" w:cs="仿宋"/>
          <w:b w:val="0"/>
          <w:bCs/>
          <w:color w:val="auto"/>
          <w:sz w:val="32"/>
          <w:szCs w:val="32"/>
          <w:highlight w:val="none"/>
          <w:lang w:val="en-US" w:eastAsia="zh-CN"/>
        </w:rPr>
        <w:t>协助基金设立部门对基金管理人进行监督，督促基金管理人完成相关工作。</w:t>
      </w:r>
    </w:p>
    <w:p>
      <w:pPr>
        <w:pStyle w:val="10"/>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left="0" w:firstLine="640" w:firstLineChars="200"/>
        <w:jc w:val="both"/>
        <w:textAlignment w:val="auto"/>
        <w:rPr>
          <w:rFonts w:hint="eastAsia" w:ascii="仿宋" w:hAnsi="仿宋" w:eastAsia="仿宋" w:cs="仿宋"/>
          <w:bCs/>
          <w:color w:val="auto"/>
          <w:sz w:val="32"/>
          <w:szCs w:val="32"/>
          <w:highlight w:val="none"/>
        </w:rPr>
      </w:pPr>
      <w:r>
        <w:rPr>
          <w:rStyle w:val="14"/>
          <w:rFonts w:hint="eastAsia" w:ascii="黑体" w:hAnsi="黑体" w:eastAsia="黑体" w:cs="黑体"/>
          <w:b w:val="0"/>
          <w:bCs/>
          <w:color w:val="auto"/>
          <w:sz w:val="32"/>
          <w:szCs w:val="32"/>
          <w:highlight w:val="none"/>
          <w:lang w:val="en-US" w:eastAsia="zh-CN"/>
        </w:rPr>
        <w:t>第二十五条</w:t>
      </w:r>
      <w:r>
        <w:rPr>
          <w:rFonts w:hint="eastAsia" w:ascii="仿宋" w:hAnsi="仿宋" w:eastAsia="仿宋" w:cs="仿宋"/>
          <w:bCs/>
          <w:color w:val="auto"/>
          <w:sz w:val="32"/>
          <w:szCs w:val="32"/>
          <w:highlight w:val="none"/>
          <w:lang w:val="en-US" w:eastAsia="zh-CN"/>
        </w:rPr>
        <w:t xml:space="preserve">  财政部门向政府出资受托管理机构支付日常</w:t>
      </w:r>
      <w:r>
        <w:rPr>
          <w:rFonts w:hint="eastAsia" w:ascii="仿宋" w:hAnsi="仿宋" w:eastAsia="仿宋" w:cs="仿宋"/>
          <w:bCs/>
          <w:color w:val="auto"/>
          <w:spacing w:val="6"/>
          <w:sz w:val="32"/>
          <w:szCs w:val="32"/>
          <w:highlight w:val="none"/>
          <w:lang w:val="en-US" w:eastAsia="zh-CN"/>
        </w:rPr>
        <w:t>管理费，将管理费纳入年度预算，依据基金考核评价结果情况，</w:t>
      </w:r>
      <w:r>
        <w:rPr>
          <w:rFonts w:hint="eastAsia" w:ascii="仿宋" w:hAnsi="仿宋" w:eastAsia="仿宋" w:cs="仿宋"/>
          <w:bCs/>
          <w:color w:val="auto"/>
          <w:sz w:val="32"/>
          <w:szCs w:val="32"/>
          <w:highlight w:val="none"/>
          <w:lang w:val="en-US" w:eastAsia="zh-CN"/>
        </w:rPr>
        <w:t>从严从紧予以核定拨付。</w:t>
      </w:r>
      <w:r>
        <w:rPr>
          <w:rFonts w:hint="eastAsia" w:ascii="仿宋" w:hAnsi="仿宋" w:eastAsia="仿宋" w:cs="仿宋"/>
          <w:bCs/>
          <w:color w:val="auto"/>
          <w:sz w:val="32"/>
          <w:szCs w:val="32"/>
          <w:highlight w:val="none"/>
        </w:rPr>
        <w:t>管理费</w:t>
      </w:r>
      <w:r>
        <w:rPr>
          <w:rFonts w:hint="eastAsia" w:ascii="仿宋" w:hAnsi="仿宋" w:eastAsia="仿宋" w:cs="仿宋"/>
          <w:bCs/>
          <w:color w:val="auto"/>
          <w:sz w:val="32"/>
          <w:szCs w:val="32"/>
          <w:highlight w:val="none"/>
          <w:lang w:val="en-US" w:eastAsia="zh-CN"/>
        </w:rPr>
        <w:t>提取基数为</w:t>
      </w:r>
      <w:r>
        <w:rPr>
          <w:rFonts w:hint="eastAsia" w:ascii="仿宋" w:hAnsi="仿宋" w:eastAsia="仿宋" w:cs="仿宋"/>
          <w:bCs/>
          <w:color w:val="auto"/>
          <w:sz w:val="32"/>
          <w:szCs w:val="32"/>
          <w:highlight w:val="none"/>
        </w:rPr>
        <w:t>当年财政资金已投资尚未收回</w:t>
      </w:r>
      <w:r>
        <w:rPr>
          <w:rFonts w:hint="eastAsia" w:ascii="仿宋" w:hAnsi="仿宋" w:eastAsia="仿宋" w:cs="仿宋"/>
          <w:bCs/>
          <w:color w:val="auto"/>
          <w:sz w:val="32"/>
          <w:szCs w:val="32"/>
          <w:highlight w:val="none"/>
          <w:lang w:val="en-US" w:eastAsia="zh-CN"/>
        </w:rPr>
        <w:t>金额，费</w:t>
      </w:r>
      <w:r>
        <w:rPr>
          <w:rFonts w:hint="eastAsia" w:ascii="仿宋" w:hAnsi="仿宋" w:eastAsia="仿宋" w:cs="仿宋"/>
          <w:bCs/>
          <w:color w:val="auto"/>
          <w:sz w:val="32"/>
          <w:szCs w:val="32"/>
          <w:highlight w:val="none"/>
        </w:rPr>
        <w:t>率原则上不高于1%。</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二十六</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pacing w:val="-6"/>
          <w:sz w:val="32"/>
          <w:szCs w:val="32"/>
        </w:rPr>
        <w:t>基金设立部门应</w:t>
      </w:r>
      <w:r>
        <w:rPr>
          <w:rFonts w:hint="eastAsia" w:ascii="仿宋" w:hAnsi="仿宋" w:eastAsia="仿宋" w:cs="仿宋"/>
          <w:bCs/>
          <w:color w:val="auto"/>
          <w:spacing w:val="-6"/>
          <w:sz w:val="32"/>
          <w:szCs w:val="32"/>
          <w:lang w:eastAsia="zh-CN"/>
        </w:rPr>
        <w:t>当</w:t>
      </w:r>
      <w:r>
        <w:rPr>
          <w:rFonts w:hint="eastAsia" w:ascii="仿宋" w:hAnsi="仿宋" w:eastAsia="仿宋" w:cs="仿宋"/>
          <w:bCs/>
          <w:color w:val="auto"/>
          <w:spacing w:val="-6"/>
          <w:sz w:val="32"/>
          <w:szCs w:val="32"/>
        </w:rPr>
        <w:t>遵循公正公开、择优原则，</w:t>
      </w:r>
      <w:r>
        <w:rPr>
          <w:rFonts w:hint="eastAsia" w:ascii="仿宋" w:hAnsi="仿宋" w:eastAsia="仿宋" w:cs="仿宋"/>
          <w:bCs/>
          <w:color w:val="auto"/>
          <w:sz w:val="32"/>
          <w:szCs w:val="32"/>
        </w:rPr>
        <w:t>按</w:t>
      </w:r>
      <w:r>
        <w:rPr>
          <w:rFonts w:hint="eastAsia" w:ascii="仿宋" w:hAnsi="仿宋" w:eastAsia="仿宋" w:cs="仿宋"/>
          <w:bCs/>
          <w:color w:val="auto"/>
          <w:spacing w:val="-6"/>
          <w:sz w:val="32"/>
          <w:szCs w:val="32"/>
          <w:lang w:eastAsia="zh-CN"/>
        </w:rPr>
        <w:t>照</w:t>
      </w:r>
      <w:r>
        <w:rPr>
          <w:rFonts w:hint="eastAsia" w:ascii="仿宋" w:hAnsi="仿宋" w:eastAsia="仿宋" w:cs="仿宋"/>
          <w:bCs/>
          <w:color w:val="auto"/>
          <w:spacing w:val="-6"/>
          <w:sz w:val="32"/>
          <w:szCs w:val="32"/>
        </w:rPr>
        <w:t>基金管理人竞选方案、托管人竞选方案选聘基金管理人、托管人。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二十七</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基金管理人应当具备以下条件：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（一）在中国大陆依法设立的公司或合伙企业，实收资本不低于1000万元人民币，在自治区内设立分支机构，有固定的办公场所；</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（二）管理团队稳定，具有良好的职业操守和信誉，并具有国家规定的基金管理资格，在自治区内有至少3人以上稳定的工作人员；</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（三）至少有3名具备3年以上资产管理工作经验的高级管理人员；具有良好信用记录，管理人及其董事、监事、高级管理人员及其他从业人员在最近3年无违纪违法等不良记录；</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（四）有符合要求的营业场所、安全防范设施和与基金管理业务有关的其他设施；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（五）具备严格合理的投资决策程序、风险控制机制以及健全的财务管理制度</w:t>
      </w:r>
      <w:r>
        <w:rPr>
          <w:rFonts w:hint="eastAsia" w:ascii="仿宋" w:hAnsi="仿宋" w:eastAsia="仿宋" w:cs="仿宋"/>
          <w:bCs/>
          <w:color w:val="auto"/>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六）具备中国证券投资基金业协会规定的私募基金管理人资质，按照国家有关规定向主管部门和行业组织履行登记备案手续并接受监督。</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第二十</w:t>
      </w:r>
      <w:r>
        <w:rPr>
          <w:rStyle w:val="14"/>
          <w:rFonts w:hint="eastAsia" w:ascii="黑体" w:hAnsi="黑体" w:eastAsia="黑体" w:cs="黑体"/>
          <w:b w:val="0"/>
          <w:bCs/>
          <w:color w:val="auto"/>
          <w:sz w:val="32"/>
          <w:szCs w:val="32"/>
          <w:highlight w:val="none"/>
          <w:lang w:eastAsia="zh-CN"/>
        </w:rPr>
        <w:t>八</w:t>
      </w:r>
      <w:r>
        <w:rPr>
          <w:rStyle w:val="14"/>
          <w:rFonts w:hint="eastAsia" w:ascii="黑体" w:hAnsi="黑体" w:eastAsia="黑体" w:cs="黑体"/>
          <w:b w:val="0"/>
          <w:bCs/>
          <w:color w:val="auto"/>
          <w:sz w:val="32"/>
          <w:szCs w:val="32"/>
          <w:highlight w:val="none"/>
        </w:rPr>
        <w:t xml:space="preserve">条 </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基金管理人履行以下职责：</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（一）按</w:t>
      </w:r>
      <w:r>
        <w:rPr>
          <w:rFonts w:hint="eastAsia" w:ascii="仿宋" w:hAnsi="仿宋" w:eastAsia="仿宋" w:cs="仿宋"/>
          <w:bCs/>
          <w:color w:val="auto"/>
          <w:sz w:val="32"/>
          <w:szCs w:val="32"/>
          <w:lang w:eastAsia="zh-CN"/>
        </w:rPr>
        <w:t>照</w:t>
      </w:r>
      <w:r>
        <w:rPr>
          <w:rFonts w:hint="eastAsia" w:ascii="仿宋" w:hAnsi="仿宋" w:eastAsia="仿宋" w:cs="仿宋"/>
          <w:bCs/>
          <w:color w:val="auto"/>
          <w:sz w:val="32"/>
          <w:szCs w:val="32"/>
        </w:rPr>
        <w:t>基金章程规定，根据基金决策委员会议定的政策目标，</w:t>
      </w:r>
      <w:r>
        <w:rPr>
          <w:rFonts w:hint="eastAsia" w:ascii="仿宋" w:hAnsi="仿宋" w:eastAsia="仿宋" w:cs="仿宋"/>
          <w:bCs/>
          <w:color w:val="auto"/>
          <w:sz w:val="32"/>
          <w:szCs w:val="32"/>
          <w:lang w:eastAsia="zh-CN"/>
        </w:rPr>
        <w:t>制定投资方案，</w:t>
      </w:r>
      <w:r>
        <w:rPr>
          <w:rFonts w:hint="eastAsia" w:ascii="仿宋" w:hAnsi="仿宋" w:eastAsia="仿宋" w:cs="仿宋"/>
          <w:bCs/>
          <w:color w:val="auto"/>
          <w:sz w:val="32"/>
          <w:szCs w:val="32"/>
        </w:rPr>
        <w:t>履行基金的募资、投资、管理、退出等运行工作</w:t>
      </w:r>
      <w:r>
        <w:rPr>
          <w:rFonts w:hint="eastAsia" w:ascii="仿宋" w:hAnsi="仿宋" w:eastAsia="仿宋" w:cs="仿宋"/>
          <w:bCs/>
          <w:color w:val="auto"/>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（二）按</w:t>
      </w:r>
      <w:r>
        <w:rPr>
          <w:rFonts w:hint="eastAsia" w:ascii="仿宋" w:hAnsi="仿宋" w:eastAsia="仿宋" w:cs="仿宋"/>
          <w:bCs/>
          <w:color w:val="auto"/>
          <w:sz w:val="32"/>
          <w:szCs w:val="32"/>
          <w:lang w:eastAsia="zh-CN"/>
        </w:rPr>
        <w:t>照</w:t>
      </w:r>
      <w:r>
        <w:rPr>
          <w:rFonts w:hint="eastAsia" w:ascii="仿宋" w:hAnsi="仿宋" w:eastAsia="仿宋" w:cs="仿宋"/>
          <w:bCs/>
          <w:color w:val="auto"/>
          <w:sz w:val="32"/>
          <w:szCs w:val="32"/>
        </w:rPr>
        <w:t>基金章程规定</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定期或不定期向基金股东或合伙人披露基金经营运作、基金管理信息服务等方面信息，全面告知基金治理、经营、财务等方面的情况；</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（三）定期编制基金财务报告，经有资质的外部审计机构审核后向基金董事会（持有人大会）报告</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并向</w:t>
      </w:r>
      <w:r>
        <w:rPr>
          <w:rFonts w:hint="eastAsia" w:ascii="仿宋" w:hAnsi="仿宋" w:eastAsia="仿宋" w:cs="仿宋"/>
          <w:bCs/>
          <w:color w:val="auto"/>
          <w:sz w:val="32"/>
          <w:szCs w:val="32"/>
          <w:highlight w:val="none"/>
          <w:lang w:val="en-US" w:eastAsia="zh-CN"/>
        </w:rPr>
        <w:t>政府出资受托管理机</w:t>
      </w:r>
      <w:r>
        <w:rPr>
          <w:rFonts w:hint="eastAsia" w:ascii="仿宋" w:hAnsi="仿宋" w:eastAsia="仿宋" w:cs="仿宋"/>
          <w:bCs/>
          <w:color w:val="auto"/>
          <w:sz w:val="32"/>
          <w:szCs w:val="32"/>
          <w:lang w:val="en-US" w:eastAsia="zh-CN"/>
        </w:rPr>
        <w:t>构</w:t>
      </w:r>
      <w:r>
        <w:rPr>
          <w:rFonts w:hint="eastAsia" w:ascii="仿宋" w:hAnsi="仿宋" w:eastAsia="仿宋" w:cs="仿宋"/>
          <w:bCs/>
          <w:color w:val="auto"/>
          <w:sz w:val="32"/>
          <w:szCs w:val="32"/>
        </w:rPr>
        <w:t>提交年度报告；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（四）基金章程、基金管理协议约定的其他职责。</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lang w:val="en-US" w:eastAsia="zh-CN"/>
        </w:rPr>
        <w:t xml:space="preserve">第二十九条  </w:t>
      </w:r>
      <w:r>
        <w:rPr>
          <w:rFonts w:hint="eastAsia" w:ascii="仿宋" w:hAnsi="仿宋" w:eastAsia="仿宋" w:cs="仿宋"/>
          <w:bCs/>
          <w:color w:val="auto"/>
          <w:sz w:val="32"/>
          <w:szCs w:val="32"/>
        </w:rPr>
        <w:t>政府投资基金须在招募说明书、基金公司章程或基金合伙协议、委托管理协议等法律文件中，明确基金收益构成、分配方式、退出方式，合理确定基金管理人管理费和业绩报酬等其他需要由基金承担的有关费用标准</w:t>
      </w:r>
      <w:r>
        <w:rPr>
          <w:rFonts w:hint="eastAsia" w:ascii="仿宋" w:hAnsi="仿宋" w:eastAsia="仿宋" w:cs="仿宋"/>
          <w:bCs/>
          <w:color w:val="auto"/>
          <w:sz w:val="32"/>
          <w:szCs w:val="32"/>
          <w:highlight w:val="none"/>
          <w:lang w:val="en-US" w:eastAsia="zh-CN"/>
        </w:rPr>
        <w:t>和年度支付比例</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rPr>
        <w:t>基金管理人</w:t>
      </w:r>
      <w:r>
        <w:rPr>
          <w:rFonts w:hint="eastAsia" w:ascii="仿宋" w:hAnsi="仿宋" w:eastAsia="仿宋" w:cs="仿宋"/>
          <w:bCs/>
          <w:color w:val="auto"/>
          <w:sz w:val="32"/>
          <w:szCs w:val="32"/>
          <w:highlight w:val="none"/>
        </w:rPr>
        <w:t>管理费应</w:t>
      </w:r>
      <w:r>
        <w:rPr>
          <w:rFonts w:hint="eastAsia" w:ascii="仿宋" w:hAnsi="仿宋" w:eastAsia="仿宋" w:cs="仿宋"/>
          <w:bCs/>
          <w:color w:val="auto"/>
          <w:sz w:val="32"/>
          <w:szCs w:val="32"/>
          <w:highlight w:val="none"/>
          <w:lang w:eastAsia="zh-CN"/>
        </w:rPr>
        <w:t>当</w:t>
      </w:r>
      <w:r>
        <w:rPr>
          <w:rFonts w:hint="eastAsia" w:ascii="仿宋" w:hAnsi="仿宋" w:eastAsia="仿宋" w:cs="仿宋"/>
          <w:bCs/>
          <w:color w:val="auto"/>
          <w:sz w:val="32"/>
          <w:szCs w:val="32"/>
          <w:highlight w:val="none"/>
        </w:rPr>
        <w:t>与绩效评价、职责履行情况、基金实际运行情况</w:t>
      </w:r>
      <w:r>
        <w:rPr>
          <w:rFonts w:hint="eastAsia" w:ascii="仿宋" w:hAnsi="仿宋" w:eastAsia="仿宋" w:cs="仿宋"/>
          <w:bCs/>
          <w:color w:val="auto"/>
          <w:sz w:val="32"/>
          <w:szCs w:val="32"/>
          <w:highlight w:val="none"/>
          <w:lang w:eastAsia="zh-CN"/>
        </w:rPr>
        <w:t>、跟投比例</w:t>
      </w:r>
      <w:r>
        <w:rPr>
          <w:rFonts w:hint="eastAsia" w:ascii="仿宋" w:hAnsi="仿宋" w:eastAsia="仿宋" w:cs="仿宋"/>
          <w:bCs/>
          <w:color w:val="auto"/>
          <w:sz w:val="32"/>
          <w:szCs w:val="32"/>
          <w:highlight w:val="none"/>
        </w:rPr>
        <w:t>等挂钩，母基金投资期管理费</w:t>
      </w:r>
      <w:r>
        <w:rPr>
          <w:rFonts w:hint="eastAsia" w:ascii="仿宋" w:hAnsi="仿宋" w:eastAsia="仿宋" w:cs="仿宋"/>
          <w:bCs/>
          <w:color w:val="auto"/>
          <w:sz w:val="32"/>
          <w:szCs w:val="32"/>
          <w:highlight w:val="none"/>
          <w:lang w:val="en-US" w:eastAsia="zh-CN"/>
        </w:rPr>
        <w:t>计提基数为</w:t>
      </w:r>
      <w:r>
        <w:rPr>
          <w:rFonts w:hint="eastAsia" w:ascii="仿宋" w:hAnsi="仿宋" w:eastAsia="仿宋" w:cs="仿宋"/>
          <w:bCs/>
          <w:color w:val="auto"/>
          <w:sz w:val="32"/>
          <w:szCs w:val="32"/>
          <w:highlight w:val="none"/>
        </w:rPr>
        <w:t>已投未退的投资金额</w:t>
      </w:r>
      <w:r>
        <w:rPr>
          <w:rFonts w:hint="eastAsia" w:ascii="仿宋" w:hAnsi="仿宋" w:eastAsia="仿宋" w:cs="仿宋"/>
          <w:bCs/>
          <w:color w:val="auto"/>
          <w:sz w:val="32"/>
          <w:szCs w:val="32"/>
          <w:highlight w:val="none"/>
          <w:lang w:val="en-US" w:eastAsia="zh-CN"/>
        </w:rPr>
        <w:t>（不包含成立子基金出资金额），费</w:t>
      </w:r>
      <w:r>
        <w:rPr>
          <w:rFonts w:hint="eastAsia" w:ascii="仿宋" w:hAnsi="仿宋" w:eastAsia="仿宋" w:cs="仿宋"/>
          <w:bCs/>
          <w:color w:val="auto"/>
          <w:sz w:val="32"/>
          <w:szCs w:val="32"/>
          <w:highlight w:val="none"/>
        </w:rPr>
        <w:t>率不高于1%</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退出期管理费</w:t>
      </w:r>
      <w:r>
        <w:rPr>
          <w:rFonts w:hint="eastAsia" w:ascii="仿宋" w:hAnsi="仿宋" w:eastAsia="仿宋" w:cs="仿宋"/>
          <w:bCs/>
          <w:color w:val="auto"/>
          <w:sz w:val="32"/>
          <w:szCs w:val="32"/>
          <w:highlight w:val="none"/>
          <w:lang w:val="en-US" w:eastAsia="zh-CN"/>
        </w:rPr>
        <w:t>计提基数为</w:t>
      </w:r>
      <w:r>
        <w:rPr>
          <w:rFonts w:hint="eastAsia" w:ascii="仿宋" w:hAnsi="仿宋" w:eastAsia="仿宋" w:cs="仿宋"/>
          <w:bCs/>
          <w:color w:val="auto"/>
          <w:sz w:val="32"/>
          <w:szCs w:val="32"/>
          <w:highlight w:val="none"/>
        </w:rPr>
        <w:t>已投未退的投资金额，</w:t>
      </w:r>
      <w:r>
        <w:rPr>
          <w:rFonts w:hint="eastAsia" w:ascii="仿宋" w:hAnsi="仿宋" w:eastAsia="仿宋" w:cs="仿宋"/>
          <w:bCs/>
          <w:color w:val="auto"/>
          <w:sz w:val="32"/>
          <w:szCs w:val="32"/>
          <w:highlight w:val="none"/>
          <w:lang w:eastAsia="zh-CN"/>
        </w:rPr>
        <w:t>费率</w:t>
      </w:r>
      <w:r>
        <w:rPr>
          <w:rFonts w:hint="eastAsia" w:ascii="仿宋" w:hAnsi="仿宋" w:eastAsia="仿宋" w:cs="仿宋"/>
          <w:bCs/>
          <w:color w:val="auto"/>
          <w:sz w:val="32"/>
          <w:szCs w:val="32"/>
          <w:highlight w:val="none"/>
        </w:rPr>
        <w:t>比例减半收取。子基金管理</w:t>
      </w:r>
      <w:r>
        <w:rPr>
          <w:rFonts w:hint="eastAsia" w:ascii="仿宋" w:hAnsi="仿宋" w:eastAsia="仿宋" w:cs="仿宋"/>
          <w:bCs/>
          <w:color w:val="auto"/>
          <w:sz w:val="32"/>
          <w:szCs w:val="32"/>
          <w:highlight w:val="none"/>
          <w:lang w:val="en-US" w:eastAsia="zh-CN"/>
        </w:rPr>
        <w:t>费的计提标准和</w:t>
      </w:r>
      <w:r>
        <w:rPr>
          <w:rFonts w:hint="eastAsia" w:ascii="仿宋" w:hAnsi="仿宋" w:eastAsia="仿宋" w:cs="仿宋"/>
          <w:bCs/>
          <w:color w:val="auto"/>
          <w:sz w:val="32"/>
          <w:szCs w:val="32"/>
          <w:highlight w:val="none"/>
        </w:rPr>
        <w:t>费率</w:t>
      </w:r>
      <w:r>
        <w:rPr>
          <w:rFonts w:hint="eastAsia" w:ascii="仿宋" w:hAnsi="仿宋" w:eastAsia="仿宋" w:cs="仿宋"/>
          <w:bCs/>
          <w:color w:val="auto"/>
          <w:sz w:val="32"/>
          <w:szCs w:val="32"/>
          <w:highlight w:val="none"/>
          <w:lang w:val="en-US" w:eastAsia="zh-CN"/>
        </w:rPr>
        <w:t>原则上不高于母基金。</w:t>
      </w:r>
      <w:r>
        <w:rPr>
          <w:rFonts w:hint="eastAsia" w:ascii="仿宋" w:hAnsi="仿宋" w:eastAsia="仿宋" w:cs="仿宋"/>
          <w:bCs/>
          <w:color w:val="auto"/>
          <w:sz w:val="32"/>
          <w:szCs w:val="32"/>
          <w:highlight w:val="none"/>
        </w:rPr>
        <w:t>母基金延长期不收取管理费。</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三十</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政府投资基金须签订托管协议，基金托管人</w:t>
      </w:r>
      <w:r>
        <w:rPr>
          <w:rFonts w:hint="eastAsia" w:ascii="仿宋" w:hAnsi="仿宋" w:eastAsia="仿宋" w:cs="仿宋"/>
          <w:bCs/>
          <w:color w:val="auto"/>
          <w:sz w:val="32"/>
          <w:szCs w:val="32"/>
          <w:lang w:eastAsia="zh-CN"/>
        </w:rPr>
        <w:t>为</w:t>
      </w:r>
      <w:r>
        <w:rPr>
          <w:rFonts w:hint="eastAsia" w:ascii="仿宋" w:hAnsi="仿宋" w:eastAsia="仿宋" w:cs="仿宋"/>
          <w:bCs/>
          <w:color w:val="auto"/>
          <w:sz w:val="32"/>
          <w:szCs w:val="32"/>
        </w:rPr>
        <w:t>依法设立的商业银行，按照协议约定对基金进行托管。基金托管人应当具备以下条件：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（一）净资产和风险控制指标符合有关规定；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（二）设有专门的基金托管部门；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（三）取得基金从业资格的专职人员达到法定人数；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（四）有安全保管基金财产的条件；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（五）有安全高效的清算、交割系统；</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（六）有符合要求的营业场所、安全防范设施和与基金托管业务有关的其他设施；</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（七）有完善的内部稽核监控制度和风险控制制度；</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（八）法律、法规规定的和经国务院证券监督管理机构、国务院银行业监督管理机构规定的其他条件。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三十一</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基金托管人履行以下职责：</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（一）安全保管所托管基金的全部资产，基金托管人须将受托管理的基金资产与其自有资产严格分开，对不同基金分别设置账户，实行分账管理；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（二）执行基金管理人发出的投资指令，负责基金名下的资金往来；</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（三）根据托管协议，发现基金管理人违反法律法规、公司章程或合伙协议、委托管理协议、基金董事会（持有人大</w:t>
      </w:r>
      <w:r>
        <w:rPr>
          <w:rFonts w:hint="eastAsia" w:ascii="仿宋" w:hAnsi="仿宋" w:eastAsia="仿宋" w:cs="仿宋"/>
          <w:bCs/>
          <w:color w:val="auto"/>
          <w:spacing w:val="-6"/>
          <w:sz w:val="32"/>
          <w:szCs w:val="32"/>
        </w:rPr>
        <w:t>会）决议的投资指令，不予执行并及时向相关部门报告；对已经造成违反法律法规的投资行为，应当及时向相关部门报告</w:t>
      </w:r>
      <w:r>
        <w:rPr>
          <w:rFonts w:hint="eastAsia" w:ascii="仿宋" w:hAnsi="仿宋" w:eastAsia="仿宋" w:cs="仿宋"/>
          <w:bCs/>
          <w:color w:val="auto"/>
          <w:sz w:val="32"/>
          <w:szCs w:val="32"/>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（四）出具基金托管报告，向基金董事会（持有人大会）报告</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并向</w:t>
      </w:r>
      <w:r>
        <w:rPr>
          <w:rFonts w:hint="eastAsia" w:ascii="仿宋" w:hAnsi="仿宋" w:eastAsia="仿宋" w:cs="仿宋"/>
          <w:bCs/>
          <w:color w:val="auto"/>
          <w:sz w:val="32"/>
          <w:szCs w:val="32"/>
          <w:highlight w:val="none"/>
          <w:lang w:val="en-US" w:eastAsia="zh-CN"/>
        </w:rPr>
        <w:t>政府出资受托管理机构</w:t>
      </w:r>
      <w:r>
        <w:rPr>
          <w:rFonts w:hint="eastAsia" w:ascii="仿宋" w:hAnsi="仿宋" w:eastAsia="仿宋" w:cs="仿宋"/>
          <w:bCs/>
          <w:color w:val="auto"/>
          <w:sz w:val="32"/>
          <w:szCs w:val="32"/>
        </w:rPr>
        <w:t>提交年度报告；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（五）托管协议规定的其他职责。</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第六章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 xml:space="preserve"> 政府投资基金的运作和风险控制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三十二</w:t>
      </w:r>
      <w:r>
        <w:rPr>
          <w:rStyle w:val="14"/>
          <w:rFonts w:hint="eastAsia" w:ascii="黑体" w:hAnsi="黑体" w:eastAsia="黑体" w:cs="黑体"/>
          <w:b w:val="0"/>
          <w:bCs/>
          <w:color w:val="auto"/>
          <w:sz w:val="32"/>
          <w:szCs w:val="32"/>
          <w:highlight w:val="none"/>
        </w:rPr>
        <w:t>条</w:t>
      </w:r>
      <w:r>
        <w:rPr>
          <w:rStyle w:val="14"/>
          <w:rFonts w:hint="eastAsia" w:ascii="黑体" w:hAnsi="黑体" w:eastAsia="黑体" w:cs="黑体"/>
          <w:b w:val="0"/>
          <w:bCs/>
          <w:color w:val="auto"/>
          <w:sz w:val="32"/>
          <w:szCs w:val="32"/>
          <w:highlight w:val="none"/>
          <w:lang w:val="en-US" w:eastAsia="zh-CN"/>
        </w:rPr>
        <w:t xml:space="preserve">  </w:t>
      </w:r>
      <w:r>
        <w:rPr>
          <w:rFonts w:hint="eastAsia" w:ascii="仿宋" w:hAnsi="仿宋" w:eastAsia="仿宋" w:cs="仿宋"/>
          <w:bCs/>
          <w:color w:val="auto"/>
          <w:sz w:val="32"/>
          <w:szCs w:val="32"/>
        </w:rPr>
        <w:t>政府投资基金应当按照“政府引导、市场运作、科学决策、防范风险”的原则进行投资运作，自主经营，自负盈亏。遵照财政预算和财务管理等相关法律法规，建立健全内部控制和外部监管制度，建立投资决策和风险约束机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三十三</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pacing w:val="-6"/>
          <w:sz w:val="32"/>
          <w:szCs w:val="32"/>
        </w:rPr>
        <w:t>政府投资基金募资、投资、投后管理、清算、</w:t>
      </w:r>
      <w:r>
        <w:rPr>
          <w:rFonts w:hint="eastAsia" w:ascii="仿宋" w:hAnsi="仿宋" w:eastAsia="仿宋" w:cs="仿宋"/>
          <w:bCs/>
          <w:color w:val="auto"/>
          <w:sz w:val="32"/>
          <w:szCs w:val="32"/>
        </w:rPr>
        <w:t>退</w:t>
      </w:r>
      <w:r>
        <w:rPr>
          <w:rFonts w:hint="eastAsia" w:ascii="仿宋" w:hAnsi="仿宋" w:eastAsia="仿宋" w:cs="仿宋"/>
          <w:bCs/>
          <w:color w:val="auto"/>
          <w:spacing w:val="6"/>
          <w:sz w:val="32"/>
          <w:szCs w:val="32"/>
        </w:rPr>
        <w:t>出等采取市场化运作，坚持市场决定资源配置，坚持有效监管，</w:t>
      </w:r>
      <w:r>
        <w:rPr>
          <w:rFonts w:hint="eastAsia" w:ascii="仿宋" w:hAnsi="仿宋" w:eastAsia="仿宋" w:cs="仿宋"/>
          <w:bCs/>
          <w:color w:val="auto"/>
          <w:sz w:val="32"/>
          <w:szCs w:val="32"/>
        </w:rPr>
        <w:t>政府及所属部门不得参与基金日常管理事务。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strike/>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三十四</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基金托管</w:t>
      </w:r>
      <w:r>
        <w:rPr>
          <w:rFonts w:hint="eastAsia" w:ascii="仿宋" w:hAnsi="仿宋" w:eastAsia="仿宋" w:cs="仿宋"/>
          <w:bCs/>
          <w:color w:val="auto"/>
          <w:sz w:val="32"/>
          <w:szCs w:val="32"/>
          <w:highlight w:val="none"/>
          <w:lang w:val="en-US" w:eastAsia="zh-CN"/>
        </w:rPr>
        <w:t>机构</w:t>
      </w:r>
      <w:r>
        <w:rPr>
          <w:rFonts w:hint="eastAsia" w:ascii="仿宋" w:hAnsi="仿宋" w:eastAsia="仿宋" w:cs="仿宋"/>
          <w:bCs/>
          <w:color w:val="auto"/>
          <w:sz w:val="32"/>
          <w:szCs w:val="32"/>
        </w:rPr>
        <w:t>不得作为社会资本出资人参与基金设立。基金管理人与基金托管</w:t>
      </w:r>
      <w:r>
        <w:rPr>
          <w:rFonts w:hint="eastAsia" w:ascii="仿宋" w:hAnsi="仿宋" w:eastAsia="仿宋" w:cs="仿宋"/>
          <w:bCs/>
          <w:color w:val="auto"/>
          <w:sz w:val="32"/>
          <w:szCs w:val="32"/>
          <w:highlight w:val="none"/>
          <w:lang w:val="en-US" w:eastAsia="zh-CN"/>
        </w:rPr>
        <w:t>机构</w:t>
      </w:r>
      <w:r>
        <w:rPr>
          <w:rFonts w:hint="eastAsia" w:ascii="仿宋" w:hAnsi="仿宋" w:eastAsia="仿宋" w:cs="仿宋"/>
          <w:bCs/>
          <w:color w:val="auto"/>
          <w:sz w:val="32"/>
          <w:szCs w:val="32"/>
        </w:rPr>
        <w:t>不得为同一机构或有隶属关系。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Style w:val="14"/>
          <w:rFonts w:hint="eastAsia" w:ascii="仿宋" w:hAnsi="仿宋" w:eastAsia="仿宋" w:cs="仿宋"/>
          <w:b w:val="0"/>
          <w:bCs/>
          <w:color w:val="auto"/>
          <w:sz w:val="32"/>
          <w:szCs w:val="32"/>
          <w:highlight w:val="yellow"/>
          <w:lang w:eastAsia="zh-CN"/>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三十五</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highlight w:val="none"/>
        </w:rPr>
        <w:t>政府投资基金投资在自治区内的实际资金（含投资自治区外企业，该企业以股权方式投资自治区已有或新设企业）不得低于</w:t>
      </w:r>
      <w:r>
        <w:rPr>
          <w:rStyle w:val="14"/>
          <w:rFonts w:hint="eastAsia" w:ascii="仿宋" w:hAnsi="仿宋" w:eastAsia="仿宋" w:cs="仿宋"/>
          <w:b w:val="0"/>
          <w:bCs/>
          <w:color w:val="auto"/>
          <w:sz w:val="32"/>
          <w:szCs w:val="32"/>
        </w:rPr>
        <w:t>实缴资金</w:t>
      </w:r>
      <w:r>
        <w:rPr>
          <w:rStyle w:val="14"/>
          <w:rFonts w:hint="eastAsia" w:ascii="仿宋" w:hAnsi="仿宋" w:eastAsia="仿宋" w:cs="仿宋"/>
          <w:b w:val="0"/>
          <w:bCs/>
          <w:color w:val="auto"/>
          <w:sz w:val="32"/>
          <w:szCs w:val="32"/>
          <w:highlight w:val="none"/>
        </w:rPr>
        <w:t>的80%。投资基金章程、合伙协议、基金协议中约定产业领域的比例不得低于基金募集规模或承诺出资额的60%。对单个企业的投资额不得超过基金资产总值的20%</w:t>
      </w:r>
      <w:r>
        <w:rPr>
          <w:rStyle w:val="14"/>
          <w:rFonts w:hint="eastAsia" w:ascii="仿宋" w:hAnsi="仿宋" w:eastAsia="仿宋" w:cs="仿宋"/>
          <w:b w:val="0"/>
          <w:bCs/>
          <w:color w:val="auto"/>
          <w:sz w:val="32"/>
          <w:szCs w:val="32"/>
          <w:highlight w:val="none"/>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三十六</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政府投资基金</w:t>
      </w:r>
      <w:r>
        <w:rPr>
          <w:rStyle w:val="14"/>
          <w:rFonts w:hint="eastAsia" w:ascii="仿宋" w:hAnsi="仿宋" w:eastAsia="仿宋" w:cs="仿宋"/>
          <w:b w:val="0"/>
          <w:bCs/>
          <w:color w:val="auto"/>
          <w:sz w:val="32"/>
          <w:szCs w:val="32"/>
        </w:rPr>
        <w:t>引导社会资本投资经济社会发展的重点领域和薄弱环节，支持相关产业和领域发展，</w:t>
      </w:r>
      <w:r>
        <w:rPr>
          <w:rFonts w:hint="eastAsia" w:ascii="仿宋" w:hAnsi="仿宋" w:eastAsia="仿宋" w:cs="仿宋"/>
          <w:bCs/>
          <w:color w:val="auto"/>
          <w:sz w:val="32"/>
          <w:szCs w:val="32"/>
        </w:rPr>
        <w:t>不得从事以下</w:t>
      </w:r>
      <w:r>
        <w:rPr>
          <w:rFonts w:hint="eastAsia" w:ascii="仿宋" w:hAnsi="仿宋" w:eastAsia="仿宋" w:cs="仿宋"/>
          <w:bCs/>
          <w:color w:val="auto"/>
          <w:sz w:val="32"/>
          <w:szCs w:val="32"/>
          <w:lang w:eastAsia="zh-CN"/>
        </w:rPr>
        <w:t>业务</w:t>
      </w:r>
      <w:r>
        <w:rPr>
          <w:rFonts w:hint="eastAsia" w:ascii="仿宋" w:hAnsi="仿宋" w:eastAsia="仿宋" w:cs="仿宋"/>
          <w:bCs/>
          <w:color w:val="auto"/>
          <w:sz w:val="32"/>
          <w:szCs w:val="32"/>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（一）明股实债等变相增加政府债务的行为；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（二）融资担保以外的担保、抵押、委托贷款等</w:t>
      </w:r>
      <w:r>
        <w:rPr>
          <w:rFonts w:hint="eastAsia" w:ascii="仿宋" w:hAnsi="仿宋" w:eastAsia="仿宋" w:cs="仿宋"/>
          <w:bCs/>
          <w:color w:val="auto"/>
          <w:sz w:val="32"/>
          <w:szCs w:val="32"/>
          <w:lang w:eastAsia="zh-CN"/>
        </w:rPr>
        <w:t>业务；</w:t>
      </w:r>
      <w:r>
        <w:rPr>
          <w:rFonts w:hint="eastAsia" w:ascii="仿宋" w:hAnsi="仿宋" w:eastAsia="仿宋" w:cs="仿宋"/>
          <w:bCs/>
          <w:color w:val="auto"/>
          <w:sz w:val="32"/>
          <w:szCs w:val="32"/>
          <w:lang w:val="en-US" w:eastAsia="zh-CN"/>
        </w:rPr>
        <w:t xml:space="preserve"> </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（三）投资公开交易类股票（以并购重组为目的除外）、期货、房地产、证券投资基金、信托产品、非保本型理财产品、保险计划及其他金融衍生品；</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四）向任何第三方提供赞助、捐赠（经批准的公益性捐赠除外）；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pacing w:val="-11"/>
          <w:sz w:val="32"/>
          <w:szCs w:val="32"/>
        </w:rPr>
      </w:pPr>
      <w:r>
        <w:rPr>
          <w:rFonts w:hint="eastAsia" w:ascii="仿宋" w:hAnsi="仿宋" w:eastAsia="仿宋" w:cs="仿宋"/>
          <w:bCs/>
          <w:color w:val="auto"/>
          <w:sz w:val="32"/>
          <w:szCs w:val="32"/>
        </w:rPr>
        <w:t>（五）</w:t>
      </w:r>
      <w:r>
        <w:rPr>
          <w:rFonts w:hint="eastAsia" w:ascii="仿宋" w:hAnsi="仿宋" w:eastAsia="仿宋" w:cs="仿宋"/>
          <w:bCs/>
          <w:color w:val="auto"/>
          <w:spacing w:val="-11"/>
          <w:sz w:val="32"/>
          <w:szCs w:val="32"/>
        </w:rPr>
        <w:t>吸收或变相吸收存款，或向第三方提供贷款和资金拆借；</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（六）承担无限连带责任的对外投资；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（七）发行信托或集合理财产品募集资金；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（八）</w:t>
      </w:r>
      <w:r>
        <w:rPr>
          <w:rFonts w:hint="eastAsia" w:ascii="仿宋" w:hAnsi="仿宋" w:eastAsia="仿宋" w:cs="仿宋"/>
          <w:bCs/>
          <w:color w:val="auto"/>
          <w:sz w:val="32"/>
          <w:szCs w:val="32"/>
          <w:lang w:eastAsia="zh-CN"/>
        </w:rPr>
        <w:t>投资</w:t>
      </w:r>
      <w:r>
        <w:rPr>
          <w:rFonts w:hint="eastAsia" w:ascii="仿宋" w:hAnsi="仿宋" w:eastAsia="仿宋" w:cs="仿宋"/>
          <w:bCs/>
          <w:color w:val="auto"/>
          <w:sz w:val="32"/>
          <w:szCs w:val="32"/>
        </w:rPr>
        <w:t>国家政策明令禁止的领域和行业；</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（九）法律法规禁止从事的业务。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Style w:val="14"/>
          <w:rFonts w:hint="eastAsia" w:ascii="仿宋" w:hAnsi="仿宋" w:eastAsia="仿宋" w:cs="仿宋"/>
          <w:b w:val="0"/>
          <w:bCs/>
          <w:color w:val="auto"/>
          <w:sz w:val="32"/>
          <w:szCs w:val="32"/>
          <w:highlight w:val="none"/>
          <w:lang w:eastAsia="zh-CN"/>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w:t>
      </w:r>
      <w:r>
        <w:rPr>
          <w:rStyle w:val="14"/>
          <w:rFonts w:hint="eastAsia" w:ascii="黑体" w:hAnsi="黑体" w:eastAsia="黑体" w:cs="黑体"/>
          <w:b w:val="0"/>
          <w:bCs/>
          <w:color w:val="auto"/>
          <w:sz w:val="32"/>
          <w:szCs w:val="32"/>
          <w:highlight w:val="none"/>
          <w:lang w:val="en-US" w:eastAsia="zh-CN"/>
        </w:rPr>
        <w:t>第三十七条</w:t>
      </w:r>
      <w:r>
        <w:rPr>
          <w:rStyle w:val="14"/>
          <w:rFonts w:hint="eastAsia" w:ascii="仿宋" w:hAnsi="仿宋" w:eastAsia="仿宋" w:cs="仿宋"/>
          <w:b w:val="0"/>
          <w:bCs/>
          <w:color w:val="auto"/>
          <w:sz w:val="32"/>
          <w:szCs w:val="32"/>
          <w:lang w:val="en-US" w:eastAsia="zh-CN"/>
        </w:rPr>
        <w:t xml:space="preserve">  </w:t>
      </w:r>
      <w:r>
        <w:rPr>
          <w:rStyle w:val="14"/>
          <w:rFonts w:hint="eastAsia" w:ascii="仿宋" w:hAnsi="仿宋" w:eastAsia="仿宋" w:cs="仿宋"/>
          <w:b w:val="0"/>
          <w:bCs/>
          <w:color w:val="auto"/>
          <w:sz w:val="32"/>
          <w:szCs w:val="32"/>
          <w:highlight w:val="none"/>
        </w:rPr>
        <w:t>基金管理人及其从业人员不得利用基金财产或职务之便，以向政府投资基金、基金投资标的及其关联方收取咨询费、手续费、财务顾问费等名义，为自身或者投资者以外的人谋取非法利益、进行利益输送</w:t>
      </w:r>
      <w:r>
        <w:rPr>
          <w:rStyle w:val="14"/>
          <w:rFonts w:hint="eastAsia" w:ascii="仿宋" w:hAnsi="仿宋" w:eastAsia="仿宋" w:cs="仿宋"/>
          <w:b w:val="0"/>
          <w:bCs/>
          <w:color w:val="auto"/>
          <w:sz w:val="32"/>
          <w:szCs w:val="32"/>
          <w:highlight w:val="none"/>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第三十</w:t>
      </w:r>
      <w:r>
        <w:rPr>
          <w:rStyle w:val="14"/>
          <w:rFonts w:hint="eastAsia" w:ascii="黑体" w:hAnsi="黑体" w:eastAsia="黑体" w:cs="黑体"/>
          <w:b w:val="0"/>
          <w:bCs/>
          <w:color w:val="auto"/>
          <w:sz w:val="32"/>
          <w:szCs w:val="32"/>
          <w:highlight w:val="none"/>
          <w:lang w:eastAsia="zh-CN"/>
        </w:rPr>
        <w:t>八</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各级人民政府不得以借贷资金、地方政府债券资金出资设立或注资各类投资基金，严禁利用政府投资基金等方式违法违规变相举债。严禁以政府购买服务的形式向金融机构、融资租赁公司等非金融机构融资发起政府投资基金；不得以任何方式虚构或超越权限签订应付（收）账款合同，并帮助</w:t>
      </w:r>
      <w:r>
        <w:rPr>
          <w:rFonts w:hint="eastAsia" w:ascii="仿宋" w:hAnsi="仿宋" w:eastAsia="仿宋" w:cs="仿宋"/>
          <w:bCs/>
          <w:color w:val="auto"/>
          <w:sz w:val="32"/>
          <w:szCs w:val="32"/>
          <w:highlight w:val="none"/>
        </w:rPr>
        <w:t>基金</w:t>
      </w:r>
      <w:r>
        <w:rPr>
          <w:rFonts w:hint="eastAsia" w:ascii="仿宋" w:hAnsi="仿宋" w:eastAsia="仿宋" w:cs="仿宋"/>
          <w:bCs/>
          <w:color w:val="auto"/>
          <w:sz w:val="32"/>
          <w:szCs w:val="32"/>
          <w:highlight w:val="none"/>
          <w:lang w:eastAsia="zh-CN"/>
        </w:rPr>
        <w:t>管理人</w:t>
      </w:r>
      <w:r>
        <w:rPr>
          <w:rFonts w:hint="eastAsia" w:ascii="仿宋" w:hAnsi="仿宋" w:eastAsia="仿宋" w:cs="仿宋"/>
          <w:bCs/>
          <w:color w:val="auto"/>
          <w:sz w:val="32"/>
          <w:szCs w:val="32"/>
        </w:rPr>
        <w:t>或政府投资基金融资。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 xml:space="preserve">    第三十</w:t>
      </w:r>
      <w:r>
        <w:rPr>
          <w:rStyle w:val="14"/>
          <w:rFonts w:hint="eastAsia" w:ascii="黑体" w:hAnsi="黑体" w:eastAsia="黑体" w:cs="黑体"/>
          <w:b w:val="0"/>
          <w:bCs/>
          <w:color w:val="auto"/>
          <w:sz w:val="32"/>
          <w:szCs w:val="32"/>
          <w:highlight w:val="none"/>
          <w:lang w:eastAsia="zh-CN"/>
        </w:rPr>
        <w:t>九</w:t>
      </w:r>
      <w:r>
        <w:rPr>
          <w:rStyle w:val="14"/>
          <w:rFonts w:hint="eastAsia" w:ascii="黑体" w:hAnsi="黑体" w:eastAsia="黑体" w:cs="黑体"/>
          <w:b w:val="0"/>
          <w:bCs/>
          <w:color w:val="auto"/>
          <w:sz w:val="32"/>
          <w:szCs w:val="32"/>
          <w:highlight w:val="none"/>
        </w:rPr>
        <w:t>条</w:t>
      </w:r>
      <w:r>
        <w:rPr>
          <w:rStyle w:val="14"/>
          <w:rFonts w:hint="eastAsia" w:ascii="黑体" w:hAnsi="黑体" w:eastAsia="黑体" w:cs="黑体"/>
          <w:b w:val="0"/>
          <w:bCs/>
          <w:color w:val="auto"/>
          <w:sz w:val="32"/>
          <w:szCs w:val="32"/>
          <w:highlight w:val="none"/>
          <w:lang w:val="en-US" w:eastAsia="zh-CN"/>
        </w:rPr>
        <w:t xml:space="preserve"> </w:t>
      </w:r>
      <w:r>
        <w:rPr>
          <w:rStyle w:val="14"/>
          <w:rFonts w:hint="eastAsia" w:ascii="黑体" w:hAnsi="黑体" w:eastAsia="黑体" w:cs="黑体"/>
          <w:b w:val="0"/>
          <w:bCs/>
          <w:color w:val="auto"/>
          <w:spacing w:val="0"/>
          <w:sz w:val="32"/>
          <w:szCs w:val="32"/>
          <w:highlight w:val="none"/>
          <w:lang w:val="en-US" w:eastAsia="zh-CN"/>
        </w:rPr>
        <w:t xml:space="preserve"> </w:t>
      </w:r>
      <w:r>
        <w:rPr>
          <w:rFonts w:hint="eastAsia" w:ascii="仿宋" w:hAnsi="仿宋" w:eastAsia="仿宋" w:cs="仿宋"/>
          <w:bCs/>
          <w:color w:val="auto"/>
          <w:spacing w:val="0"/>
          <w:sz w:val="32"/>
          <w:szCs w:val="32"/>
        </w:rPr>
        <w:t>政府投资基金各出资方应当按照“同股同权、利益共享、风险共担”的原则，明确约定收益处理和亏损负担方式，明确投资回报主要来源于项目收益。</w:t>
      </w:r>
      <w:r>
        <w:rPr>
          <w:rFonts w:hint="eastAsia" w:ascii="仿宋" w:hAnsi="仿宋" w:eastAsia="仿宋" w:cs="仿宋"/>
          <w:bCs/>
          <w:color w:val="auto"/>
          <w:spacing w:val="0"/>
          <w:sz w:val="32"/>
          <w:szCs w:val="32"/>
          <w:lang w:val="en-US" w:eastAsia="zh-CN"/>
        </w:rPr>
        <w:t>对于归属政府的投资收益和利息等，除明确约定继续用于投资基金滚动使用外，应当按照财政国库管理制度有关规定及时足额上缴国库。</w:t>
      </w:r>
      <w:r>
        <w:rPr>
          <w:rFonts w:hint="eastAsia" w:ascii="仿宋" w:hAnsi="仿宋" w:eastAsia="仿宋" w:cs="仿宋"/>
          <w:bCs/>
          <w:color w:val="auto"/>
          <w:spacing w:val="0"/>
          <w:sz w:val="32"/>
          <w:szCs w:val="32"/>
        </w:rPr>
        <w:t>投资基金的亏损应当由出资方共同承担，政府以出资额为限承担有限责任。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pacing w:val="0"/>
          <w:sz w:val="32"/>
          <w:szCs w:val="32"/>
        </w:rPr>
      </w:pPr>
      <w:r>
        <w:rPr>
          <w:rStyle w:val="14"/>
          <w:rFonts w:hint="eastAsia" w:ascii="黑体" w:hAnsi="黑体" w:eastAsia="黑体" w:cs="黑体"/>
          <w:b w:val="0"/>
          <w:bCs/>
          <w:color w:val="auto"/>
          <w:sz w:val="32"/>
          <w:szCs w:val="32"/>
          <w:highlight w:val="none"/>
          <w:lang w:val="en-US" w:eastAsia="zh-CN"/>
        </w:rPr>
        <w:t xml:space="preserve">第四十条  </w:t>
      </w:r>
      <w:r>
        <w:rPr>
          <w:rFonts w:hint="eastAsia" w:ascii="仿宋" w:hAnsi="仿宋" w:eastAsia="仿宋" w:cs="仿宋"/>
          <w:bCs/>
          <w:color w:val="auto"/>
          <w:spacing w:val="0"/>
          <w:sz w:val="32"/>
          <w:szCs w:val="32"/>
        </w:rPr>
        <w:t>为更好地发挥政府出资的引导作用，政府可适当让利，但不得以任何方式承诺回购社会资本方的投资本金，不得以任何方式承担社会资本方投资本金损失，不得以任何方式向社会资本方承诺最低收益，不得对有限合伙制基金等任何股权投资方式额外附加条款变相举债。国务院另有规定的除外。</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四十一</w:t>
      </w:r>
      <w:r>
        <w:rPr>
          <w:rStyle w:val="14"/>
          <w:rFonts w:hint="eastAsia" w:ascii="黑体" w:hAnsi="黑体" w:eastAsia="黑体" w:cs="黑体"/>
          <w:b w:val="0"/>
          <w:bCs/>
          <w:color w:val="auto"/>
          <w:sz w:val="32"/>
          <w:szCs w:val="32"/>
          <w:highlight w:val="none"/>
        </w:rPr>
        <w:t>条</w:t>
      </w:r>
      <w:r>
        <w:rPr>
          <w:rStyle w:val="14"/>
          <w:rFonts w:hint="eastAsia" w:ascii="黑体" w:hAnsi="黑体" w:eastAsia="黑体" w:cs="黑体"/>
          <w:b w:val="0"/>
          <w:bCs/>
          <w:color w:val="auto"/>
          <w:sz w:val="32"/>
          <w:szCs w:val="32"/>
          <w:highlight w:val="none"/>
          <w:lang w:val="en-US" w:eastAsia="zh-CN"/>
        </w:rPr>
        <w:t xml:space="preserve">  </w:t>
      </w:r>
      <w:r>
        <w:rPr>
          <w:rFonts w:hint="eastAsia" w:ascii="仿宋" w:hAnsi="仿宋" w:eastAsia="仿宋" w:cs="仿宋"/>
          <w:bCs/>
          <w:color w:val="auto"/>
          <w:sz w:val="32"/>
          <w:szCs w:val="32"/>
        </w:rPr>
        <w:t>基金章程中</w:t>
      </w:r>
      <w:r>
        <w:rPr>
          <w:rFonts w:hint="eastAsia" w:ascii="仿宋" w:hAnsi="仿宋" w:eastAsia="仿宋" w:cs="仿宋"/>
          <w:bCs/>
          <w:color w:val="auto"/>
          <w:sz w:val="32"/>
          <w:szCs w:val="32"/>
          <w:lang w:val="en-US" w:eastAsia="zh-CN"/>
        </w:rPr>
        <w:t>应当</w:t>
      </w:r>
      <w:r>
        <w:rPr>
          <w:rFonts w:hint="eastAsia" w:ascii="仿宋" w:hAnsi="仿宋" w:eastAsia="仿宋" w:cs="仿宋"/>
          <w:bCs/>
          <w:color w:val="auto"/>
          <w:sz w:val="32"/>
          <w:szCs w:val="32"/>
        </w:rPr>
        <w:t>约定尽职免责条款</w:t>
      </w:r>
      <w:r>
        <w:rPr>
          <w:rFonts w:hint="eastAsia" w:ascii="仿宋" w:hAnsi="仿宋" w:eastAsia="仿宋" w:cs="仿宋"/>
          <w:bCs/>
          <w:color w:val="auto"/>
          <w:sz w:val="32"/>
          <w:szCs w:val="32"/>
          <w:lang w:val="en-US" w:eastAsia="zh-CN"/>
        </w:rPr>
        <w:t>和惩罚机制</w:t>
      </w:r>
      <w:r>
        <w:rPr>
          <w:rFonts w:hint="eastAsia" w:ascii="仿宋" w:hAnsi="仿宋" w:eastAsia="仿宋" w:cs="仿宋"/>
          <w:bCs/>
          <w:color w:val="auto"/>
          <w:sz w:val="32"/>
          <w:szCs w:val="32"/>
        </w:rPr>
        <w:t>，对依法依规</w:t>
      </w:r>
      <w:r>
        <w:rPr>
          <w:rFonts w:hint="eastAsia" w:ascii="仿宋" w:hAnsi="仿宋" w:eastAsia="仿宋" w:cs="仿宋"/>
          <w:bCs/>
          <w:color w:val="auto"/>
          <w:sz w:val="32"/>
          <w:szCs w:val="32"/>
          <w:lang w:eastAsia="zh-CN"/>
        </w:rPr>
        <w:t>履行决策程序</w:t>
      </w:r>
      <w:r>
        <w:rPr>
          <w:rFonts w:hint="eastAsia" w:ascii="仿宋" w:hAnsi="仿宋" w:eastAsia="仿宋" w:cs="仿宋"/>
          <w:bCs/>
          <w:color w:val="auto"/>
          <w:sz w:val="32"/>
          <w:szCs w:val="32"/>
        </w:rPr>
        <w:t>、已履职尽责</w:t>
      </w:r>
      <w:r>
        <w:rPr>
          <w:rFonts w:hint="eastAsia" w:ascii="仿宋" w:hAnsi="仿宋" w:eastAsia="仿宋" w:cs="仿宋"/>
          <w:bCs/>
          <w:color w:val="auto"/>
          <w:sz w:val="32"/>
          <w:szCs w:val="32"/>
          <w:lang w:eastAsia="zh-CN"/>
        </w:rPr>
        <w:t>，因政策变动等因素</w:t>
      </w:r>
      <w:r>
        <w:rPr>
          <w:rFonts w:hint="eastAsia" w:ascii="仿宋" w:hAnsi="仿宋" w:eastAsia="仿宋" w:cs="仿宋"/>
          <w:bCs/>
          <w:color w:val="auto"/>
          <w:sz w:val="32"/>
          <w:szCs w:val="32"/>
        </w:rPr>
        <w:t>导致基金投资失败或损失，未能实现预期目标</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且未谋取私利</w:t>
      </w:r>
      <w:r>
        <w:rPr>
          <w:rFonts w:hint="eastAsia" w:ascii="仿宋" w:hAnsi="仿宋" w:eastAsia="仿宋" w:cs="仿宋"/>
          <w:bCs/>
          <w:color w:val="auto"/>
          <w:sz w:val="32"/>
          <w:szCs w:val="32"/>
          <w:lang w:eastAsia="zh-CN"/>
        </w:rPr>
        <w:t>的</w:t>
      </w:r>
      <w:r>
        <w:rPr>
          <w:rFonts w:hint="eastAsia" w:ascii="仿宋" w:hAnsi="仿宋" w:eastAsia="仿宋" w:cs="仿宋"/>
          <w:bCs/>
          <w:color w:val="auto"/>
          <w:sz w:val="32"/>
          <w:szCs w:val="32"/>
        </w:rPr>
        <w:t>，视具体情况容错免责。</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第七章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政府投资基金的预算管理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四十二</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highlight w:val="none"/>
        </w:rPr>
        <w:t xml:space="preserve">  </w:t>
      </w:r>
      <w:r>
        <w:rPr>
          <w:rFonts w:hint="eastAsia" w:ascii="仿宋" w:hAnsi="仿宋" w:eastAsia="仿宋" w:cs="仿宋"/>
          <w:bCs/>
          <w:color w:val="auto"/>
          <w:sz w:val="32"/>
          <w:szCs w:val="32"/>
        </w:rPr>
        <w:t>政府出资设立投资基金，财政部门应当根据投资基金章程中约定的出资方案和投资基金运作情况，将当年政府出资额纳入年度政府预算，并根据绩效评价结果、基金实缴协议签订情况、年度预算安排情况将政府出资资金拨付到</w:t>
      </w:r>
      <w:r>
        <w:rPr>
          <w:rFonts w:hint="eastAsia" w:ascii="仿宋" w:hAnsi="仿宋" w:eastAsia="仿宋" w:cs="仿宋"/>
          <w:bCs/>
          <w:color w:val="auto"/>
          <w:sz w:val="32"/>
          <w:szCs w:val="32"/>
          <w:lang w:val="en-US" w:eastAsia="zh-CN"/>
        </w:rPr>
        <w:t>政府出资</w:t>
      </w:r>
      <w:r>
        <w:rPr>
          <w:rFonts w:hint="eastAsia" w:ascii="仿宋" w:hAnsi="仿宋" w:eastAsia="仿宋" w:cs="仿宋"/>
          <w:bCs/>
          <w:color w:val="auto"/>
          <w:sz w:val="32"/>
          <w:szCs w:val="32"/>
        </w:rPr>
        <w:t>受</w:t>
      </w:r>
      <w:r>
        <w:rPr>
          <w:rFonts w:hint="eastAsia" w:ascii="仿宋" w:hAnsi="仿宋" w:eastAsia="仿宋" w:cs="仿宋"/>
          <w:bCs/>
          <w:color w:val="auto"/>
          <w:spacing w:val="6"/>
          <w:sz w:val="32"/>
          <w:szCs w:val="32"/>
        </w:rPr>
        <w:t>托管理机构，</w:t>
      </w:r>
      <w:r>
        <w:rPr>
          <w:rFonts w:hint="eastAsia" w:ascii="仿宋" w:hAnsi="仿宋" w:eastAsia="仿宋" w:cs="仿宋"/>
          <w:bCs/>
          <w:color w:val="auto"/>
          <w:spacing w:val="6"/>
          <w:sz w:val="32"/>
          <w:szCs w:val="32"/>
          <w:lang w:val="en-US" w:eastAsia="zh-CN"/>
        </w:rPr>
        <w:t>政府出资</w:t>
      </w:r>
      <w:r>
        <w:rPr>
          <w:rFonts w:hint="eastAsia" w:ascii="仿宋" w:hAnsi="仿宋" w:eastAsia="仿宋" w:cs="仿宋"/>
          <w:bCs/>
          <w:color w:val="auto"/>
          <w:spacing w:val="6"/>
          <w:sz w:val="32"/>
          <w:szCs w:val="32"/>
        </w:rPr>
        <w:t>受托管理机构根据基金章程约定拨付到投资基金。年底政府投资基金预算安排如有闲置</w:t>
      </w:r>
      <w:r>
        <w:rPr>
          <w:rFonts w:hint="eastAsia" w:ascii="仿宋" w:hAnsi="仿宋" w:eastAsia="仿宋" w:cs="仿宋"/>
          <w:bCs/>
          <w:color w:val="auto"/>
          <w:spacing w:val="6"/>
          <w:sz w:val="32"/>
          <w:szCs w:val="32"/>
          <w:lang w:eastAsia="zh-CN"/>
        </w:rPr>
        <w:t>，</w:t>
      </w:r>
      <w:r>
        <w:rPr>
          <w:rFonts w:hint="eastAsia" w:ascii="仿宋" w:hAnsi="仿宋" w:eastAsia="仿宋" w:cs="仿宋"/>
          <w:bCs/>
          <w:color w:val="auto"/>
          <w:spacing w:val="6"/>
          <w:sz w:val="32"/>
          <w:szCs w:val="32"/>
        </w:rPr>
        <w:t>收回财政统筹使用。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四十三</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上级</w:t>
      </w:r>
      <w:r>
        <w:rPr>
          <w:rFonts w:hint="eastAsia" w:ascii="仿宋" w:hAnsi="仿宋" w:eastAsia="仿宋" w:cs="仿宋"/>
          <w:bCs/>
          <w:color w:val="auto"/>
          <w:sz w:val="32"/>
          <w:szCs w:val="32"/>
          <w:lang w:eastAsia="zh-CN"/>
        </w:rPr>
        <w:t>人民</w:t>
      </w:r>
      <w:r>
        <w:rPr>
          <w:rFonts w:hint="eastAsia" w:ascii="仿宋" w:hAnsi="仿宋" w:eastAsia="仿宋" w:cs="仿宋"/>
          <w:bCs/>
          <w:color w:val="auto"/>
          <w:sz w:val="32"/>
          <w:szCs w:val="32"/>
        </w:rPr>
        <w:t>政府可</w:t>
      </w:r>
      <w:r>
        <w:rPr>
          <w:rFonts w:hint="eastAsia" w:ascii="仿宋" w:hAnsi="仿宋" w:eastAsia="仿宋" w:cs="仿宋"/>
          <w:bCs/>
          <w:color w:val="auto"/>
          <w:sz w:val="32"/>
          <w:szCs w:val="32"/>
          <w:lang w:eastAsia="zh-CN"/>
        </w:rPr>
        <w:t>以</w:t>
      </w:r>
      <w:r>
        <w:rPr>
          <w:rFonts w:hint="eastAsia" w:ascii="仿宋" w:hAnsi="仿宋" w:eastAsia="仿宋" w:cs="仿宋"/>
          <w:bCs/>
          <w:color w:val="auto"/>
          <w:sz w:val="32"/>
          <w:szCs w:val="32"/>
        </w:rPr>
        <w:t>通过转移支付支持下级</w:t>
      </w:r>
      <w:r>
        <w:rPr>
          <w:rFonts w:hint="eastAsia" w:ascii="仿宋" w:hAnsi="仿宋" w:eastAsia="仿宋" w:cs="仿宋"/>
          <w:bCs/>
          <w:color w:val="auto"/>
          <w:sz w:val="32"/>
          <w:szCs w:val="32"/>
          <w:lang w:eastAsia="zh-CN"/>
        </w:rPr>
        <w:t>人</w:t>
      </w:r>
      <w:r>
        <w:rPr>
          <w:rFonts w:hint="eastAsia" w:ascii="仿宋" w:hAnsi="仿宋" w:eastAsia="仿宋" w:cs="仿宋"/>
          <w:bCs/>
          <w:color w:val="auto"/>
          <w:spacing w:val="6"/>
          <w:sz w:val="32"/>
          <w:szCs w:val="32"/>
          <w:lang w:eastAsia="zh-CN"/>
        </w:rPr>
        <w:t>民</w:t>
      </w:r>
      <w:r>
        <w:rPr>
          <w:rFonts w:hint="eastAsia" w:ascii="仿宋" w:hAnsi="仿宋" w:eastAsia="仿宋" w:cs="仿宋"/>
          <w:bCs/>
          <w:color w:val="auto"/>
          <w:spacing w:val="6"/>
          <w:sz w:val="32"/>
          <w:szCs w:val="32"/>
        </w:rPr>
        <w:t>政府设立投资基金，也可与下级</w:t>
      </w:r>
      <w:r>
        <w:rPr>
          <w:rFonts w:hint="eastAsia" w:ascii="仿宋" w:hAnsi="仿宋" w:eastAsia="仿宋" w:cs="仿宋"/>
          <w:bCs/>
          <w:color w:val="auto"/>
          <w:spacing w:val="6"/>
          <w:sz w:val="32"/>
          <w:szCs w:val="32"/>
          <w:lang w:eastAsia="zh-CN"/>
        </w:rPr>
        <w:t>人民</w:t>
      </w:r>
      <w:r>
        <w:rPr>
          <w:rFonts w:hint="eastAsia" w:ascii="仿宋" w:hAnsi="仿宋" w:eastAsia="仿宋" w:cs="仿宋"/>
          <w:bCs/>
          <w:color w:val="auto"/>
          <w:spacing w:val="6"/>
          <w:sz w:val="32"/>
          <w:szCs w:val="32"/>
        </w:rPr>
        <w:t>政府共同出资设立投资基金。</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lang w:eastAsia="zh-CN"/>
        </w:rPr>
      </w:pP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四十四</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bCs w:val="0"/>
          <w:color w:val="auto"/>
          <w:sz w:val="32"/>
          <w:szCs w:val="32"/>
        </w:rPr>
        <w:t xml:space="preserve"> </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各级财政部门向政府投资基金拨付资金时，增列当期预算支出，按支出方向通过相应的支出分类科目反映</w:t>
      </w:r>
      <w:r>
        <w:rPr>
          <w:rFonts w:hint="eastAsia" w:ascii="仿宋" w:hAnsi="仿宋" w:eastAsia="仿宋" w:cs="仿宋"/>
          <w:bCs/>
          <w:color w:val="auto"/>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收到投资收益时，作增加当期预算收入处理，通过相关预算收入科目反映</w:t>
      </w:r>
      <w:r>
        <w:rPr>
          <w:rFonts w:hint="eastAsia" w:ascii="仿宋" w:hAnsi="仿宋" w:eastAsia="仿宋" w:cs="仿宋"/>
          <w:bCs/>
          <w:color w:val="auto"/>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w:t>
      </w: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 xml:space="preserve"> 基金清算或退出收回投资时，作冲减当期财政支出处理。</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第八章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政府投资基金的资产管理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四十五</w:t>
      </w:r>
      <w:r>
        <w:rPr>
          <w:rStyle w:val="14"/>
          <w:rFonts w:hint="eastAsia" w:ascii="黑体" w:hAnsi="黑体" w:eastAsia="黑体" w:cs="黑体"/>
          <w:b w:val="0"/>
          <w:bCs/>
          <w:color w:val="auto"/>
          <w:sz w:val="32"/>
          <w:szCs w:val="32"/>
          <w:highlight w:val="none"/>
        </w:rPr>
        <w:t xml:space="preserve">条 </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各级财政部门应当按照《财政总预算会计制度》规定，完整准确反映政府投资基金中政府出资部分形成的资产和权益。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本办法实施前已经设立的政府投资基金</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政府出资受托管理机构</w:t>
      </w:r>
      <w:r>
        <w:rPr>
          <w:rFonts w:hint="eastAsia" w:ascii="仿宋" w:hAnsi="仿宋" w:eastAsia="仿宋" w:cs="仿宋"/>
          <w:bCs/>
          <w:color w:val="auto"/>
          <w:sz w:val="32"/>
          <w:szCs w:val="32"/>
          <w:highlight w:val="none"/>
          <w:lang w:eastAsia="zh-CN"/>
        </w:rPr>
        <w:t>应当</w:t>
      </w:r>
      <w:r>
        <w:rPr>
          <w:rFonts w:hint="eastAsia" w:ascii="仿宋" w:hAnsi="仿宋" w:eastAsia="仿宋" w:cs="仿宋"/>
          <w:bCs/>
          <w:color w:val="auto"/>
          <w:sz w:val="32"/>
          <w:szCs w:val="32"/>
          <w:highlight w:val="none"/>
        </w:rPr>
        <w:t>按照本办法规定</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rPr>
        <w:t>将政府累计投资形</w:t>
      </w:r>
      <w:r>
        <w:rPr>
          <w:rFonts w:hint="eastAsia" w:ascii="仿宋" w:hAnsi="仿宋" w:eastAsia="仿宋" w:cs="仿宋"/>
          <w:bCs/>
          <w:color w:val="auto"/>
          <w:sz w:val="32"/>
          <w:szCs w:val="32"/>
        </w:rPr>
        <w:t>成的资产、权益和应分享的投资收益及时向财政部门报告。财政部门</w:t>
      </w:r>
      <w:r>
        <w:rPr>
          <w:rFonts w:hint="eastAsia" w:ascii="仿宋" w:hAnsi="仿宋" w:eastAsia="仿宋" w:cs="仿宋"/>
          <w:bCs/>
          <w:color w:val="auto"/>
          <w:sz w:val="32"/>
          <w:szCs w:val="32"/>
          <w:lang w:eastAsia="zh-CN"/>
        </w:rPr>
        <w:t>就当</w:t>
      </w:r>
      <w:r>
        <w:rPr>
          <w:rFonts w:hint="eastAsia" w:ascii="仿宋" w:hAnsi="仿宋" w:eastAsia="仿宋" w:cs="仿宋"/>
          <w:bCs/>
          <w:color w:val="auto"/>
          <w:sz w:val="32"/>
          <w:szCs w:val="32"/>
        </w:rPr>
        <w:t>按照本办法和《财政总预算会计制度》要求，相应增加政府资产和权益。</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四十六</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政府应分享的投资损益按权益法进行核算。</w:t>
      </w:r>
      <w:r>
        <w:rPr>
          <w:rFonts w:hint="eastAsia" w:ascii="仿宋" w:hAnsi="仿宋" w:eastAsia="仿宋" w:cs="仿宋"/>
          <w:bCs/>
          <w:color w:val="auto"/>
          <w:sz w:val="32"/>
          <w:szCs w:val="32"/>
          <w:lang w:eastAsia="zh-CN"/>
        </w:rPr>
        <w:t>基金设立部门</w:t>
      </w:r>
      <w:r>
        <w:rPr>
          <w:rFonts w:hint="eastAsia" w:ascii="仿宋" w:hAnsi="仿宋" w:eastAsia="仿宋" w:cs="仿宋"/>
          <w:bCs/>
          <w:color w:val="auto"/>
          <w:sz w:val="32"/>
          <w:szCs w:val="32"/>
        </w:rPr>
        <w:t>应当在年度终了后及时将全年投资收益或亏损情况向本级</w:t>
      </w:r>
      <w:r>
        <w:rPr>
          <w:rFonts w:hint="eastAsia" w:ascii="仿宋" w:hAnsi="仿宋" w:eastAsia="仿宋" w:cs="仿宋"/>
          <w:bCs/>
          <w:color w:val="auto"/>
          <w:sz w:val="32"/>
          <w:szCs w:val="32"/>
          <w:lang w:eastAsia="zh-CN"/>
        </w:rPr>
        <w:t>人民</w:t>
      </w:r>
      <w:r>
        <w:rPr>
          <w:rFonts w:hint="eastAsia" w:ascii="仿宋" w:hAnsi="仿宋" w:eastAsia="仿宋" w:cs="仿宋"/>
          <w:bCs/>
          <w:color w:val="auto"/>
          <w:sz w:val="32"/>
          <w:szCs w:val="32"/>
        </w:rPr>
        <w:t>政府报告，同时抄送财政部门。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四十七</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政府投资基金应当按季度编制资产负债表、损</w:t>
      </w:r>
      <w:r>
        <w:rPr>
          <w:rFonts w:hint="eastAsia" w:ascii="仿宋" w:hAnsi="仿宋" w:eastAsia="仿宋" w:cs="仿宋"/>
          <w:bCs/>
          <w:color w:val="auto"/>
          <w:spacing w:val="11"/>
          <w:sz w:val="32"/>
          <w:szCs w:val="32"/>
        </w:rPr>
        <w:t>益表及现金流量表等报表，并通过财政部报表系统报送财政部门。</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第九章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政府投资基金的绩效评价及监督管理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Style w:val="14"/>
          <w:rFonts w:hint="eastAsia" w:ascii="仿宋" w:hAnsi="仿宋" w:eastAsia="仿宋" w:cs="仿宋"/>
          <w:b w:val="0"/>
          <w:bCs/>
          <w:color w:val="auto"/>
          <w:sz w:val="32"/>
          <w:szCs w:val="32"/>
          <w:highlight w:val="none"/>
          <w:lang w:val="en-US" w:eastAsia="zh-CN"/>
        </w:rPr>
      </w:pPr>
      <w:r>
        <w:rPr>
          <w:rStyle w:val="14"/>
          <w:rFonts w:hint="eastAsia" w:ascii="黑体" w:hAnsi="黑体" w:eastAsia="黑体" w:cs="黑体"/>
          <w:b w:val="0"/>
          <w:bCs/>
          <w:color w:val="auto"/>
          <w:sz w:val="32"/>
          <w:szCs w:val="32"/>
          <w:highlight w:val="none"/>
        </w:rPr>
        <w:t>第四十</w:t>
      </w:r>
      <w:r>
        <w:rPr>
          <w:rStyle w:val="14"/>
          <w:rFonts w:hint="eastAsia" w:ascii="黑体" w:hAnsi="黑体" w:eastAsia="黑体" w:cs="黑体"/>
          <w:b w:val="0"/>
          <w:bCs/>
          <w:color w:val="auto"/>
          <w:sz w:val="32"/>
          <w:szCs w:val="32"/>
          <w:highlight w:val="none"/>
          <w:lang w:eastAsia="zh-CN"/>
        </w:rPr>
        <w:t>八</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highlight w:val="none"/>
          <w:lang w:val="en-US" w:eastAsia="zh-CN"/>
        </w:rPr>
        <w:t xml:space="preserve">  </w:t>
      </w:r>
      <w:r>
        <w:rPr>
          <w:rStyle w:val="14"/>
          <w:rFonts w:hint="eastAsia" w:ascii="仿宋" w:hAnsi="仿宋" w:eastAsia="仿宋" w:cs="仿宋"/>
          <w:b w:val="0"/>
          <w:bCs/>
          <w:color w:val="auto"/>
          <w:sz w:val="32"/>
          <w:szCs w:val="32"/>
        </w:rPr>
        <w:t>财政部门负责建立基金绩效评价制度，科学设定有关评价指标，</w:t>
      </w:r>
      <w:r>
        <w:rPr>
          <w:rStyle w:val="14"/>
          <w:rFonts w:hint="eastAsia" w:ascii="仿宋" w:hAnsi="仿宋" w:eastAsia="仿宋" w:cs="仿宋"/>
          <w:b w:val="0"/>
          <w:bCs/>
          <w:color w:val="auto"/>
          <w:sz w:val="32"/>
          <w:szCs w:val="32"/>
          <w:highlight w:val="none"/>
          <w:lang w:val="en-US" w:eastAsia="zh-CN"/>
        </w:rPr>
        <w:t>根据需要</w:t>
      </w:r>
      <w:r>
        <w:rPr>
          <w:rStyle w:val="14"/>
          <w:rFonts w:hint="eastAsia" w:ascii="仿宋" w:hAnsi="仿宋" w:eastAsia="仿宋" w:cs="仿宋"/>
          <w:b w:val="0"/>
          <w:bCs/>
          <w:color w:val="auto"/>
          <w:sz w:val="32"/>
          <w:szCs w:val="32"/>
        </w:rPr>
        <w:t>聘请第三方中介机构对基金政策目标实现程度、基金管理人投资运营情况、财政资金损益情况等进行</w:t>
      </w:r>
      <w:r>
        <w:rPr>
          <w:rStyle w:val="14"/>
          <w:rFonts w:hint="eastAsia" w:ascii="仿宋" w:hAnsi="仿宋" w:eastAsia="仿宋" w:cs="仿宋"/>
          <w:b w:val="0"/>
          <w:bCs/>
          <w:color w:val="auto"/>
          <w:sz w:val="32"/>
          <w:szCs w:val="32"/>
          <w:highlight w:val="none"/>
          <w:lang w:val="en-US" w:eastAsia="zh-CN"/>
        </w:rPr>
        <w:t>重点</w:t>
      </w:r>
      <w:r>
        <w:rPr>
          <w:rStyle w:val="14"/>
          <w:rFonts w:hint="eastAsia" w:ascii="仿宋" w:hAnsi="仿宋" w:eastAsia="仿宋" w:cs="仿宋"/>
          <w:b w:val="0"/>
          <w:bCs/>
          <w:color w:val="auto"/>
          <w:sz w:val="32"/>
          <w:szCs w:val="32"/>
        </w:rPr>
        <w:t>绩效评价考核，评价考核</w:t>
      </w:r>
      <w:r>
        <w:rPr>
          <w:rStyle w:val="14"/>
          <w:rFonts w:hint="eastAsia" w:ascii="仿宋" w:hAnsi="仿宋" w:eastAsia="仿宋" w:cs="仿宋"/>
          <w:b w:val="0"/>
          <w:bCs/>
          <w:color w:val="auto"/>
          <w:sz w:val="32"/>
          <w:szCs w:val="32"/>
          <w:lang w:val="en-US" w:eastAsia="zh-CN"/>
        </w:rPr>
        <w:t>和</w:t>
      </w:r>
      <w:r>
        <w:rPr>
          <w:rStyle w:val="14"/>
          <w:rFonts w:hint="eastAsia" w:ascii="仿宋" w:hAnsi="仿宋" w:eastAsia="仿宋" w:cs="仿宋"/>
          <w:b w:val="0"/>
          <w:bCs/>
          <w:color w:val="auto"/>
          <w:sz w:val="32"/>
          <w:szCs w:val="32"/>
          <w:highlight w:val="none"/>
          <w:lang w:val="en-US" w:eastAsia="zh-CN"/>
        </w:rPr>
        <w:t>绩效自评</w:t>
      </w:r>
      <w:r>
        <w:rPr>
          <w:rStyle w:val="14"/>
          <w:rFonts w:hint="eastAsia" w:ascii="仿宋" w:hAnsi="仿宋" w:eastAsia="仿宋" w:cs="仿宋"/>
          <w:b w:val="0"/>
          <w:bCs/>
          <w:color w:val="auto"/>
          <w:sz w:val="32"/>
          <w:szCs w:val="32"/>
          <w:highlight w:val="none"/>
        </w:rPr>
        <w:t>结果作为基金存续、增资扩股、提前终止及计提</w:t>
      </w:r>
      <w:r>
        <w:rPr>
          <w:rStyle w:val="14"/>
          <w:rFonts w:hint="eastAsia" w:ascii="仿宋" w:hAnsi="仿宋" w:eastAsia="仿宋" w:cs="仿宋"/>
          <w:b w:val="0"/>
          <w:bCs/>
          <w:color w:val="auto"/>
          <w:sz w:val="32"/>
          <w:szCs w:val="32"/>
          <w:highlight w:val="none"/>
          <w:lang w:val="en-US" w:eastAsia="zh-CN"/>
        </w:rPr>
        <w:t>受托管理机构和基金管理人</w:t>
      </w:r>
      <w:r>
        <w:rPr>
          <w:rStyle w:val="14"/>
          <w:rFonts w:hint="eastAsia" w:ascii="仿宋" w:hAnsi="仿宋" w:eastAsia="仿宋" w:cs="仿宋"/>
          <w:b w:val="0"/>
          <w:bCs/>
          <w:color w:val="auto"/>
          <w:sz w:val="32"/>
          <w:szCs w:val="32"/>
          <w:highlight w:val="none"/>
        </w:rPr>
        <w:t xml:space="preserve">管理费的重要依据。  </w:t>
      </w:r>
      <w:r>
        <w:rPr>
          <w:rStyle w:val="14"/>
          <w:rFonts w:hint="eastAsia" w:ascii="仿宋" w:hAnsi="仿宋" w:eastAsia="仿宋" w:cs="仿宋"/>
          <w:b w:val="0"/>
          <w:bCs/>
          <w:color w:val="auto"/>
          <w:sz w:val="32"/>
          <w:szCs w:val="32"/>
          <w:highlight w:val="none"/>
          <w:lang w:val="en-US" w:eastAsia="zh-CN"/>
        </w:rPr>
        <w:t xml:space="preserve"> </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firstLine="640" w:firstLineChars="200"/>
        <w:jc w:val="both"/>
        <w:textAlignment w:val="auto"/>
        <w:rPr>
          <w:rStyle w:val="14"/>
          <w:rFonts w:hint="eastAsia" w:ascii="仿宋" w:hAnsi="仿宋" w:eastAsia="仿宋" w:cs="仿宋"/>
          <w:b w:val="0"/>
          <w:bCs/>
          <w:color w:val="auto"/>
          <w:kern w:val="0"/>
          <w:sz w:val="32"/>
          <w:szCs w:val="32"/>
          <w:highlight w:val="none"/>
        </w:rPr>
      </w:pPr>
      <w:r>
        <w:rPr>
          <w:rStyle w:val="14"/>
          <w:rFonts w:hint="eastAsia" w:ascii="黑体" w:hAnsi="黑体" w:eastAsia="黑体" w:cs="黑体"/>
          <w:b w:val="0"/>
          <w:bCs/>
          <w:color w:val="auto"/>
          <w:sz w:val="32"/>
          <w:szCs w:val="32"/>
          <w:highlight w:val="none"/>
          <w:lang w:val="en-US" w:eastAsia="zh-CN"/>
        </w:rPr>
        <w:t>第四十九条</w:t>
      </w:r>
      <w:r>
        <w:rPr>
          <w:rFonts w:hint="eastAsia" w:ascii="仿宋" w:hAnsi="仿宋" w:eastAsia="仿宋" w:cs="仿宋"/>
          <w:bCs/>
          <w:color w:val="auto"/>
          <w:sz w:val="32"/>
          <w:szCs w:val="32"/>
          <w:highlight w:val="none"/>
          <w:lang w:val="en-US" w:eastAsia="zh-CN"/>
        </w:rPr>
        <w:t xml:space="preserve">  </w:t>
      </w:r>
      <w:r>
        <w:rPr>
          <w:rStyle w:val="14"/>
          <w:rFonts w:hint="eastAsia" w:ascii="仿宋" w:hAnsi="仿宋" w:eastAsia="仿宋" w:cs="仿宋"/>
          <w:b w:val="0"/>
          <w:bCs/>
          <w:color w:val="auto"/>
          <w:sz w:val="32"/>
          <w:szCs w:val="32"/>
          <w:highlight w:val="none"/>
        </w:rPr>
        <w:t>证券监管部门负责对注册地为</w:t>
      </w:r>
      <w:r>
        <w:rPr>
          <w:rStyle w:val="14"/>
          <w:rFonts w:hint="eastAsia" w:ascii="仿宋" w:hAnsi="仿宋" w:eastAsia="仿宋" w:cs="仿宋"/>
          <w:b w:val="0"/>
          <w:bCs/>
          <w:color w:val="auto"/>
          <w:sz w:val="32"/>
          <w:szCs w:val="32"/>
          <w:highlight w:val="none"/>
          <w:lang w:val="en-US" w:eastAsia="zh-CN"/>
        </w:rPr>
        <w:t>辖区内</w:t>
      </w:r>
      <w:r>
        <w:rPr>
          <w:rStyle w:val="14"/>
          <w:rFonts w:hint="eastAsia" w:ascii="仿宋" w:hAnsi="仿宋" w:eastAsia="仿宋" w:cs="仿宋"/>
          <w:b w:val="0"/>
          <w:bCs/>
          <w:color w:val="auto"/>
          <w:sz w:val="32"/>
          <w:szCs w:val="32"/>
          <w:highlight w:val="none"/>
        </w:rPr>
        <w:t>的私募</w:t>
      </w:r>
      <w:r>
        <w:rPr>
          <w:rStyle w:val="14"/>
          <w:rFonts w:hint="eastAsia" w:ascii="仿宋" w:hAnsi="仿宋" w:eastAsia="仿宋" w:cs="仿宋"/>
          <w:b w:val="0"/>
          <w:bCs/>
          <w:color w:val="auto"/>
          <w:spacing w:val="-6"/>
          <w:sz w:val="32"/>
          <w:szCs w:val="32"/>
          <w:highlight w:val="none"/>
        </w:rPr>
        <w:t>基金管理人及其管理私募基金产品、证券投资基金托管机构实施日常监管，配合地方</w:t>
      </w:r>
      <w:r>
        <w:rPr>
          <w:rStyle w:val="14"/>
          <w:rFonts w:hint="eastAsia" w:ascii="仿宋" w:hAnsi="仿宋" w:eastAsia="仿宋" w:cs="仿宋"/>
          <w:b w:val="0"/>
          <w:bCs/>
          <w:color w:val="auto"/>
          <w:spacing w:val="-6"/>
          <w:sz w:val="32"/>
          <w:szCs w:val="32"/>
          <w:highlight w:val="none"/>
          <w:lang w:eastAsia="zh-CN"/>
        </w:rPr>
        <w:t>人民</w:t>
      </w:r>
      <w:r>
        <w:rPr>
          <w:rStyle w:val="14"/>
          <w:rFonts w:hint="eastAsia" w:ascii="仿宋" w:hAnsi="仿宋" w:eastAsia="仿宋" w:cs="仿宋"/>
          <w:b w:val="0"/>
          <w:bCs/>
          <w:color w:val="auto"/>
          <w:spacing w:val="-6"/>
          <w:sz w:val="32"/>
          <w:szCs w:val="32"/>
          <w:highlight w:val="none"/>
        </w:rPr>
        <w:t>政府做好私募基金领域风险处置化解工作。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highlight w:val="yellow"/>
        </w:rPr>
      </w:pPr>
      <w:r>
        <w:rPr>
          <w:rStyle w:val="14"/>
          <w:rFonts w:hint="eastAsia" w:ascii="黑体" w:hAnsi="黑体" w:eastAsia="黑体" w:cs="黑体"/>
          <w:b w:val="0"/>
          <w:bCs/>
          <w:color w:val="auto"/>
          <w:sz w:val="32"/>
          <w:szCs w:val="32"/>
          <w:highlight w:val="none"/>
          <w:lang w:val="en-US" w:eastAsia="zh-CN"/>
        </w:rPr>
        <w:t>第五十条</w:t>
      </w:r>
      <w:r>
        <w:rPr>
          <w:rFonts w:hint="eastAsia" w:ascii="仿宋" w:hAnsi="仿宋" w:eastAsia="仿宋" w:cs="仿宋"/>
          <w:bCs/>
          <w:color w:val="auto"/>
          <w:sz w:val="32"/>
          <w:szCs w:val="32"/>
          <w:highlight w:val="none"/>
          <w:lang w:val="en-US" w:eastAsia="zh-CN"/>
        </w:rPr>
        <w:t xml:space="preserve">  </w:t>
      </w:r>
      <w:r>
        <w:rPr>
          <w:rStyle w:val="14"/>
          <w:rFonts w:hint="eastAsia" w:ascii="仿宋" w:hAnsi="仿宋" w:eastAsia="仿宋" w:cs="仿宋"/>
          <w:b w:val="0"/>
          <w:bCs/>
          <w:color w:val="auto"/>
          <w:sz w:val="32"/>
          <w:szCs w:val="32"/>
          <w:highlight w:val="none"/>
        </w:rPr>
        <w:t>审计部门负责对政府投资基金运行情况进行审</w:t>
      </w:r>
      <w:r>
        <w:rPr>
          <w:rStyle w:val="14"/>
          <w:rFonts w:hint="eastAsia" w:ascii="仿宋" w:hAnsi="仿宋" w:eastAsia="仿宋" w:cs="仿宋"/>
          <w:b w:val="0"/>
          <w:bCs/>
          <w:color w:val="auto"/>
          <w:spacing w:val="-6"/>
          <w:sz w:val="32"/>
          <w:szCs w:val="32"/>
          <w:highlight w:val="none"/>
        </w:rPr>
        <w:t>计监督。对于审计发现的问题按照《中华人民共和国预算法》</w:t>
      </w:r>
      <w:r>
        <w:rPr>
          <w:rStyle w:val="14"/>
          <w:rFonts w:hint="eastAsia" w:ascii="仿宋" w:hAnsi="仿宋" w:eastAsia="仿宋" w:cs="仿宋"/>
          <w:b w:val="0"/>
          <w:bCs/>
          <w:color w:val="auto"/>
          <w:spacing w:val="-6"/>
          <w:sz w:val="32"/>
          <w:szCs w:val="32"/>
          <w:highlight w:val="none"/>
          <w:lang w:eastAsia="zh-CN"/>
        </w:rPr>
        <w:t>、</w:t>
      </w:r>
      <w:r>
        <w:rPr>
          <w:rStyle w:val="14"/>
          <w:rFonts w:hint="eastAsia" w:ascii="仿宋" w:hAnsi="仿宋" w:eastAsia="仿宋" w:cs="仿宋"/>
          <w:b w:val="0"/>
          <w:bCs/>
          <w:color w:val="auto"/>
          <w:sz w:val="32"/>
          <w:szCs w:val="32"/>
          <w:highlight w:val="none"/>
        </w:rPr>
        <w:t>《财政违法行为处罚处分条例》等有关规定处理，涉嫌犯罪的，移送司法机关追究刑事责任。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五十一</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Style w:val="14"/>
          <w:rFonts w:hint="eastAsia" w:ascii="仿宋" w:hAnsi="仿宋" w:eastAsia="仿宋" w:cs="仿宋"/>
          <w:b w:val="0"/>
          <w:bCs/>
          <w:strike w:val="0"/>
          <w:dstrike w:val="0"/>
          <w:color w:val="auto"/>
          <w:sz w:val="32"/>
          <w:szCs w:val="32"/>
        </w:rPr>
        <w:t>政府出资受托管理机构、</w:t>
      </w:r>
      <w:r>
        <w:rPr>
          <w:rStyle w:val="14"/>
          <w:rFonts w:hint="eastAsia" w:ascii="仿宋" w:hAnsi="仿宋" w:eastAsia="仿宋" w:cs="仿宋"/>
          <w:b w:val="0"/>
          <w:bCs/>
          <w:color w:val="auto"/>
          <w:sz w:val="32"/>
          <w:szCs w:val="32"/>
        </w:rPr>
        <w:t>基金管理人、基金托管人应当按照相关法律法规和基金章程约定，及时履行重大事项报告职责</w:t>
      </w:r>
      <w:r>
        <w:rPr>
          <w:rStyle w:val="14"/>
          <w:rFonts w:hint="eastAsia" w:ascii="仿宋" w:hAnsi="仿宋" w:eastAsia="仿宋" w:cs="仿宋"/>
          <w:b w:val="0"/>
          <w:bCs/>
          <w:color w:val="auto"/>
          <w:sz w:val="32"/>
          <w:szCs w:val="32"/>
          <w:lang w:eastAsia="zh-CN"/>
        </w:rPr>
        <w:t>，</w:t>
      </w:r>
      <w:r>
        <w:rPr>
          <w:rStyle w:val="14"/>
          <w:rFonts w:hint="eastAsia" w:ascii="仿宋" w:hAnsi="仿宋" w:eastAsia="仿宋" w:cs="仿宋"/>
          <w:b w:val="0"/>
          <w:bCs/>
          <w:color w:val="auto"/>
          <w:sz w:val="32"/>
          <w:szCs w:val="32"/>
        </w:rPr>
        <w:t>日常投资运作过程中发生的重大事项</w:t>
      </w:r>
      <w:r>
        <w:rPr>
          <w:rStyle w:val="14"/>
          <w:rFonts w:hint="eastAsia" w:ascii="仿宋" w:hAnsi="仿宋" w:eastAsia="仿宋" w:cs="仿宋"/>
          <w:b w:val="0"/>
          <w:bCs/>
          <w:color w:val="auto"/>
          <w:sz w:val="32"/>
          <w:szCs w:val="32"/>
          <w:lang w:eastAsia="zh-CN"/>
        </w:rPr>
        <w:t>应当</w:t>
      </w:r>
      <w:r>
        <w:rPr>
          <w:rStyle w:val="14"/>
          <w:rFonts w:hint="eastAsia" w:ascii="仿宋" w:hAnsi="仿宋" w:eastAsia="仿宋" w:cs="仿宋"/>
          <w:b w:val="0"/>
          <w:bCs/>
          <w:color w:val="auto"/>
          <w:sz w:val="32"/>
          <w:szCs w:val="32"/>
        </w:rPr>
        <w:t>及时报告。</w:t>
      </w:r>
      <w:r>
        <w:rPr>
          <w:rFonts w:hint="eastAsia" w:ascii="仿宋" w:hAnsi="仿宋" w:eastAsia="仿宋" w:cs="仿宋"/>
          <w:bCs/>
          <w:color w:val="auto"/>
          <w:sz w:val="32"/>
          <w:szCs w:val="32"/>
        </w:rPr>
        <w:t>重大事项包括但不限于公司章程修订、资本增减、高级管理人员变更、合并、清算等。</w:t>
      </w:r>
      <w:r>
        <w:rPr>
          <w:rStyle w:val="14"/>
          <w:rFonts w:hint="eastAsia" w:ascii="仿宋" w:hAnsi="仿宋" w:eastAsia="仿宋" w:cs="仿宋"/>
          <w:b w:val="0"/>
          <w:bCs/>
          <w:color w:val="auto"/>
          <w:sz w:val="32"/>
          <w:szCs w:val="32"/>
        </w:rPr>
        <w:t>政府出资受托管理机构负责汇总报</w:t>
      </w:r>
      <w:r>
        <w:rPr>
          <w:rStyle w:val="14"/>
          <w:rFonts w:hint="eastAsia" w:ascii="仿宋" w:hAnsi="仿宋" w:eastAsia="仿宋" w:cs="仿宋"/>
          <w:b w:val="0"/>
          <w:bCs/>
          <w:color w:val="auto"/>
          <w:sz w:val="32"/>
          <w:szCs w:val="32"/>
          <w:lang w:eastAsia="zh-CN"/>
        </w:rPr>
        <w:t>送本级</w:t>
      </w:r>
      <w:r>
        <w:rPr>
          <w:rStyle w:val="14"/>
          <w:rFonts w:hint="eastAsia" w:ascii="仿宋" w:hAnsi="仿宋" w:eastAsia="仿宋" w:cs="仿宋"/>
          <w:b w:val="0"/>
          <w:bCs/>
          <w:color w:val="auto"/>
          <w:sz w:val="32"/>
          <w:szCs w:val="32"/>
          <w:highlight w:val="none"/>
          <w:lang w:val="en-US" w:eastAsia="zh-CN"/>
        </w:rPr>
        <w:t>财政部门和其他出资人，由财政部门报送本级人民政府，同时抄送本级发展改革部门和基金设立部门</w:t>
      </w:r>
      <w:r>
        <w:rPr>
          <w:rStyle w:val="14"/>
          <w:rFonts w:hint="eastAsia" w:ascii="仿宋" w:hAnsi="仿宋" w:eastAsia="仿宋" w:cs="仿宋"/>
          <w:b w:val="0"/>
          <w:bCs/>
          <w:color w:val="auto"/>
          <w:sz w:val="32"/>
          <w:szCs w:val="32"/>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highlight w:val="none"/>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五十二</w:t>
      </w:r>
      <w:r>
        <w:rPr>
          <w:rStyle w:val="14"/>
          <w:rFonts w:hint="eastAsia" w:ascii="黑体" w:hAnsi="黑体" w:eastAsia="黑体" w:cs="黑体"/>
          <w:b w:val="0"/>
          <w:bCs/>
          <w:color w:val="auto"/>
          <w:sz w:val="32"/>
          <w:szCs w:val="32"/>
          <w:highlight w:val="none"/>
        </w:rPr>
        <w:t>条</w:t>
      </w: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基金设立部门应</w:t>
      </w:r>
      <w:r>
        <w:rPr>
          <w:rFonts w:hint="eastAsia" w:ascii="仿宋" w:hAnsi="仿宋" w:eastAsia="仿宋" w:cs="仿宋"/>
          <w:bCs/>
          <w:color w:val="auto"/>
          <w:sz w:val="32"/>
          <w:szCs w:val="32"/>
          <w:highlight w:val="none"/>
          <w:lang w:eastAsia="zh-CN"/>
        </w:rPr>
        <w:t>当</w:t>
      </w:r>
      <w:r>
        <w:rPr>
          <w:rFonts w:hint="eastAsia" w:ascii="仿宋" w:hAnsi="仿宋" w:eastAsia="仿宋" w:cs="仿宋"/>
          <w:bCs/>
          <w:color w:val="auto"/>
          <w:sz w:val="32"/>
          <w:szCs w:val="32"/>
          <w:highlight w:val="none"/>
        </w:rPr>
        <w:t>建立监管信息互通共享机制，与发展改革、财政、审计、</w:t>
      </w:r>
      <w:r>
        <w:rPr>
          <w:rFonts w:hint="eastAsia" w:ascii="仿宋" w:hAnsi="仿宋" w:eastAsia="仿宋" w:cs="仿宋"/>
          <w:bCs/>
          <w:color w:val="auto"/>
          <w:sz w:val="32"/>
          <w:szCs w:val="32"/>
          <w:highlight w:val="none"/>
          <w:lang w:val="en-US" w:eastAsia="zh-CN"/>
        </w:rPr>
        <w:t>证券监管</w:t>
      </w:r>
      <w:r>
        <w:rPr>
          <w:rFonts w:hint="eastAsia" w:ascii="仿宋" w:hAnsi="仿宋" w:eastAsia="仿宋" w:cs="仿宋"/>
          <w:bCs/>
          <w:color w:val="auto"/>
          <w:sz w:val="32"/>
          <w:szCs w:val="32"/>
          <w:highlight w:val="none"/>
        </w:rPr>
        <w:t>等部门及时共享基金设立、</w:t>
      </w:r>
      <w:r>
        <w:rPr>
          <w:rFonts w:hint="eastAsia" w:ascii="仿宋" w:hAnsi="仿宋" w:eastAsia="仿宋" w:cs="仿宋"/>
          <w:bCs/>
          <w:strike w:val="0"/>
          <w:dstrike w:val="0"/>
          <w:color w:val="auto"/>
          <w:sz w:val="32"/>
          <w:szCs w:val="32"/>
          <w:highlight w:val="none"/>
          <w:lang w:val="en-US" w:eastAsia="zh-CN"/>
        </w:rPr>
        <w:t>检查</w:t>
      </w:r>
      <w:r>
        <w:rPr>
          <w:rFonts w:hint="eastAsia" w:ascii="仿宋" w:hAnsi="仿宋" w:eastAsia="仿宋" w:cs="仿宋"/>
          <w:bCs/>
          <w:strike w:val="0"/>
          <w:dstrike w:val="0"/>
          <w:color w:val="auto"/>
          <w:sz w:val="32"/>
          <w:szCs w:val="32"/>
          <w:highlight w:val="none"/>
        </w:rPr>
        <w:t>监测、</w:t>
      </w:r>
      <w:r>
        <w:rPr>
          <w:rFonts w:hint="eastAsia" w:ascii="仿宋" w:hAnsi="仿宋" w:eastAsia="仿宋" w:cs="仿宋"/>
          <w:bCs/>
          <w:color w:val="auto"/>
          <w:sz w:val="32"/>
          <w:szCs w:val="32"/>
          <w:highlight w:val="none"/>
          <w:lang w:val="en-US" w:eastAsia="zh-CN"/>
        </w:rPr>
        <w:t>行政</w:t>
      </w:r>
      <w:r>
        <w:rPr>
          <w:rFonts w:hint="eastAsia" w:ascii="仿宋" w:hAnsi="仿宋" w:eastAsia="仿宋" w:cs="仿宋"/>
          <w:bCs/>
          <w:color w:val="auto"/>
          <w:sz w:val="32"/>
          <w:szCs w:val="32"/>
          <w:highlight w:val="none"/>
        </w:rPr>
        <w:t>处罚等信息。结合绩效评价结果，实施分级分类监管。</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第十章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政府投资基金的终止和退出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五十三</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lang w:val="en-US" w:eastAsia="zh-CN"/>
        </w:rPr>
        <w:t xml:space="preserve">  </w:t>
      </w:r>
      <w:r>
        <w:rPr>
          <w:rFonts w:hint="eastAsia" w:ascii="仿宋" w:hAnsi="仿宋" w:eastAsia="仿宋" w:cs="仿宋"/>
          <w:bCs/>
          <w:color w:val="auto"/>
          <w:sz w:val="32"/>
          <w:szCs w:val="32"/>
        </w:rPr>
        <w:t>政府投资基金一般应当在存续期满后终止。确需延长存续期限的，应当由基金</w:t>
      </w:r>
      <w:r>
        <w:rPr>
          <w:rFonts w:hint="eastAsia" w:ascii="仿宋" w:hAnsi="仿宋" w:eastAsia="仿宋" w:cs="仿宋"/>
          <w:bCs/>
          <w:strike w:val="0"/>
          <w:dstrike w:val="0"/>
          <w:color w:val="auto"/>
          <w:sz w:val="32"/>
          <w:szCs w:val="32"/>
          <w:highlight w:val="none"/>
          <w:lang w:val="en-US" w:eastAsia="zh-CN"/>
        </w:rPr>
        <w:t>设立</w:t>
      </w:r>
      <w:r>
        <w:rPr>
          <w:rFonts w:hint="eastAsia" w:ascii="仿宋" w:hAnsi="仿宋" w:eastAsia="仿宋" w:cs="仿宋"/>
          <w:bCs/>
          <w:color w:val="auto"/>
          <w:sz w:val="32"/>
          <w:szCs w:val="32"/>
        </w:rPr>
        <w:t>部门在基金到期前</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年内提出申请，报本级</w:t>
      </w:r>
      <w:r>
        <w:rPr>
          <w:rFonts w:hint="eastAsia" w:ascii="仿宋" w:hAnsi="仿宋" w:eastAsia="仿宋" w:cs="仿宋"/>
          <w:bCs/>
          <w:color w:val="auto"/>
          <w:sz w:val="32"/>
          <w:szCs w:val="32"/>
          <w:lang w:eastAsia="zh-CN"/>
        </w:rPr>
        <w:t>人民</w:t>
      </w:r>
      <w:r>
        <w:rPr>
          <w:rFonts w:hint="eastAsia" w:ascii="仿宋" w:hAnsi="仿宋" w:eastAsia="仿宋" w:cs="仿宋"/>
          <w:bCs/>
          <w:color w:val="auto"/>
          <w:sz w:val="32"/>
          <w:szCs w:val="32"/>
        </w:rPr>
        <w:t>政府批准后，与其他出资方按章程约定的程序办理。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五十四</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出现下列情况之一时，政府投资基金须终止并清算：</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（一）基金合同期限届满而未延期；</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（二）基金份额持有人大会决议一致通过；</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   （三）基金合同、章程约定的其他情形。</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五十五</w:t>
      </w:r>
      <w:r>
        <w:rPr>
          <w:rStyle w:val="14"/>
          <w:rFonts w:hint="eastAsia" w:ascii="黑体" w:hAnsi="黑体" w:eastAsia="黑体" w:cs="黑体"/>
          <w:b w:val="0"/>
          <w:bCs/>
          <w:color w:val="auto"/>
          <w:sz w:val="32"/>
          <w:szCs w:val="32"/>
          <w:highlight w:val="none"/>
        </w:rPr>
        <w:t>条</w:t>
      </w:r>
      <w:r>
        <w:rPr>
          <w:rStyle w:val="14"/>
          <w:rFonts w:hint="eastAsia" w:ascii="黑体" w:hAnsi="黑体" w:eastAsia="黑体" w:cs="黑体"/>
          <w:b w:val="0"/>
          <w:bCs/>
          <w:color w:val="auto"/>
          <w:sz w:val="32"/>
          <w:szCs w:val="32"/>
          <w:highlight w:val="none"/>
          <w:lang w:val="en-US" w:eastAsia="zh-CN"/>
        </w:rPr>
        <w:t xml:space="preserve">  </w:t>
      </w:r>
      <w:r>
        <w:rPr>
          <w:rFonts w:hint="eastAsia" w:ascii="仿宋" w:hAnsi="仿宋" w:eastAsia="仿宋" w:cs="仿宋"/>
          <w:bCs/>
          <w:color w:val="auto"/>
          <w:sz w:val="32"/>
          <w:szCs w:val="32"/>
        </w:rPr>
        <w:t>政府投资基金终止后，应当在财政部门和其他出资人监督下组织清算，将政府出资额和归属政府的收益按照财政国库管理制度有关规定及时足额上缴国库。</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Style w:val="14"/>
          <w:rFonts w:hint="eastAsia" w:ascii="仿宋" w:hAnsi="仿宋" w:eastAsia="仿宋" w:cs="仿宋"/>
          <w:b w:val="0"/>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五十六</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rPr>
        <w:t xml:space="preserve">  政府投资基金可</w:t>
      </w:r>
      <w:r>
        <w:rPr>
          <w:rStyle w:val="14"/>
          <w:rFonts w:hint="eastAsia" w:ascii="仿宋" w:hAnsi="仿宋" w:eastAsia="仿宋" w:cs="仿宋"/>
          <w:b w:val="0"/>
          <w:bCs/>
          <w:color w:val="auto"/>
          <w:sz w:val="32"/>
          <w:szCs w:val="32"/>
          <w:lang w:eastAsia="zh-CN"/>
        </w:rPr>
        <w:t>以</w:t>
      </w:r>
      <w:r>
        <w:rPr>
          <w:rStyle w:val="14"/>
          <w:rFonts w:hint="eastAsia" w:ascii="仿宋" w:hAnsi="仿宋" w:eastAsia="仿宋" w:cs="仿宋"/>
          <w:b w:val="0"/>
          <w:bCs/>
          <w:color w:val="auto"/>
          <w:sz w:val="32"/>
          <w:szCs w:val="32"/>
        </w:rPr>
        <w:t>通过社会出资人回购、股权转让、到期清算或者协议约定的其他市场化方式退出。出资人根据投资基金具体情况</w:t>
      </w:r>
      <w:r>
        <w:rPr>
          <w:rStyle w:val="14"/>
          <w:rFonts w:hint="eastAsia" w:ascii="仿宋" w:hAnsi="仿宋" w:eastAsia="仿宋" w:cs="仿宋"/>
          <w:b w:val="0"/>
          <w:bCs/>
          <w:color w:val="auto"/>
          <w:sz w:val="32"/>
          <w:szCs w:val="32"/>
          <w:lang w:eastAsia="zh-CN"/>
        </w:rPr>
        <w:t>，</w:t>
      </w:r>
      <w:r>
        <w:rPr>
          <w:rStyle w:val="14"/>
          <w:rFonts w:hint="eastAsia" w:ascii="仿宋" w:hAnsi="仿宋" w:eastAsia="仿宋" w:cs="仿宋"/>
          <w:b w:val="0"/>
          <w:bCs/>
          <w:color w:val="auto"/>
          <w:sz w:val="32"/>
          <w:szCs w:val="32"/>
        </w:rPr>
        <w:t>在基金章程、合伙协议或投资协议中约定退出条件和方式。</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五十七</w:t>
      </w:r>
      <w:r>
        <w:rPr>
          <w:rStyle w:val="14"/>
          <w:rFonts w:hint="eastAsia" w:ascii="黑体" w:hAnsi="黑体" w:eastAsia="黑体" w:cs="黑体"/>
          <w:b w:val="0"/>
          <w:bCs/>
          <w:color w:val="auto"/>
          <w:sz w:val="32"/>
          <w:szCs w:val="32"/>
          <w:highlight w:val="none"/>
        </w:rPr>
        <w:t>条</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财政部门应当与其他出资人在投资基金章程</w:t>
      </w:r>
      <w:r>
        <w:rPr>
          <w:rFonts w:hint="eastAsia" w:ascii="仿宋" w:hAnsi="仿宋" w:eastAsia="仿宋" w:cs="仿宋"/>
          <w:bCs/>
          <w:color w:val="auto"/>
          <w:spacing w:val="6"/>
          <w:sz w:val="32"/>
          <w:szCs w:val="32"/>
        </w:rPr>
        <w:t>中约定，有下述情况之一的，政府出资可无需其他出资人同意，</w:t>
      </w:r>
      <w:r>
        <w:rPr>
          <w:rFonts w:hint="eastAsia" w:ascii="仿宋" w:hAnsi="仿宋" w:eastAsia="仿宋" w:cs="仿宋"/>
          <w:bCs/>
          <w:color w:val="auto"/>
          <w:sz w:val="32"/>
          <w:szCs w:val="32"/>
        </w:rPr>
        <w:t>选择提前退出：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（一）投资基金方案确认后超过1年，未按规定程序和时间要求完成设立手续的；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（二）政府出资拨付投资基金账户1年以上，基金未开展投资业务的；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（三）基金投资领域和方向不符合政策目标的；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（四）基金未按章程约定投资的；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（五）其他不符合章程约定情形的</w:t>
      </w:r>
      <w:r>
        <w:rPr>
          <w:rFonts w:hint="eastAsia" w:ascii="仿宋" w:hAnsi="仿宋" w:eastAsia="仿宋" w:cs="仿宋"/>
          <w:bCs/>
          <w:color w:val="auto"/>
          <w:sz w:val="32"/>
          <w:szCs w:val="32"/>
          <w:lang w:eastAsia="zh-CN"/>
        </w:rPr>
        <w:t>；</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（六）基金存在违反法律法规、</w:t>
      </w:r>
      <w:r>
        <w:rPr>
          <w:rFonts w:hint="eastAsia" w:ascii="仿宋" w:hAnsi="仿宋" w:eastAsia="仿宋" w:cs="仿宋"/>
          <w:bCs/>
          <w:color w:val="auto"/>
          <w:sz w:val="32"/>
          <w:szCs w:val="32"/>
          <w:lang w:eastAsia="zh-CN"/>
        </w:rPr>
        <w:t>相关</w:t>
      </w:r>
      <w:r>
        <w:rPr>
          <w:rFonts w:hint="eastAsia" w:ascii="仿宋" w:hAnsi="仿宋" w:eastAsia="仿宋" w:cs="仿宋"/>
          <w:bCs/>
          <w:color w:val="auto"/>
          <w:sz w:val="32"/>
          <w:szCs w:val="32"/>
        </w:rPr>
        <w:t>文件及本办法行为的。</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五十八</w:t>
      </w:r>
      <w:r>
        <w:rPr>
          <w:rStyle w:val="14"/>
          <w:rFonts w:hint="eastAsia" w:ascii="黑体" w:hAnsi="黑体" w:eastAsia="黑体" w:cs="黑体"/>
          <w:b w:val="0"/>
          <w:bCs/>
          <w:color w:val="auto"/>
          <w:sz w:val="32"/>
          <w:szCs w:val="32"/>
          <w:highlight w:val="none"/>
        </w:rPr>
        <w:t>条</w:t>
      </w:r>
      <w:r>
        <w:rPr>
          <w:rStyle w:val="14"/>
          <w:rFonts w:hint="eastAsia" w:ascii="黑体" w:hAnsi="黑体" w:eastAsia="黑体" w:cs="黑体"/>
          <w:b w:val="0"/>
          <w:bCs/>
          <w:color w:val="auto"/>
          <w:sz w:val="32"/>
          <w:szCs w:val="32"/>
          <w:highlight w:val="none"/>
          <w:lang w:val="en-US" w:eastAsia="zh-CN"/>
        </w:rPr>
        <w:t xml:space="preserve">  </w:t>
      </w:r>
      <w:r>
        <w:rPr>
          <w:rFonts w:hint="eastAsia" w:ascii="仿宋" w:hAnsi="仿宋" w:eastAsia="仿宋" w:cs="仿宋"/>
          <w:bCs/>
          <w:color w:val="auto"/>
          <w:sz w:val="32"/>
          <w:szCs w:val="32"/>
        </w:rPr>
        <w:t>政府出资从投资基金退出时，应当按照章程约定的条件退出；章程中没有约定的，应当聘请具备资质的资产评</w:t>
      </w:r>
      <w:r>
        <w:rPr>
          <w:rFonts w:hint="eastAsia" w:ascii="仿宋" w:hAnsi="仿宋" w:eastAsia="仿宋" w:cs="仿宋"/>
          <w:bCs/>
          <w:color w:val="auto"/>
          <w:spacing w:val="-6"/>
          <w:sz w:val="32"/>
          <w:szCs w:val="32"/>
        </w:rPr>
        <w:t>估机构对出资权益进行评估，作为确定投资基金退出价格的依据。</w:t>
      </w:r>
    </w:p>
    <w:p>
      <w:pPr>
        <w:pStyle w:val="10"/>
        <w:keepNext w:val="0"/>
        <w:keepLines w:val="0"/>
        <w:pageBreakBefore w:val="0"/>
        <w:widowControl w:val="0"/>
        <w:kinsoku/>
        <w:wordWrap/>
        <w:overflowPunct/>
        <w:topLinePunct/>
        <w:autoSpaceDE/>
        <w:autoSpaceDN/>
        <w:bidi w:val="0"/>
        <w:adjustRightInd/>
        <w:snapToGrid/>
        <w:spacing w:before="313" w:beforeLines="100" w:beforeAutospacing="0" w:after="313" w:afterLines="100" w:afterAutospacing="0" w:line="580" w:lineRule="exact"/>
        <w:ind w:left="0" w:leftChars="0"/>
        <w:jc w:val="center"/>
        <w:textAlignment w:val="auto"/>
        <w:rPr>
          <w:rStyle w:val="14"/>
          <w:rFonts w:hint="eastAsia" w:ascii="黑体" w:hAnsi="黑体" w:eastAsia="黑体" w:cs="黑体"/>
          <w:b w:val="0"/>
          <w:bCs/>
          <w:color w:val="auto"/>
          <w:sz w:val="32"/>
          <w:szCs w:val="32"/>
          <w:lang w:eastAsia="zh-CN"/>
        </w:rPr>
      </w:pPr>
      <w:r>
        <w:rPr>
          <w:rStyle w:val="14"/>
          <w:rFonts w:hint="eastAsia" w:ascii="黑体" w:hAnsi="黑体" w:eastAsia="黑体" w:cs="黑体"/>
          <w:b w:val="0"/>
          <w:bCs/>
          <w:color w:val="auto"/>
          <w:sz w:val="32"/>
          <w:szCs w:val="32"/>
          <w:lang w:eastAsia="zh-CN"/>
        </w:rPr>
        <w:t>第十一章</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附</w:t>
      </w:r>
      <w:r>
        <w:rPr>
          <w:rStyle w:val="14"/>
          <w:rFonts w:hint="eastAsia" w:ascii="黑体" w:hAnsi="黑体" w:eastAsia="黑体" w:cs="黑体"/>
          <w:b w:val="0"/>
          <w:bCs/>
          <w:color w:val="auto"/>
          <w:sz w:val="32"/>
          <w:szCs w:val="32"/>
          <w:lang w:val="en-US" w:eastAsia="zh-CN"/>
        </w:rPr>
        <w:t xml:space="preserve">    </w:t>
      </w:r>
      <w:r>
        <w:rPr>
          <w:rStyle w:val="14"/>
          <w:rFonts w:hint="eastAsia" w:ascii="黑体" w:hAnsi="黑体" w:eastAsia="黑体" w:cs="黑体"/>
          <w:b w:val="0"/>
          <w:bCs/>
          <w:color w:val="auto"/>
          <w:sz w:val="32"/>
          <w:szCs w:val="32"/>
          <w:lang w:eastAsia="zh-CN"/>
        </w:rPr>
        <w:t>则</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firstLine="640"/>
        <w:jc w:val="both"/>
        <w:textAlignment w:val="auto"/>
        <w:rPr>
          <w:rFonts w:hint="eastAsia" w:ascii="仿宋" w:hAnsi="仿宋" w:eastAsia="仿宋" w:cs="仿宋"/>
          <w:bCs/>
          <w:color w:val="auto"/>
          <w:sz w:val="32"/>
          <w:szCs w:val="32"/>
        </w:rPr>
      </w:pPr>
      <w:r>
        <w:rPr>
          <w:rStyle w:val="14"/>
          <w:rFonts w:hint="eastAsia" w:ascii="黑体" w:hAnsi="黑体" w:eastAsia="黑体" w:cs="黑体"/>
          <w:b w:val="0"/>
          <w:bCs/>
          <w:color w:val="auto"/>
          <w:sz w:val="32"/>
          <w:szCs w:val="32"/>
          <w:highlight w:val="none"/>
        </w:rPr>
        <w:t>第</w:t>
      </w:r>
      <w:r>
        <w:rPr>
          <w:rStyle w:val="14"/>
          <w:rFonts w:hint="eastAsia" w:ascii="黑体" w:hAnsi="黑体" w:eastAsia="黑体" w:cs="黑体"/>
          <w:b w:val="0"/>
          <w:bCs/>
          <w:color w:val="auto"/>
          <w:sz w:val="32"/>
          <w:szCs w:val="32"/>
          <w:highlight w:val="none"/>
          <w:lang w:eastAsia="zh-CN"/>
        </w:rPr>
        <w:t>五十九</w:t>
      </w:r>
      <w:r>
        <w:rPr>
          <w:rStyle w:val="14"/>
          <w:rFonts w:hint="eastAsia" w:ascii="黑体" w:hAnsi="黑体" w:eastAsia="黑体" w:cs="黑体"/>
          <w:b w:val="0"/>
          <w:bCs/>
          <w:color w:val="auto"/>
          <w:sz w:val="32"/>
          <w:szCs w:val="32"/>
          <w:highlight w:val="none"/>
        </w:rPr>
        <w:t xml:space="preserve">条 </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政府投资基金投资境外企业，按照境外投资有关规定办理。</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ascii="仿宋" w:hAnsi="仿宋" w:eastAsia="仿宋" w:cs="仿宋"/>
          <w:bCs/>
          <w:color w:val="auto"/>
          <w:sz w:val="32"/>
          <w:szCs w:val="32"/>
        </w:rPr>
      </w:pPr>
      <w:r>
        <w:rPr>
          <w:rStyle w:val="14"/>
          <w:rFonts w:hint="eastAsia" w:ascii="仿宋" w:hAnsi="仿宋" w:eastAsia="仿宋" w:cs="仿宋"/>
          <w:b w:val="0"/>
          <w:bCs/>
          <w:color w:val="auto"/>
          <w:sz w:val="32"/>
          <w:szCs w:val="32"/>
        </w:rPr>
        <w:t xml:space="preserve"> </w:t>
      </w: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六十</w:t>
      </w:r>
      <w:r>
        <w:rPr>
          <w:rStyle w:val="14"/>
          <w:rFonts w:hint="eastAsia" w:ascii="黑体" w:hAnsi="黑体" w:eastAsia="黑体" w:cs="黑体"/>
          <w:b w:val="0"/>
          <w:bCs/>
          <w:color w:val="auto"/>
          <w:sz w:val="32"/>
          <w:szCs w:val="32"/>
          <w:highlight w:val="none"/>
        </w:rPr>
        <w:t xml:space="preserve">条 </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本办法</w:t>
      </w:r>
      <w:r>
        <w:rPr>
          <w:rFonts w:hint="eastAsia" w:ascii="仿宋" w:hAnsi="仿宋" w:eastAsia="仿宋" w:cs="仿宋"/>
          <w:bCs/>
          <w:color w:val="auto"/>
          <w:sz w:val="32"/>
          <w:szCs w:val="32"/>
          <w:lang w:eastAsia="zh-CN"/>
        </w:rPr>
        <w:t>中未明确的事项</w:t>
      </w:r>
      <w:r>
        <w:rPr>
          <w:rFonts w:hint="eastAsia" w:ascii="仿宋" w:hAnsi="仿宋" w:eastAsia="仿宋" w:cs="仿宋"/>
          <w:bCs/>
          <w:color w:val="auto"/>
          <w:sz w:val="32"/>
          <w:szCs w:val="32"/>
        </w:rPr>
        <w:t>，在国家和自治区出台的其他政策中有规定的，遵照其他政策执行。</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left="0" w:leftChars="0"/>
        <w:jc w:val="both"/>
        <w:textAlignment w:val="auto"/>
        <w:rPr>
          <w:rFonts w:hint="eastAsia"/>
        </w:rPr>
      </w:pPr>
      <w:r>
        <w:rPr>
          <w:rStyle w:val="14"/>
          <w:rFonts w:hint="eastAsia" w:ascii="黑体" w:hAnsi="黑体" w:eastAsia="黑体" w:cs="黑体"/>
          <w:b w:val="0"/>
          <w:bCs/>
          <w:color w:val="auto"/>
          <w:sz w:val="32"/>
          <w:szCs w:val="32"/>
          <w:highlight w:val="none"/>
        </w:rPr>
        <w:t xml:space="preserve">    第</w:t>
      </w:r>
      <w:r>
        <w:rPr>
          <w:rStyle w:val="14"/>
          <w:rFonts w:hint="eastAsia" w:ascii="黑体" w:hAnsi="黑体" w:eastAsia="黑体" w:cs="黑体"/>
          <w:b w:val="0"/>
          <w:bCs/>
          <w:color w:val="auto"/>
          <w:sz w:val="32"/>
          <w:szCs w:val="32"/>
          <w:highlight w:val="none"/>
          <w:lang w:eastAsia="zh-CN"/>
        </w:rPr>
        <w:t>六十一</w:t>
      </w:r>
      <w:r>
        <w:rPr>
          <w:rStyle w:val="14"/>
          <w:rFonts w:hint="eastAsia" w:ascii="黑体" w:hAnsi="黑体" w:eastAsia="黑体" w:cs="黑体"/>
          <w:b w:val="0"/>
          <w:bCs/>
          <w:color w:val="auto"/>
          <w:sz w:val="32"/>
          <w:szCs w:val="32"/>
          <w:highlight w:val="none"/>
        </w:rPr>
        <w:t xml:space="preserve">条 </w:t>
      </w:r>
      <w:r>
        <w:rPr>
          <w:rStyle w:val="14"/>
          <w:rFonts w:hint="eastAsia" w:ascii="仿宋" w:hAnsi="仿宋" w:eastAsia="仿宋" w:cs="仿宋"/>
          <w:b w:val="0"/>
          <w:bCs/>
          <w:color w:val="auto"/>
          <w:sz w:val="32"/>
          <w:szCs w:val="32"/>
        </w:rPr>
        <w:t xml:space="preserve"> </w:t>
      </w:r>
      <w:r>
        <w:rPr>
          <w:rFonts w:hint="eastAsia" w:ascii="仿宋" w:hAnsi="仿宋" w:eastAsia="仿宋" w:cs="仿宋"/>
          <w:bCs/>
          <w:color w:val="auto"/>
          <w:sz w:val="32"/>
          <w:szCs w:val="32"/>
        </w:rPr>
        <w:t>本办法自</w:t>
      </w:r>
      <w:r>
        <w:rPr>
          <w:rFonts w:hint="eastAsia" w:ascii="仿宋" w:hAnsi="仿宋" w:eastAsia="仿宋" w:cs="仿宋"/>
          <w:bCs/>
          <w:color w:val="auto"/>
          <w:sz w:val="32"/>
          <w:szCs w:val="32"/>
          <w:lang w:eastAsia="zh-CN"/>
        </w:rPr>
        <w:t>印发</w:t>
      </w:r>
      <w:r>
        <w:rPr>
          <w:rFonts w:hint="eastAsia" w:ascii="仿宋" w:hAnsi="仿宋" w:eastAsia="仿宋" w:cs="仿宋"/>
          <w:bCs/>
          <w:color w:val="auto"/>
          <w:sz w:val="32"/>
          <w:szCs w:val="32"/>
        </w:rPr>
        <w:t>之日起施行</w:t>
      </w:r>
      <w:r>
        <w:rPr>
          <w:rFonts w:hint="eastAsia" w:ascii="仿宋" w:hAnsi="仿宋" w:eastAsia="仿宋" w:cs="仿宋"/>
          <w:bCs/>
          <w:color w:val="auto"/>
          <w:sz w:val="32"/>
          <w:szCs w:val="32"/>
          <w:lang w:eastAsia="zh-CN"/>
        </w:rPr>
        <w:t>。</w:t>
      </w:r>
      <w:r>
        <w:rPr>
          <w:rFonts w:hint="eastAsia" w:ascii="仿宋" w:hAnsi="仿宋" w:eastAsia="仿宋" w:cs="仿宋"/>
          <w:b w:val="0"/>
          <w:bCs w:val="0"/>
          <w:color w:val="auto"/>
          <w:sz w:val="32"/>
          <w:szCs w:val="32"/>
          <w:highlight w:val="none"/>
          <w:lang w:val="en-US" w:eastAsia="zh-CN"/>
        </w:rPr>
        <w:t>本办法施行前，自治区各级人民政府已经设立的政府投资基金，适用《内蒙古自治区人民政府办公厅关于印发〈内蒙古自治区政府投资基金管理暂</w:t>
      </w:r>
      <w:r>
        <w:rPr>
          <w:rFonts w:hint="eastAsia" w:ascii="仿宋" w:hAnsi="仿宋" w:eastAsia="仿宋" w:cs="仿宋"/>
          <w:b w:val="0"/>
          <w:bCs w:val="0"/>
          <w:color w:val="auto"/>
          <w:spacing w:val="-6"/>
          <w:sz w:val="32"/>
          <w:szCs w:val="32"/>
          <w:highlight w:val="none"/>
          <w:lang w:val="en-US" w:eastAsia="zh-CN"/>
        </w:rPr>
        <w:t>行办法〉的通知》（内政办发〔2018〕100号），其预算管理、资</w:t>
      </w:r>
      <w:r>
        <w:rPr>
          <w:rFonts w:hint="eastAsia" w:ascii="仿宋" w:hAnsi="仿宋" w:eastAsia="仿宋" w:cs="仿宋"/>
          <w:b w:val="0"/>
          <w:bCs w:val="0"/>
          <w:color w:val="auto"/>
          <w:sz w:val="32"/>
          <w:szCs w:val="32"/>
          <w:highlight w:val="none"/>
          <w:lang w:val="en-US" w:eastAsia="zh-CN"/>
        </w:rPr>
        <w:t>产管理、绩</w:t>
      </w:r>
      <w:r>
        <w:rPr>
          <w:rFonts w:hint="eastAsia" w:ascii="仿宋" w:hAnsi="仿宋" w:eastAsia="仿宋" w:cs="仿宋"/>
          <w:b w:val="0"/>
          <w:bCs w:val="0"/>
          <w:color w:val="auto"/>
          <w:spacing w:val="-6"/>
          <w:sz w:val="32"/>
          <w:szCs w:val="32"/>
          <w:highlight w:val="none"/>
          <w:lang w:val="en-US" w:eastAsia="zh-CN"/>
        </w:rPr>
        <w:t>效评价及监督管理、终止和退出等行为延续至本办法施行后的，</w:t>
      </w:r>
      <w:r>
        <w:rPr>
          <w:rFonts w:hint="eastAsia" w:ascii="仿宋" w:hAnsi="仿宋" w:eastAsia="仿宋" w:cs="仿宋"/>
          <w:b w:val="0"/>
          <w:bCs w:val="0"/>
          <w:color w:val="auto"/>
          <w:sz w:val="32"/>
          <w:szCs w:val="32"/>
          <w:highlight w:val="none"/>
          <w:lang w:val="en-US" w:eastAsia="zh-CN"/>
        </w:rPr>
        <w:t>适用本办法的规定。</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1"/>
        <w:tblW w:w="8962"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6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6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6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4</w:t>
            </w:r>
            <w:r>
              <w:rPr>
                <w:rFonts w:hint="eastAsia" w:ascii="仿宋_GB2312" w:eastAsia="仿宋_GB2312"/>
                <w:sz w:val="28"/>
              </w:rPr>
              <w:t>月</w:t>
            </w:r>
            <w:r>
              <w:rPr>
                <w:rFonts w:hint="eastAsia" w:ascii="仿宋_GB2312" w:eastAsia="仿宋_GB2312"/>
                <w:sz w:val="28"/>
                <w:lang w:val="en-US" w:eastAsia="zh-CN"/>
              </w:rPr>
              <w:t>2</w:t>
            </w:r>
            <w:r>
              <w:rPr>
                <w:rFonts w:hint="eastAsia" w:ascii="仿宋_GB2312" w:eastAsia="仿宋_GB2312"/>
                <w:sz w:val="28"/>
              </w:rPr>
              <w:t>日印发</w:t>
            </w:r>
          </w:p>
        </w:tc>
      </w:tr>
    </w:tbl>
    <w:p>
      <w:pPr>
        <w:spacing w:line="20" w:lineRule="exact"/>
        <w:rPr>
          <w:rFonts w:hint="eastAsia"/>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3733800</wp:posOffset>
            </wp:positionH>
            <wp:positionV relativeFrom="paragraph">
              <wp:posOffset>236220</wp:posOffset>
            </wp:positionV>
            <wp:extent cx="1715135" cy="514350"/>
            <wp:effectExtent l="0" t="0" r="18415" b="0"/>
            <wp:wrapSquare wrapText="bothSides"/>
            <wp:docPr id="1" name="图片 5" descr="NZB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BF1"/>
                    <pic:cNvPicPr>
                      <a:picLocks noChangeAspect="1"/>
                    </pic:cNvPicPr>
                  </pic:nvPicPr>
                  <pic:blipFill>
                    <a:blip r:embed="rId8"/>
                    <a:stretch>
                      <a:fillRect/>
                    </a:stretch>
                  </pic:blipFill>
                  <pic:spPr>
                    <a:xfrm>
                      <a:off x="0" y="0"/>
                      <a:ext cx="1715135" cy="51435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16F7"/>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A6755"/>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11A"/>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B71C1"/>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4F1B"/>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2406"/>
    <w:rsid w:val="00A746B2"/>
    <w:rsid w:val="00A74FC4"/>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6F3"/>
    <w:rsid w:val="00B40DCF"/>
    <w:rsid w:val="00B41574"/>
    <w:rsid w:val="00B43C7B"/>
    <w:rsid w:val="00B4489A"/>
    <w:rsid w:val="00B4656E"/>
    <w:rsid w:val="00B47AB4"/>
    <w:rsid w:val="00B509ED"/>
    <w:rsid w:val="00B51750"/>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410E7"/>
    <w:rsid w:val="011B684E"/>
    <w:rsid w:val="023B43DC"/>
    <w:rsid w:val="030C5A8C"/>
    <w:rsid w:val="043D4CEA"/>
    <w:rsid w:val="046265A2"/>
    <w:rsid w:val="04951C6E"/>
    <w:rsid w:val="04D871BC"/>
    <w:rsid w:val="05AE2AB9"/>
    <w:rsid w:val="074D26E8"/>
    <w:rsid w:val="083A6877"/>
    <w:rsid w:val="09FF7EBD"/>
    <w:rsid w:val="0FEF32CA"/>
    <w:rsid w:val="10AA3895"/>
    <w:rsid w:val="11095B8B"/>
    <w:rsid w:val="110F26B1"/>
    <w:rsid w:val="12F2EFE7"/>
    <w:rsid w:val="13404ED0"/>
    <w:rsid w:val="13FF68CD"/>
    <w:rsid w:val="15DDE197"/>
    <w:rsid w:val="16036302"/>
    <w:rsid w:val="16A022AB"/>
    <w:rsid w:val="17BF0607"/>
    <w:rsid w:val="17FE670A"/>
    <w:rsid w:val="19DFDFF2"/>
    <w:rsid w:val="1A7D41CF"/>
    <w:rsid w:val="1C8366E2"/>
    <w:rsid w:val="1CF777BC"/>
    <w:rsid w:val="1DEF9AB7"/>
    <w:rsid w:val="1E5B2B1E"/>
    <w:rsid w:val="1F1F6C8E"/>
    <w:rsid w:val="1FD3237E"/>
    <w:rsid w:val="1FD86B4F"/>
    <w:rsid w:val="1FE36D7A"/>
    <w:rsid w:val="21CE0EBF"/>
    <w:rsid w:val="22F16BDA"/>
    <w:rsid w:val="2396438B"/>
    <w:rsid w:val="24485B15"/>
    <w:rsid w:val="25984E90"/>
    <w:rsid w:val="25EF5662"/>
    <w:rsid w:val="26C82B97"/>
    <w:rsid w:val="26D846AB"/>
    <w:rsid w:val="273E7C3F"/>
    <w:rsid w:val="27B5125A"/>
    <w:rsid w:val="2A615292"/>
    <w:rsid w:val="2BBD91C9"/>
    <w:rsid w:val="2BBEEBDC"/>
    <w:rsid w:val="2BC6752B"/>
    <w:rsid w:val="2EDB0DEE"/>
    <w:rsid w:val="2EDF754F"/>
    <w:rsid w:val="2F314E0D"/>
    <w:rsid w:val="2F7E1441"/>
    <w:rsid w:val="2F7F8DC9"/>
    <w:rsid w:val="2FEB8FBA"/>
    <w:rsid w:val="2FF788ED"/>
    <w:rsid w:val="30FF4363"/>
    <w:rsid w:val="32D75A45"/>
    <w:rsid w:val="33BFF7CD"/>
    <w:rsid w:val="345F2CD7"/>
    <w:rsid w:val="35BE7998"/>
    <w:rsid w:val="36C711AC"/>
    <w:rsid w:val="37BD6FE1"/>
    <w:rsid w:val="37CC2D27"/>
    <w:rsid w:val="37E7BE3D"/>
    <w:rsid w:val="389E7AE5"/>
    <w:rsid w:val="399E0F98"/>
    <w:rsid w:val="39AF10B8"/>
    <w:rsid w:val="39FFC942"/>
    <w:rsid w:val="3A4E2F34"/>
    <w:rsid w:val="3AD3211B"/>
    <w:rsid w:val="3BE7A112"/>
    <w:rsid w:val="3C6B26BF"/>
    <w:rsid w:val="3CF24EE9"/>
    <w:rsid w:val="3D3DD39C"/>
    <w:rsid w:val="3DD33EA6"/>
    <w:rsid w:val="3DDE879B"/>
    <w:rsid w:val="3DFBDE21"/>
    <w:rsid w:val="3E2866CC"/>
    <w:rsid w:val="3F6F12B4"/>
    <w:rsid w:val="3FDB298D"/>
    <w:rsid w:val="41D75940"/>
    <w:rsid w:val="43FF97A6"/>
    <w:rsid w:val="456E4695"/>
    <w:rsid w:val="465327CE"/>
    <w:rsid w:val="48A045AB"/>
    <w:rsid w:val="4A456A7E"/>
    <w:rsid w:val="4BB12688"/>
    <w:rsid w:val="4CCF43CF"/>
    <w:rsid w:val="4D1709C3"/>
    <w:rsid w:val="4DDD8258"/>
    <w:rsid w:val="4DFF2696"/>
    <w:rsid w:val="4DFFA73D"/>
    <w:rsid w:val="4F6A2AE2"/>
    <w:rsid w:val="4F6FED3D"/>
    <w:rsid w:val="4F9B218A"/>
    <w:rsid w:val="4FBB2524"/>
    <w:rsid w:val="4FBF2882"/>
    <w:rsid w:val="51650C56"/>
    <w:rsid w:val="51796035"/>
    <w:rsid w:val="540F0375"/>
    <w:rsid w:val="54FF8DEC"/>
    <w:rsid w:val="55374A8D"/>
    <w:rsid w:val="56B77426"/>
    <w:rsid w:val="56F5D172"/>
    <w:rsid w:val="57CC07EF"/>
    <w:rsid w:val="57FE40D0"/>
    <w:rsid w:val="58135360"/>
    <w:rsid w:val="59ED1E93"/>
    <w:rsid w:val="5B4E432F"/>
    <w:rsid w:val="5BAE3879"/>
    <w:rsid w:val="5BE8DC9C"/>
    <w:rsid w:val="5BED11FB"/>
    <w:rsid w:val="5C957B5A"/>
    <w:rsid w:val="5DC12740"/>
    <w:rsid w:val="5DDBA992"/>
    <w:rsid w:val="5DFDAEEF"/>
    <w:rsid w:val="5EBE0210"/>
    <w:rsid w:val="5EBE7515"/>
    <w:rsid w:val="5EBF7D09"/>
    <w:rsid w:val="5F45041F"/>
    <w:rsid w:val="5F47D35C"/>
    <w:rsid w:val="5F4F7D06"/>
    <w:rsid w:val="5F8FE584"/>
    <w:rsid w:val="5FC69B8B"/>
    <w:rsid w:val="5FC7B001"/>
    <w:rsid w:val="5FEF2529"/>
    <w:rsid w:val="5FEFD790"/>
    <w:rsid w:val="5FF48BD1"/>
    <w:rsid w:val="5FFBEF9A"/>
    <w:rsid w:val="5FFF8692"/>
    <w:rsid w:val="60A76D6C"/>
    <w:rsid w:val="64AFD7C3"/>
    <w:rsid w:val="64B86B45"/>
    <w:rsid w:val="65D7963D"/>
    <w:rsid w:val="66AFD6D8"/>
    <w:rsid w:val="673F65E4"/>
    <w:rsid w:val="67AA1BFF"/>
    <w:rsid w:val="67E6A2D3"/>
    <w:rsid w:val="67F88528"/>
    <w:rsid w:val="68DF471C"/>
    <w:rsid w:val="693FE925"/>
    <w:rsid w:val="695F73C7"/>
    <w:rsid w:val="6BBF2E09"/>
    <w:rsid w:val="6BED4075"/>
    <w:rsid w:val="6C60119C"/>
    <w:rsid w:val="6C7A2703"/>
    <w:rsid w:val="6DDE34EE"/>
    <w:rsid w:val="6DF23E6F"/>
    <w:rsid w:val="6DF7CE69"/>
    <w:rsid w:val="6E9F9A29"/>
    <w:rsid w:val="6EDF50B6"/>
    <w:rsid w:val="6F2C465B"/>
    <w:rsid w:val="6F5B1491"/>
    <w:rsid w:val="6F7FD293"/>
    <w:rsid w:val="6FF141A7"/>
    <w:rsid w:val="6FFDA50B"/>
    <w:rsid w:val="6FFF91B3"/>
    <w:rsid w:val="71CFDC03"/>
    <w:rsid w:val="722D19B3"/>
    <w:rsid w:val="723138A2"/>
    <w:rsid w:val="725E2B25"/>
    <w:rsid w:val="728F1E7C"/>
    <w:rsid w:val="72D52371"/>
    <w:rsid w:val="72FFD40A"/>
    <w:rsid w:val="73F5E2B9"/>
    <w:rsid w:val="73FDB14B"/>
    <w:rsid w:val="74DD0BFD"/>
    <w:rsid w:val="74E780A6"/>
    <w:rsid w:val="74FBE15C"/>
    <w:rsid w:val="755E0822"/>
    <w:rsid w:val="759CA2A9"/>
    <w:rsid w:val="75BF2B0F"/>
    <w:rsid w:val="75F546D0"/>
    <w:rsid w:val="75FBF560"/>
    <w:rsid w:val="769F7AB2"/>
    <w:rsid w:val="76E62AC7"/>
    <w:rsid w:val="774A9199"/>
    <w:rsid w:val="77665557"/>
    <w:rsid w:val="77734B75"/>
    <w:rsid w:val="778D9902"/>
    <w:rsid w:val="77AA6A3B"/>
    <w:rsid w:val="77AE3F73"/>
    <w:rsid w:val="77BF4C13"/>
    <w:rsid w:val="77D77261"/>
    <w:rsid w:val="77EFC730"/>
    <w:rsid w:val="77FF33F2"/>
    <w:rsid w:val="78EDD0F9"/>
    <w:rsid w:val="797D215B"/>
    <w:rsid w:val="7997562B"/>
    <w:rsid w:val="79976BB6"/>
    <w:rsid w:val="79CF26A8"/>
    <w:rsid w:val="79D70EC9"/>
    <w:rsid w:val="79D7D05A"/>
    <w:rsid w:val="79FE4EB8"/>
    <w:rsid w:val="79FF42F8"/>
    <w:rsid w:val="7AA226C9"/>
    <w:rsid w:val="7ADF8EE4"/>
    <w:rsid w:val="7AFFAC1B"/>
    <w:rsid w:val="7B5F1429"/>
    <w:rsid w:val="7B75DC66"/>
    <w:rsid w:val="7B77EA60"/>
    <w:rsid w:val="7B7ECC78"/>
    <w:rsid w:val="7B7FFB4F"/>
    <w:rsid w:val="7BBF6CD7"/>
    <w:rsid w:val="7BDB88FD"/>
    <w:rsid w:val="7BEA2135"/>
    <w:rsid w:val="7BFA71EA"/>
    <w:rsid w:val="7CBFE3F4"/>
    <w:rsid w:val="7CE7C1E4"/>
    <w:rsid w:val="7CF1FC84"/>
    <w:rsid w:val="7D164783"/>
    <w:rsid w:val="7D3742C4"/>
    <w:rsid w:val="7D772DBC"/>
    <w:rsid w:val="7D7785FA"/>
    <w:rsid w:val="7DAF9C76"/>
    <w:rsid w:val="7DB90B98"/>
    <w:rsid w:val="7DBF6B6F"/>
    <w:rsid w:val="7DDF4397"/>
    <w:rsid w:val="7DEBC8AC"/>
    <w:rsid w:val="7DEE555F"/>
    <w:rsid w:val="7DFAEBFE"/>
    <w:rsid w:val="7DFFCB3D"/>
    <w:rsid w:val="7E06559B"/>
    <w:rsid w:val="7E3E51D6"/>
    <w:rsid w:val="7E7AE1C8"/>
    <w:rsid w:val="7E7F44D5"/>
    <w:rsid w:val="7E960D71"/>
    <w:rsid w:val="7EBD7883"/>
    <w:rsid w:val="7EDF0F22"/>
    <w:rsid w:val="7EFF7714"/>
    <w:rsid w:val="7F1FF247"/>
    <w:rsid w:val="7F3BFF95"/>
    <w:rsid w:val="7F5E4064"/>
    <w:rsid w:val="7F5FCA6C"/>
    <w:rsid w:val="7F750EDF"/>
    <w:rsid w:val="7F7BCA73"/>
    <w:rsid w:val="7F7F4597"/>
    <w:rsid w:val="7F9E80B8"/>
    <w:rsid w:val="7F9F1DCF"/>
    <w:rsid w:val="7F9F6B47"/>
    <w:rsid w:val="7F9F6C67"/>
    <w:rsid w:val="7F9FFEFD"/>
    <w:rsid w:val="7FBE736A"/>
    <w:rsid w:val="7FC64539"/>
    <w:rsid w:val="7FEFB556"/>
    <w:rsid w:val="7FEFD3D7"/>
    <w:rsid w:val="7FF6EA83"/>
    <w:rsid w:val="7FFB8C5A"/>
    <w:rsid w:val="7FFD08AE"/>
    <w:rsid w:val="7FFD39D2"/>
    <w:rsid w:val="7FFF5433"/>
    <w:rsid w:val="7FFF5B97"/>
    <w:rsid w:val="7FFFAE44"/>
    <w:rsid w:val="896F11D1"/>
    <w:rsid w:val="8BEFF70C"/>
    <w:rsid w:val="8F6FE71C"/>
    <w:rsid w:val="8FE5E9C6"/>
    <w:rsid w:val="96A7CB88"/>
    <w:rsid w:val="997EC1C9"/>
    <w:rsid w:val="9ACF5A3A"/>
    <w:rsid w:val="9DB6CB9D"/>
    <w:rsid w:val="9DFC7572"/>
    <w:rsid w:val="9EDFA7B7"/>
    <w:rsid w:val="9F7760A4"/>
    <w:rsid w:val="9F7BAEA3"/>
    <w:rsid w:val="9F7E32A7"/>
    <w:rsid w:val="9FF37BD8"/>
    <w:rsid w:val="A7E93C25"/>
    <w:rsid w:val="AB27F1DC"/>
    <w:rsid w:val="ABBCB24E"/>
    <w:rsid w:val="AD2FBC54"/>
    <w:rsid w:val="AD5FFCC1"/>
    <w:rsid w:val="AEF56192"/>
    <w:rsid w:val="AF3FBB2E"/>
    <w:rsid w:val="AF7F9132"/>
    <w:rsid w:val="AFB0A308"/>
    <w:rsid w:val="B0D91CD6"/>
    <w:rsid w:val="B37D0A1B"/>
    <w:rsid w:val="B3F614CB"/>
    <w:rsid w:val="B3FFBE71"/>
    <w:rsid w:val="B57B541A"/>
    <w:rsid w:val="B62F7BBC"/>
    <w:rsid w:val="B6ED5E69"/>
    <w:rsid w:val="B8BC095D"/>
    <w:rsid w:val="B9E75F9D"/>
    <w:rsid w:val="B9EE1E0B"/>
    <w:rsid w:val="B9FA7802"/>
    <w:rsid w:val="BAF5A4BB"/>
    <w:rsid w:val="BB3F5673"/>
    <w:rsid w:val="BBBF29BB"/>
    <w:rsid w:val="BBE34CC8"/>
    <w:rsid w:val="BDF74CA6"/>
    <w:rsid w:val="BDFF29C6"/>
    <w:rsid w:val="BDFFC201"/>
    <w:rsid w:val="BE587E71"/>
    <w:rsid w:val="BEEB8B82"/>
    <w:rsid w:val="BEFFEA9C"/>
    <w:rsid w:val="BF3BA1CE"/>
    <w:rsid w:val="BF7724FE"/>
    <w:rsid w:val="BF9EBC10"/>
    <w:rsid w:val="BFA3986D"/>
    <w:rsid w:val="BFDB4461"/>
    <w:rsid w:val="BFE7B80A"/>
    <w:rsid w:val="BFF65D4C"/>
    <w:rsid w:val="BFF7442D"/>
    <w:rsid w:val="BFFC37AA"/>
    <w:rsid w:val="BFFF5610"/>
    <w:rsid w:val="C0DFE680"/>
    <w:rsid w:val="C3A6D85B"/>
    <w:rsid w:val="C3FF7B94"/>
    <w:rsid w:val="C96BC6FC"/>
    <w:rsid w:val="C9FE259A"/>
    <w:rsid w:val="CBBBBF9C"/>
    <w:rsid w:val="CCDBEC6D"/>
    <w:rsid w:val="CF7A3D3C"/>
    <w:rsid w:val="CFBD6033"/>
    <w:rsid w:val="CFEF7E60"/>
    <w:rsid w:val="CFFEA568"/>
    <w:rsid w:val="CFFF7BF4"/>
    <w:rsid w:val="D36F35A9"/>
    <w:rsid w:val="D53FB062"/>
    <w:rsid w:val="D77910C9"/>
    <w:rsid w:val="D7EF72E5"/>
    <w:rsid w:val="D8B74FDD"/>
    <w:rsid w:val="DAF7E1B3"/>
    <w:rsid w:val="DB579595"/>
    <w:rsid w:val="DBE3D8B7"/>
    <w:rsid w:val="DDBD2661"/>
    <w:rsid w:val="DDD7B0AC"/>
    <w:rsid w:val="DEBF872A"/>
    <w:rsid w:val="DEC5F1F9"/>
    <w:rsid w:val="DF35F514"/>
    <w:rsid w:val="DF3FC634"/>
    <w:rsid w:val="DF7D3E48"/>
    <w:rsid w:val="DF9467F3"/>
    <w:rsid w:val="DF9FAD2D"/>
    <w:rsid w:val="DFDD3121"/>
    <w:rsid w:val="DFF49660"/>
    <w:rsid w:val="DFF945F1"/>
    <w:rsid w:val="DFFFA71B"/>
    <w:rsid w:val="E6F2D2CC"/>
    <w:rsid w:val="E6FFF0BC"/>
    <w:rsid w:val="E97670A2"/>
    <w:rsid w:val="E9FDFDEF"/>
    <w:rsid w:val="EAB57100"/>
    <w:rsid w:val="EAFFBB80"/>
    <w:rsid w:val="EBBBBC4D"/>
    <w:rsid w:val="EBFF48BC"/>
    <w:rsid w:val="ED1B48E8"/>
    <w:rsid w:val="EDDC4E49"/>
    <w:rsid w:val="EE71952A"/>
    <w:rsid w:val="EF4DF21B"/>
    <w:rsid w:val="EF6F2255"/>
    <w:rsid w:val="EF757D9E"/>
    <w:rsid w:val="EFB237CD"/>
    <w:rsid w:val="EFBF5607"/>
    <w:rsid w:val="EFBFF150"/>
    <w:rsid w:val="EFC9DA4E"/>
    <w:rsid w:val="EFDBC654"/>
    <w:rsid w:val="EFDE38DF"/>
    <w:rsid w:val="EFDFC9BC"/>
    <w:rsid w:val="EFEF4D82"/>
    <w:rsid w:val="EFFF670C"/>
    <w:rsid w:val="EFFFCC82"/>
    <w:rsid w:val="F27E5C90"/>
    <w:rsid w:val="F27EA1A3"/>
    <w:rsid w:val="F2EEE342"/>
    <w:rsid w:val="F2F53DB4"/>
    <w:rsid w:val="F37FE04F"/>
    <w:rsid w:val="F39F41E0"/>
    <w:rsid w:val="F3DF991C"/>
    <w:rsid w:val="F45BC7D8"/>
    <w:rsid w:val="F4D7FD61"/>
    <w:rsid w:val="F4EF7373"/>
    <w:rsid w:val="F4F5EBC2"/>
    <w:rsid w:val="F4FBE87F"/>
    <w:rsid w:val="F57F72BE"/>
    <w:rsid w:val="F5AB4073"/>
    <w:rsid w:val="F5D7B6A3"/>
    <w:rsid w:val="F5F75E58"/>
    <w:rsid w:val="F7BB4590"/>
    <w:rsid w:val="F7DAE4D0"/>
    <w:rsid w:val="F7DE8AE8"/>
    <w:rsid w:val="F913CCE6"/>
    <w:rsid w:val="F91E563E"/>
    <w:rsid w:val="F9AFEB94"/>
    <w:rsid w:val="F9BB7A58"/>
    <w:rsid w:val="F9BEF778"/>
    <w:rsid w:val="F9FF98B2"/>
    <w:rsid w:val="FABFFD66"/>
    <w:rsid w:val="FAEEC8B6"/>
    <w:rsid w:val="FAFBC88B"/>
    <w:rsid w:val="FAFE4B8B"/>
    <w:rsid w:val="FAFEF33E"/>
    <w:rsid w:val="FAFF9ECE"/>
    <w:rsid w:val="FB0FF08D"/>
    <w:rsid w:val="FB27F77E"/>
    <w:rsid w:val="FB7FF3B3"/>
    <w:rsid w:val="FB9E2E42"/>
    <w:rsid w:val="FBBF75D7"/>
    <w:rsid w:val="FBE8F8FD"/>
    <w:rsid w:val="FBE93CBB"/>
    <w:rsid w:val="FBEF61AB"/>
    <w:rsid w:val="FBF1B17F"/>
    <w:rsid w:val="FBFBF74D"/>
    <w:rsid w:val="FBFEB3A3"/>
    <w:rsid w:val="FC7F4CEB"/>
    <w:rsid w:val="FCBB6BCF"/>
    <w:rsid w:val="FD4919E2"/>
    <w:rsid w:val="FD776A24"/>
    <w:rsid w:val="FDC992C6"/>
    <w:rsid w:val="FDDBB8B2"/>
    <w:rsid w:val="FDECEE99"/>
    <w:rsid w:val="FDF6AC99"/>
    <w:rsid w:val="FDFED8AF"/>
    <w:rsid w:val="FE1C8C17"/>
    <w:rsid w:val="FEABC167"/>
    <w:rsid w:val="FED73403"/>
    <w:rsid w:val="FEDBB167"/>
    <w:rsid w:val="FEDFC109"/>
    <w:rsid w:val="FEDFEC6D"/>
    <w:rsid w:val="FEFB1741"/>
    <w:rsid w:val="FEFFF875"/>
    <w:rsid w:val="FF5D9204"/>
    <w:rsid w:val="FF5F9613"/>
    <w:rsid w:val="FF7D733F"/>
    <w:rsid w:val="FF7E2056"/>
    <w:rsid w:val="FF7F96EC"/>
    <w:rsid w:val="FF7FC7B5"/>
    <w:rsid w:val="FFBF2653"/>
    <w:rsid w:val="FFDE421A"/>
    <w:rsid w:val="FFDFA6C3"/>
    <w:rsid w:val="FFDFD42E"/>
    <w:rsid w:val="FFE7F8BF"/>
    <w:rsid w:val="FFEE3785"/>
    <w:rsid w:val="FFEF8FC6"/>
    <w:rsid w:val="FFF49C4F"/>
    <w:rsid w:val="FFF5BC68"/>
    <w:rsid w:val="FFFB8B82"/>
    <w:rsid w:val="FFFD0E7C"/>
    <w:rsid w:val="FFFD54A3"/>
    <w:rsid w:val="FFFF5966"/>
    <w:rsid w:val="FFFF75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3">
    <w:name w:val="Document Map"/>
    <w:basedOn w:val="1"/>
    <w:semiHidden/>
    <w:uiPriority w:val="0"/>
    <w:pPr>
      <w:shd w:val="clear" w:color="auto" w:fill="000080"/>
    </w:pPr>
  </w:style>
  <w:style w:type="paragraph" w:styleId="4">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5">
    <w:name w:val="Date"/>
    <w:basedOn w:val="1"/>
    <w:next w:val="1"/>
    <w:link w:val="18"/>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9"/>
    <w:uiPriority w:val="0"/>
    <w:pPr>
      <w:tabs>
        <w:tab w:val="center" w:pos="4153"/>
        <w:tab w:val="right" w:pos="8306"/>
      </w:tabs>
      <w:snapToGrid w:val="0"/>
      <w:jc w:val="left"/>
    </w:pPr>
    <w:rPr>
      <w:sz w:val="18"/>
      <w:szCs w:val="18"/>
    </w:rPr>
  </w:style>
  <w:style w:type="paragraph" w:styleId="8">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9">
    <w:name w:val="List"/>
    <w:basedOn w:val="4"/>
    <w:uiPriority w:val="0"/>
  </w:style>
  <w:style w:type="paragraph" w:styleId="10">
    <w:name w:val="Normal (Web)"/>
    <w:basedOn w:val="1"/>
    <w:uiPriority w:val="0"/>
    <w:pPr>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rFonts w:ascii="Calibri" w:hAnsi="Calibri" w:eastAsia="宋体" w:cs="Times New Roman"/>
      <w:b/>
    </w:rPr>
  </w:style>
  <w:style w:type="character" w:styleId="15">
    <w:name w:val="page number"/>
    <w:basedOn w:val="13"/>
    <w:uiPriority w:val="0"/>
  </w:style>
  <w:style w:type="paragraph" w:customStyle="1" w:styleId="16">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17">
    <w:name w:val="Heading"/>
    <w:basedOn w:val="1"/>
    <w:next w:val="4"/>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character" w:customStyle="1" w:styleId="18">
    <w:name w:val=" Char Char2"/>
    <w:basedOn w:val="13"/>
    <w:link w:val="5"/>
    <w:uiPriority w:val="0"/>
    <w:rPr>
      <w:rFonts w:ascii="仿宋_GB2312" w:hAnsi="Times New Roman" w:eastAsia="仿宋_GB2312" w:cs="Times New Roman"/>
      <w:kern w:val="2"/>
      <w:sz w:val="32"/>
      <w:szCs w:val="24"/>
      <w:lang w:bidi="ar-SA"/>
    </w:rPr>
  </w:style>
  <w:style w:type="character" w:customStyle="1" w:styleId="19">
    <w:name w:val=" Char Char"/>
    <w:basedOn w:val="13"/>
    <w:link w:val="7"/>
    <w:semiHidden/>
    <w:uiPriority w:val="99"/>
    <w:rPr>
      <w:rFonts w:ascii="Calibri" w:hAnsi="Calibri" w:eastAsia="宋体" w:cs="Mongolian Baiti"/>
      <w:kern w:val="2"/>
      <w:sz w:val="18"/>
      <w:szCs w:val="22"/>
    </w:rPr>
  </w:style>
  <w:style w:type="character" w:customStyle="1" w:styleId="20">
    <w:name w:val=" Char Char1"/>
    <w:basedOn w:val="13"/>
    <w:link w:val="8"/>
    <w:semiHidden/>
    <w:uiPriority w:val="99"/>
    <w:rPr>
      <w:rFonts w:ascii="Calibri" w:hAnsi="Calibri" w:eastAsia="宋体" w:cs="Mongolian Baiti"/>
      <w:kern w:val="2"/>
      <w:sz w:val="18"/>
      <w:szCs w:val="22"/>
    </w:rPr>
  </w:style>
  <w:style w:type="character" w:customStyle="1" w:styleId="21">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哈斯高娃:返回拟稿人</cp:lastModifiedBy>
  <cp:lastPrinted>2024-04-02T14:31:39Z</cp:lastPrinted>
  <dcterms:modified xsi:type="dcterms:W3CDTF">2024-04-16T07:09:38Z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