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keepNext w:val="0"/>
        <w:keepLines w:val="0"/>
        <w:pageBreakBefore w:val="0"/>
        <w:kinsoku/>
        <w:overflow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keepNext w:val="0"/>
        <w:keepLines w:val="0"/>
        <w:pageBreakBefore w:val="0"/>
        <w:kinsoku/>
        <w:overflowPunct/>
        <w:autoSpaceDE/>
        <w:autoSpaceDN/>
        <w:bidi w:val="0"/>
        <w:adjustRightInd/>
        <w:snapToGrid/>
        <w:spacing w:line="580" w:lineRule="exact"/>
        <w:jc w:val="center"/>
        <w:textAlignment w:val="auto"/>
        <w:rPr>
          <w:rFonts w:hint="eastAsia" w:ascii="方正小标宋简体" w:hAnsi="宋体" w:eastAsia="方正小标宋简体"/>
          <w:sz w:val="44"/>
          <w:szCs w:val="44"/>
        </w:rPr>
      </w:pPr>
      <w:bookmarkStart w:id="0" w:name="_GoBack"/>
      <w:bookmarkEnd w:id="0"/>
    </w:p>
    <w:p>
      <w:pPr>
        <w:keepNext w:val="0"/>
        <w:keepLines w:val="0"/>
        <w:pageBreakBefore w:val="0"/>
        <w:kinsoku/>
        <w:overflow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内蒙古自治区人民政府关于</w:t>
      </w:r>
    </w:p>
    <w:p>
      <w:pPr>
        <w:keepNext w:val="0"/>
        <w:keepLines w:val="0"/>
        <w:pageBreakBefore w:val="0"/>
        <w:kinsoku/>
        <w:overflow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巴彦淖尔市临河区</w:t>
      </w:r>
      <w:r>
        <w:rPr>
          <w:rFonts w:hint="eastAsia" w:ascii="方正小标宋简体" w:hAnsi="宋体" w:eastAsia="方正小标宋简体"/>
          <w:sz w:val="44"/>
          <w:szCs w:val="44"/>
          <w:lang w:eastAsia="zh-CN"/>
        </w:rPr>
        <w:t>等</w:t>
      </w:r>
      <w:r>
        <w:rPr>
          <w:rFonts w:hint="eastAsia" w:ascii="方正小标宋简体" w:hAnsi="宋体" w:eastAsia="方正小标宋简体"/>
          <w:sz w:val="44"/>
          <w:szCs w:val="44"/>
          <w:lang w:val="en-US" w:eastAsia="zh-CN"/>
        </w:rPr>
        <w:t>旗县（区）</w:t>
      </w:r>
      <w:r>
        <w:rPr>
          <w:rFonts w:hint="eastAsia" w:ascii="方正小标宋简体" w:hAnsi="宋体" w:eastAsia="方正小标宋简体"/>
          <w:sz w:val="44"/>
          <w:szCs w:val="44"/>
        </w:rPr>
        <w:t>国土空间</w:t>
      </w:r>
    </w:p>
    <w:p>
      <w:pPr>
        <w:keepNext w:val="0"/>
        <w:keepLines w:val="0"/>
        <w:pageBreakBefore w:val="0"/>
        <w:kinsoku/>
        <w:overflowPunct/>
        <w:autoSpaceDE/>
        <w:autoSpaceDN/>
        <w:bidi w:val="0"/>
        <w:adjustRightInd/>
        <w:snapToGrid/>
        <w:spacing w:line="580" w:lineRule="exact"/>
        <w:ind w:firstLine="1320" w:firstLineChars="300"/>
        <w:jc w:val="both"/>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总体规划（2021—2035年）的批复</w:t>
      </w:r>
    </w:p>
    <w:p>
      <w:pPr>
        <w:keepNext w:val="0"/>
        <w:keepLines w:val="0"/>
        <w:pageBreakBefore w:val="0"/>
        <w:kinsoku/>
        <w:overflowPunct/>
        <w:autoSpaceDE/>
        <w:autoSpaceDN/>
        <w:bidi w:val="0"/>
        <w:adjustRightInd/>
        <w:snapToGrid/>
        <w:spacing w:line="580" w:lineRule="exact"/>
        <w:ind w:firstLine="1320" w:firstLineChars="300"/>
        <w:jc w:val="both"/>
        <w:textAlignment w:val="auto"/>
        <w:rPr>
          <w:rFonts w:hint="eastAsia" w:ascii="方正小标宋简体" w:hAnsi="宋体" w:eastAsia="方正小标宋简体"/>
          <w:sz w:val="44"/>
          <w:szCs w:val="44"/>
        </w:rPr>
      </w:pPr>
    </w:p>
    <w:p>
      <w:pPr>
        <w:keepNext w:val="0"/>
        <w:keepLines w:val="0"/>
        <w:pageBreakBefore w:val="0"/>
        <w:kinsoku/>
        <w:overflowPunct/>
        <w:autoSpaceDE/>
        <w:autoSpaceDN/>
        <w:bidi w:val="0"/>
        <w:adjustRightInd/>
        <w:snapToGrid/>
        <w:spacing w:line="580" w:lineRule="exact"/>
        <w:ind w:firstLine="960" w:firstLineChars="300"/>
        <w:jc w:val="center"/>
        <w:textAlignment w:val="auto"/>
        <w:rPr>
          <w:rFonts w:hint="eastAsia" w:ascii="方正小标宋简体" w:hAnsi="宋体" w:eastAsia="方正小标宋简体"/>
          <w:sz w:val="44"/>
          <w:szCs w:val="44"/>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87</w:t>
      </w:r>
      <w:r>
        <w:rPr>
          <w:rFonts w:hint="eastAsia" w:ascii="仿宋_GB2312" w:eastAsia="仿宋_GB2312"/>
          <w:sz w:val="32"/>
          <w:szCs w:val="32"/>
        </w:rPr>
        <w:t>号</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textAlignment w:val="auto"/>
        <w:rPr>
          <w:rFonts w:hint="eastAsia" w:ascii="微软雅黑" w:hAnsi="微软雅黑" w:eastAsia="微软雅黑" w:cs="微软雅黑"/>
          <w:color w:val="000000"/>
          <w:sz w:val="27"/>
          <w:szCs w:val="27"/>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巴彦淖尔市人民政府：</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你市《</w:t>
      </w:r>
      <w:r>
        <w:rPr>
          <w:rFonts w:ascii="Times New Roman" w:hAnsi="Times New Roman" w:eastAsia="仿宋_GB2312"/>
          <w:sz w:val="32"/>
          <w:szCs w:val="32"/>
        </w:rPr>
        <w:t>关于</w:t>
      </w:r>
      <w:r>
        <w:rPr>
          <w:rFonts w:hint="eastAsia" w:ascii="Times New Roman" w:hAnsi="Times New Roman" w:eastAsia="仿宋_GB2312"/>
          <w:sz w:val="32"/>
          <w:szCs w:val="32"/>
        </w:rPr>
        <w:t>报送</w:t>
      </w:r>
      <w:r>
        <w:rPr>
          <w:rFonts w:hint="eastAsia" w:ascii="Times New Roman" w:hAnsi="Times New Roman" w:eastAsia="仿宋_GB2312"/>
          <w:snapToGrid w:val="0"/>
          <w:sz w:val="32"/>
          <w:szCs w:val="32"/>
        </w:rPr>
        <w:t>巴彦淖尔市</w:t>
      </w:r>
      <w:r>
        <w:rPr>
          <w:rFonts w:hint="eastAsia" w:ascii="Times New Roman" w:hAnsi="Times New Roman" w:eastAsia="仿宋_GB2312"/>
          <w:sz w:val="32"/>
          <w:szCs w:val="32"/>
        </w:rPr>
        <w:t>7个旗县区</w:t>
      </w:r>
      <w:r>
        <w:rPr>
          <w:rFonts w:ascii="Times New Roman" w:hAnsi="Times New Roman" w:eastAsia="仿宋_GB2312"/>
          <w:sz w:val="32"/>
          <w:szCs w:val="32"/>
        </w:rPr>
        <w:t>国土空间总体规划的请示》（</w:t>
      </w:r>
      <w:r>
        <w:rPr>
          <w:rFonts w:hint="eastAsia" w:ascii="Times New Roman" w:hAnsi="Times New Roman" w:eastAsia="仿宋_GB2312"/>
          <w:sz w:val="32"/>
          <w:szCs w:val="32"/>
        </w:rPr>
        <w:t>巴政报</w:t>
      </w:r>
      <w:r>
        <w:rPr>
          <w:rFonts w:ascii="Times New Roman" w:hAnsi="Times New Roman" w:eastAsia="仿宋_GB2312"/>
          <w:sz w:val="32"/>
          <w:szCs w:val="32"/>
        </w:rPr>
        <w:t>〔2023〕</w:t>
      </w:r>
      <w:r>
        <w:rPr>
          <w:rFonts w:hint="eastAsia" w:ascii="Times New Roman" w:hAnsi="Times New Roman" w:eastAsia="仿宋_GB2312"/>
          <w:sz w:val="32"/>
          <w:szCs w:val="32"/>
        </w:rPr>
        <w:t>72</w:t>
      </w:r>
      <w:r>
        <w:rPr>
          <w:rFonts w:ascii="Times New Roman" w:hAnsi="Times New Roman" w:eastAsia="仿宋_GB2312"/>
          <w:sz w:val="32"/>
          <w:szCs w:val="32"/>
        </w:rPr>
        <w:t>号）</w:t>
      </w:r>
      <w:r>
        <w:rPr>
          <w:rFonts w:hint="eastAsia" w:ascii="仿宋_GB2312" w:hAnsi="仿宋_GB2312" w:eastAsia="仿宋_GB2312" w:cs="仿宋_GB2312"/>
          <w:color w:val="000000"/>
          <w:sz w:val="32"/>
          <w:szCs w:val="32"/>
          <w:shd w:val="clear" w:color="auto" w:fill="FFFFFF"/>
        </w:rPr>
        <w:t>收悉。现批复如下：</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一、原则同</w:t>
      </w:r>
      <w:r>
        <w:rPr>
          <w:rFonts w:hint="eastAsia" w:ascii="Times New Roman" w:hAnsi="Times New Roman" w:eastAsia="仿宋_GB2312"/>
          <w:snapToGrid w:val="0"/>
          <w:sz w:val="32"/>
          <w:szCs w:val="32"/>
        </w:rPr>
        <w:t>意自治区有关部门联合审查通过的《巴</w:t>
      </w:r>
      <w:r>
        <w:rPr>
          <w:rFonts w:hint="eastAsia" w:ascii="仿宋_GB2312" w:hAnsi="仿宋_GB2312" w:eastAsia="仿宋_GB2312" w:cs="仿宋_GB2312"/>
          <w:color w:val="000000"/>
          <w:sz w:val="32"/>
          <w:szCs w:val="32"/>
          <w:shd w:val="clear" w:color="auto" w:fill="FFFFFF"/>
        </w:rPr>
        <w:t>彦淖尔市临河区国土空间</w:t>
      </w:r>
      <w:r>
        <w:rPr>
          <w:rFonts w:hint="eastAsia" w:ascii="Times New Roman" w:hAnsi="Times New Roman" w:eastAsia="仿宋_GB2312"/>
          <w:sz w:val="32"/>
          <w:szCs w:val="32"/>
        </w:rPr>
        <w:t>总体规划（2021—2035年）》、《巴彦淖尔市乌拉特前旗国土空间总体规划（2021—2035年）》、《巴彦淖尔市乌拉特中旗国土空间总体规划（2021—2035年）》、《巴彦淖尔市乌拉特后旗国土空间总体规划（2021—2035年）》、《巴彦淖尔市五原县国土空间总体规划（2021—2035年）》、《巴彦淖尔市杭锦后旗国土空间总体规划（2021—2035年）》、《巴彦淖尔市磴口县国土空间总体规划（2021—2035年）》</w:t>
      </w:r>
      <w:r>
        <w:rPr>
          <w:rFonts w:hint="eastAsia" w:eastAsia="仿宋_GB2312"/>
          <w:sz w:val="32"/>
          <w:szCs w:val="32"/>
          <w:lang w:eastAsia="zh-CN"/>
        </w:rPr>
        <w:t>（以下统称《规划》）</w:t>
      </w:r>
      <w:r>
        <w:rPr>
          <w:rFonts w:hint="eastAsia" w:ascii="仿宋_GB2312" w:hAnsi="仿宋_GB2312" w:eastAsia="仿宋_GB2312" w:cs="仿宋_GB2312"/>
          <w:color w:val="000000"/>
          <w:sz w:val="32"/>
          <w:szCs w:val="32"/>
          <w:shd w:val="clear" w:color="auto" w:fill="FFFFFF"/>
        </w:rPr>
        <w:t>。你市</w:t>
      </w:r>
      <w:r>
        <w:rPr>
          <w:rFonts w:hint="eastAsia" w:ascii="仿宋_GB2312" w:hAnsi="仿宋_GB2312" w:eastAsia="仿宋_GB2312" w:cs="仿宋_GB2312"/>
          <w:sz w:val="32"/>
          <w:szCs w:val="32"/>
          <w:shd w:val="clear" w:color="auto" w:fill="FFFFFF"/>
        </w:rPr>
        <w:t>要指导各</w:t>
      </w:r>
      <w:r>
        <w:rPr>
          <w:rFonts w:hint="eastAsia" w:ascii="仿宋_GB2312" w:hAnsi="仿宋_GB2312" w:eastAsia="仿宋_GB2312" w:cs="仿宋_GB2312"/>
          <w:sz w:val="32"/>
          <w:szCs w:val="32"/>
          <w:shd w:val="clear" w:color="auto" w:fill="FFFFFF"/>
          <w:lang w:eastAsia="zh-CN"/>
        </w:rPr>
        <w:t>旗县（区）</w:t>
      </w:r>
      <w:r>
        <w:rPr>
          <w:rFonts w:hint="eastAsia" w:ascii="仿宋_GB2312" w:hAnsi="仿宋_GB2312" w:eastAsia="仿宋_GB2312" w:cs="仿宋_GB2312"/>
          <w:sz w:val="32"/>
          <w:szCs w:val="32"/>
          <w:shd w:val="clear" w:color="auto" w:fill="FFFFFF"/>
        </w:rPr>
        <w:t>认真组织实施，</w:t>
      </w:r>
      <w:r>
        <w:rPr>
          <w:rFonts w:ascii="Times New Roman" w:hAnsi="Times New Roman" w:eastAsia="仿宋_GB2312"/>
          <w:color w:val="000000"/>
          <w:sz w:val="32"/>
          <w:szCs w:val="32"/>
          <w:shd w:val="clear" w:color="auto" w:fill="FFFFFF"/>
        </w:rPr>
        <w:t>坚持以习近平新时代中国特色社会主义思想为指导，全面贯彻落实党的二十大精神，深入贯彻习近平总书记对内蒙古的重要指示精神，认真落实自治区党委</w:t>
      </w:r>
      <w:r>
        <w:rPr>
          <w:rFonts w:hint="eastAsia" w:ascii="Times New Roman" w:hAnsi="Times New Roman" w:eastAsia="仿宋_GB2312"/>
          <w:color w:val="000000"/>
          <w:sz w:val="32"/>
          <w:szCs w:val="32"/>
          <w:shd w:val="clear" w:color="auto" w:fill="FFFFFF"/>
        </w:rPr>
        <w:t>和</w:t>
      </w:r>
      <w:r>
        <w:rPr>
          <w:rFonts w:ascii="Times New Roman" w:hAnsi="Times New Roman" w:eastAsia="仿宋_GB2312"/>
          <w:color w:val="000000"/>
          <w:sz w:val="32"/>
          <w:szCs w:val="32"/>
          <w:shd w:val="clear" w:color="auto" w:fill="FFFFFF"/>
        </w:rPr>
        <w:t>政府各项决策部署，完整、准确、全面贯彻新发展理念，坚持以人民为中心，统筹发展和安全，促进人与自然和谐共生，</w:t>
      </w:r>
      <w:r>
        <w:rPr>
          <w:rFonts w:hint="eastAsia" w:ascii="Times New Roman" w:hAnsi="Times New Roman" w:eastAsia="仿宋_GB2312"/>
          <w:color w:val="000000"/>
          <w:sz w:val="32"/>
          <w:szCs w:val="32"/>
          <w:shd w:val="clear" w:color="auto" w:fill="FFFFFF"/>
          <w:lang w:eastAsia="zh-CN"/>
        </w:rPr>
        <w:t>牢牢把握</w:t>
      </w:r>
      <w:r>
        <w:rPr>
          <w:rFonts w:ascii="Times New Roman" w:hAnsi="Times New Roman" w:eastAsia="仿宋_GB2312"/>
          <w:color w:val="000000"/>
          <w:sz w:val="32"/>
          <w:szCs w:val="32"/>
          <w:shd w:val="clear" w:color="auto" w:fill="FFFFFF"/>
        </w:rPr>
        <w:t>铸牢中华民族共同体意识</w:t>
      </w:r>
      <w:r>
        <w:rPr>
          <w:rFonts w:hint="eastAsia" w:ascii="Times New Roman" w:hAnsi="Times New Roman" w:eastAsia="仿宋_GB2312"/>
          <w:color w:val="000000"/>
          <w:sz w:val="32"/>
          <w:szCs w:val="32"/>
          <w:shd w:val="clear" w:color="auto" w:fill="FFFFFF"/>
          <w:lang w:eastAsia="zh-CN"/>
        </w:rPr>
        <w:t>工作主线</w:t>
      </w:r>
      <w:r>
        <w:rPr>
          <w:rFonts w:ascii="Times New Roman" w:hAnsi="Times New Roman" w:eastAsia="仿宋_GB2312"/>
          <w:color w:val="000000"/>
          <w:sz w:val="32"/>
          <w:szCs w:val="32"/>
          <w:shd w:val="clear" w:color="auto" w:fill="FFFFFF"/>
        </w:rPr>
        <w:t>，</w:t>
      </w:r>
      <w:r>
        <w:rPr>
          <w:rFonts w:hint="eastAsia" w:ascii="仿宋_GB2312" w:hAnsi="仿宋_GB2312" w:eastAsia="仿宋_GB2312" w:cs="仿宋_GB2312"/>
          <w:sz w:val="32"/>
          <w:szCs w:val="32"/>
          <w:shd w:val="clear" w:color="auto" w:fill="FFFFFF"/>
        </w:rPr>
        <w:t>深化实施国家和自治区重大发展战略，</w:t>
      </w:r>
      <w:r>
        <w:rPr>
          <w:rFonts w:hint="eastAsia" w:ascii="仿宋_GB2312" w:hAnsi="仿宋_GB2312" w:eastAsia="仿宋_GB2312" w:cs="仿宋_GB2312"/>
          <w:color w:val="000000"/>
          <w:sz w:val="32"/>
          <w:szCs w:val="32"/>
          <w:shd w:val="clear" w:color="auto" w:fill="FFFFFF"/>
        </w:rPr>
        <w:t>着力</w:t>
      </w:r>
      <w:r>
        <w:rPr>
          <w:rFonts w:hint="eastAsia" w:ascii="仿宋_GB2312" w:hAnsi="仿宋_GB2312" w:eastAsia="仿宋_GB2312" w:cs="仿宋_GB2312"/>
          <w:sz w:val="32"/>
          <w:szCs w:val="32"/>
          <w:shd w:val="clear" w:color="auto" w:fill="FFFFFF"/>
        </w:rPr>
        <w:t>将临河区建成巴彦淖尔市绿色农畜产品精深加工基地，乌拉特前旗</w:t>
      </w:r>
      <w:r>
        <w:rPr>
          <w:rFonts w:hint="eastAsia" w:ascii="仿宋_GB2312" w:hAnsi="仿宋_GB2312" w:eastAsia="仿宋_GB2312" w:cs="仿宋_GB2312"/>
          <w:color w:val="000000"/>
          <w:sz w:val="32"/>
          <w:szCs w:val="32"/>
          <w:shd w:val="clear" w:color="auto" w:fill="FFFFFF"/>
        </w:rPr>
        <w:t>建成巴彦淖尔市绿色农畜产品生产加工输出基地和旅游目的地，</w:t>
      </w:r>
      <w:r>
        <w:rPr>
          <w:rFonts w:hint="eastAsia" w:ascii="仿宋_GB2312" w:hAnsi="仿宋_GB2312" w:eastAsia="仿宋_GB2312" w:cs="仿宋_GB2312"/>
          <w:sz w:val="32"/>
          <w:szCs w:val="32"/>
          <w:shd w:val="clear" w:color="auto" w:fill="FFFFFF"/>
        </w:rPr>
        <w:t>乌拉特中旗建成自治区级物流枢纽、巴彦淖尔市农牧产品输出基地、进口资源加工和战略资源综合开发利用基地，乌拉特后旗建成巴彦淖尔市绿色有机农畜产品生产加工输出基地和有色金属精深加工基地，五原县建成巴彦淖尔市绿色有机农畜产品生产加工输出基地，杭锦后旗建成</w:t>
      </w:r>
      <w:r>
        <w:rPr>
          <w:rFonts w:hint="eastAsia" w:ascii="仿宋_GB2312" w:hAnsi="仿宋_GB2312" w:eastAsia="仿宋_GB2312" w:cs="仿宋_GB2312"/>
          <w:color w:val="000000"/>
          <w:sz w:val="32"/>
          <w:szCs w:val="32"/>
          <w:shd w:val="clear" w:color="auto" w:fill="FFFFFF"/>
        </w:rPr>
        <w:t>巴彦淖尔市</w:t>
      </w:r>
      <w:r>
        <w:rPr>
          <w:rFonts w:hint="eastAsia" w:ascii="仿宋_GB2312" w:hAnsi="仿宋_GB2312" w:eastAsia="仿宋_GB2312" w:cs="仿宋_GB2312"/>
          <w:sz w:val="32"/>
          <w:szCs w:val="32"/>
          <w:shd w:val="clear" w:color="auto" w:fill="FFFFFF"/>
        </w:rPr>
        <w:t>特色农产品生产加工输出基地，磴口县建成巴彦淖尔市有机农畜产品输出区和自治区西部新能源产业基地。</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shd w:val="clear" w:color="auto" w:fill="FFFFFF"/>
        </w:rPr>
        <w:t>二、</w:t>
      </w:r>
      <w:r>
        <w:rPr>
          <w:rFonts w:ascii="Times New Roman" w:hAnsi="仿宋_GB2312" w:eastAsia="仿宋_GB2312"/>
          <w:sz w:val="32"/>
          <w:szCs w:val="32"/>
          <w:shd w:val="clear" w:color="auto" w:fill="FFFFFF"/>
        </w:rPr>
        <w:t>筑牢安全发展的空间基础。到</w:t>
      </w:r>
      <w:r>
        <w:rPr>
          <w:rFonts w:ascii="Times New Roman" w:hAnsi="Times New Roman" w:eastAsia="仿宋_GB2312"/>
          <w:sz w:val="32"/>
          <w:szCs w:val="32"/>
          <w:shd w:val="clear" w:color="auto" w:fill="FFFFFF"/>
        </w:rPr>
        <w:t>2035</w:t>
      </w:r>
      <w:r>
        <w:rPr>
          <w:rFonts w:ascii="Times New Roman" w:hAnsi="仿宋_GB2312" w:eastAsia="仿宋_GB2312"/>
          <w:sz w:val="32"/>
          <w:szCs w:val="32"/>
          <w:shd w:val="clear" w:color="auto" w:fill="FFFFFF"/>
        </w:rPr>
        <w:t>年，临河区耕地保有量不低于</w:t>
      </w:r>
      <w:r>
        <w:rPr>
          <w:rFonts w:ascii="Times New Roman" w:hAnsi="Times New Roman" w:eastAsia="仿宋_GB2312"/>
          <w:sz w:val="32"/>
          <w:szCs w:val="32"/>
          <w:shd w:val="clear" w:color="auto" w:fill="FFFFFF"/>
        </w:rPr>
        <w:t>228.5127</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194.8830</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71.5712</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1.2999</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乌拉特前旗耕地保有量不低于</w:t>
      </w:r>
      <w:r>
        <w:rPr>
          <w:rFonts w:ascii="Times New Roman" w:hAnsi="Times New Roman" w:eastAsia="仿宋_GB2312"/>
          <w:sz w:val="32"/>
          <w:szCs w:val="32"/>
          <w:shd w:val="clear" w:color="auto" w:fill="FFFFFF"/>
        </w:rPr>
        <w:t>342.9352</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258.5322</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1307.2109</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1.2597</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乌拉特中旗耕地保有量不低于</w:t>
      </w:r>
      <w:r>
        <w:rPr>
          <w:rFonts w:ascii="Times New Roman" w:hAnsi="Times New Roman" w:eastAsia="仿宋_GB2312"/>
          <w:sz w:val="32"/>
          <w:szCs w:val="32"/>
          <w:shd w:val="clear" w:color="auto" w:fill="FFFFFF"/>
        </w:rPr>
        <w:t>178.6852</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135.7527</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12707.1960</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1.4446</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乌拉特后旗耕地保有量不低于</w:t>
      </w:r>
      <w:r>
        <w:rPr>
          <w:rFonts w:ascii="Times New Roman" w:hAnsi="Times New Roman" w:eastAsia="仿宋_GB2312"/>
          <w:sz w:val="32"/>
          <w:szCs w:val="32"/>
          <w:shd w:val="clear" w:color="auto" w:fill="FFFFFF"/>
        </w:rPr>
        <w:t>21.8248</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13.7038</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16777.7305</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1.2600</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五原县耕地保有量不低于</w:t>
      </w:r>
      <w:r>
        <w:rPr>
          <w:rFonts w:ascii="Times New Roman" w:hAnsi="Times New Roman" w:eastAsia="仿宋_GB2312"/>
          <w:b w:val="0"/>
          <w:bCs w:val="0"/>
          <w:sz w:val="32"/>
          <w:szCs w:val="32"/>
          <w:shd w:val="clear" w:color="auto" w:fill="FFFFFF"/>
        </w:rPr>
        <w:t>251.6150</w:t>
      </w:r>
      <w:r>
        <w:rPr>
          <w:rFonts w:ascii="Times New Roman" w:hAnsi="仿宋_GB2312" w:eastAsia="仿宋_GB2312"/>
          <w:b w:val="0"/>
          <w:bCs w:val="0"/>
          <w:sz w:val="32"/>
          <w:szCs w:val="32"/>
          <w:shd w:val="clear" w:color="auto" w:fill="FFFFFF"/>
        </w:rPr>
        <w:t>万亩</w:t>
      </w:r>
      <w:r>
        <w:rPr>
          <w:rFonts w:ascii="Times New Roman" w:hAnsi="仿宋_GB2312" w:eastAsia="仿宋_GB2312"/>
          <w:sz w:val="32"/>
          <w:szCs w:val="32"/>
          <w:shd w:val="clear" w:color="auto" w:fill="FFFFFF"/>
        </w:rPr>
        <w:t>，其中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216.5903</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106.2375</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1.2599</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杭锦后旗耕地保有量不低于</w:t>
      </w:r>
      <w:r>
        <w:rPr>
          <w:rFonts w:ascii="Times New Roman" w:hAnsi="Times New Roman" w:eastAsia="仿宋_GB2312"/>
          <w:sz w:val="32"/>
          <w:szCs w:val="32"/>
          <w:shd w:val="clear" w:color="auto" w:fill="FFFFFF"/>
        </w:rPr>
        <w:t>164.0816</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144.5325</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77.9682</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1.2599</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磴口县耕地保有量不低于</w:t>
      </w:r>
      <w:r>
        <w:rPr>
          <w:rFonts w:ascii="Times New Roman" w:hAnsi="Times New Roman" w:eastAsia="仿宋_GB2312"/>
          <w:sz w:val="32"/>
          <w:szCs w:val="32"/>
          <w:shd w:val="clear" w:color="auto" w:fill="FFFFFF"/>
        </w:rPr>
        <w:t>155.9730</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125.5374</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932.6831</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1.2599</w:t>
      </w:r>
      <w:r>
        <w:rPr>
          <w:rFonts w:ascii="Times New Roman" w:hAnsi="仿宋_GB2312" w:eastAsia="仿宋_GB2312"/>
          <w:sz w:val="32"/>
          <w:szCs w:val="32"/>
          <w:shd w:val="clear" w:color="auto" w:fill="FFFFFF"/>
        </w:rPr>
        <w:t>倍以内。以上旗县（区）用水总量不超过巴彦淖尔市下达指标，基本草原面积不低于本地区划定面积。</w:t>
      </w:r>
    </w:p>
    <w:p>
      <w:pPr>
        <w:pStyle w:val="6"/>
        <w:keepNext w:val="0"/>
        <w:keepLines w:val="0"/>
        <w:pageBreakBefore w:val="0"/>
        <w:shd w:val="clear" w:color="auto" w:fill="FFFFFF"/>
        <w:kinsoku/>
        <w:overflowPunct/>
        <w:autoSpaceDE/>
        <w:autoSpaceDN/>
        <w:bidi w:val="0"/>
        <w:adjustRightInd/>
        <w:snapToGrid/>
        <w:spacing w:before="0" w:beforeAutospacing="0" w:after="0" w:afterAutospacing="0" w:line="580" w:lineRule="exact"/>
        <w:ind w:firstLine="640" w:firstLineChars="200"/>
        <w:jc w:val="both"/>
        <w:textAlignment w:val="auto"/>
        <w:rPr>
          <w:rFonts w:eastAsia="仿宋_GB2312"/>
          <w:color w:val="000000"/>
          <w:sz w:val="32"/>
          <w:szCs w:val="32"/>
        </w:rPr>
      </w:pPr>
      <w:r>
        <w:rPr>
          <w:rFonts w:hAnsi="仿宋_GB2312" w:eastAsia="仿宋_GB2312"/>
          <w:color w:val="000000"/>
          <w:sz w:val="32"/>
          <w:szCs w:val="32"/>
          <w:shd w:val="clear" w:color="auto" w:fill="FFFFFF"/>
        </w:rPr>
        <w:t>三、优化国土空间开发保护格局。促进农牧空间结构优化，推动农牧业安全、绿色、高效发展，</w:t>
      </w:r>
      <w:r>
        <w:rPr>
          <w:rFonts w:eastAsia="仿宋_GB2312"/>
          <w:color w:val="000000"/>
          <w:sz w:val="32"/>
          <w:szCs w:val="32"/>
          <w:shd w:val="clear" w:color="auto" w:fill="FFFFFF"/>
        </w:rPr>
        <w:t>严格保护耕地和永久基本农田，保障粮食和重要农畜产品安全供给</w:t>
      </w:r>
      <w:r>
        <w:rPr>
          <w:rFonts w:hAnsi="仿宋_GB2312" w:eastAsia="仿宋_GB2312"/>
          <w:color w:val="000000"/>
          <w:sz w:val="32"/>
          <w:szCs w:val="32"/>
          <w:shd w:val="clear" w:color="auto" w:fill="FFFFFF"/>
        </w:rPr>
        <w:t>。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keepNext w:val="0"/>
        <w:keepLines w:val="0"/>
        <w:pageBreakBefore w:val="0"/>
        <w:kinsoku/>
        <w:overflowPunct/>
        <w:autoSpaceDE/>
        <w:autoSpaceDN/>
        <w:bidi w:val="0"/>
        <w:adjustRightInd/>
        <w:snapToGrid/>
        <w:spacing w:line="580" w:lineRule="exact"/>
        <w:ind w:firstLine="640"/>
        <w:textAlignment w:val="auto"/>
        <w:rPr>
          <w:rFonts w:hint="eastAsia" w:ascii="仿宋_GB2312" w:eastAsia="仿宋_GB2312"/>
          <w:sz w:val="32"/>
          <w:szCs w:val="32"/>
        </w:rPr>
      </w:pPr>
      <w:r>
        <w:rPr>
          <w:rFonts w:hint="eastAsia" w:ascii="仿宋_GB2312" w:hAnsi="仿宋_GB2312" w:eastAsia="仿宋_GB2312"/>
          <w:color w:val="000000"/>
          <w:sz w:val="32"/>
          <w:szCs w:val="32"/>
          <w:shd w:val="clear" w:color="auto" w:fill="FFFFFF"/>
        </w:rPr>
        <w:t>四、提升城乡空间品质。优化中心城区空间结构和用地布局，统筹安排教育、文化、体育、医疗、养老等公共服务设施，合理安排居住用地，推进社区生活圈建设，</w:t>
      </w:r>
      <w:r>
        <w:rPr>
          <w:rFonts w:hint="eastAsia" w:ascii="仿宋_GB2312" w:eastAsia="仿宋_GB2312"/>
          <w:color w:val="000000"/>
          <w:sz w:val="32"/>
          <w:szCs w:val="32"/>
          <w:shd w:val="clear" w:color="auto" w:fill="FFFFFF"/>
        </w:rPr>
        <w:t>提升城乡人居环境品质。</w:t>
      </w:r>
      <w:r>
        <w:rPr>
          <w:rFonts w:hint="eastAsia" w:ascii="仿宋_GB2312" w:hAnsi="仿宋_GB2312" w:eastAsia="仿宋_GB2312"/>
          <w:color w:val="000000"/>
          <w:sz w:val="32"/>
          <w:szCs w:val="32"/>
          <w:shd w:val="clear" w:color="auto" w:fill="FFFFFF"/>
        </w:rPr>
        <w:t>严格城市</w:t>
      </w:r>
      <w:r>
        <w:rPr>
          <w:rFonts w:hint="eastAsia" w:ascii="仿宋_GB2312" w:eastAsia="仿宋_GB2312"/>
          <w:color w:val="000000"/>
          <w:sz w:val="32"/>
          <w:szCs w:val="32"/>
          <w:shd w:val="clear" w:color="auto" w:fill="FFFFFF"/>
        </w:rPr>
        <w:t>“</w:t>
      </w:r>
      <w:r>
        <w:rPr>
          <w:rFonts w:hint="eastAsia" w:ascii="仿宋_GB2312" w:hAnsi="仿宋_GB2312" w:eastAsia="仿宋_GB2312"/>
          <w:color w:val="000000"/>
          <w:sz w:val="32"/>
          <w:szCs w:val="32"/>
          <w:shd w:val="clear" w:color="auto" w:fill="FFFFFF"/>
        </w:rPr>
        <w:t>四线</w:t>
      </w:r>
      <w:r>
        <w:rPr>
          <w:rFonts w:hint="eastAsia" w:ascii="仿宋_GB2312" w:eastAsia="仿宋_GB2312"/>
          <w:color w:val="000000"/>
          <w:sz w:val="32"/>
          <w:szCs w:val="32"/>
          <w:shd w:val="clear" w:color="auto" w:fill="FFFFFF"/>
        </w:rPr>
        <w:t>”</w:t>
      </w:r>
      <w:r>
        <w:rPr>
          <w:rFonts w:hint="eastAsia" w:ascii="仿宋_GB2312" w:hAnsi="仿宋_GB2312" w:eastAsia="仿宋_GB2312"/>
          <w:color w:val="000000"/>
          <w:sz w:val="32"/>
          <w:szCs w:val="32"/>
          <w:shd w:val="clear" w:color="auto" w:fill="FFFFFF"/>
        </w:rPr>
        <w:t>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eastAsia="仿宋_GB2312"/>
          <w:color w:val="000000"/>
          <w:sz w:val="32"/>
          <w:szCs w:val="32"/>
        </w:rPr>
      </w:pPr>
      <w:r>
        <w:rPr>
          <w:rFonts w:hAnsi="仿宋_GB2312" w:eastAsia="仿宋_GB2312"/>
          <w:color w:val="000000"/>
          <w:sz w:val="32"/>
          <w:szCs w:val="32"/>
          <w:shd w:val="clear" w:color="auto" w:fill="FFFFFF"/>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r>
        <w:rPr>
          <w:rFonts w:hAnsi="仿宋_GB2312" w:eastAsia="仿宋_GB2312"/>
          <w:color w:val="000000"/>
          <w:sz w:val="32"/>
          <w:szCs w:val="32"/>
          <w:shd w:val="clear" w:color="auto" w:fill="FFFFFF"/>
        </w:rPr>
        <w:t>六、维护规划严肃性权威性。坚决贯彻党中央、国务院关于</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多规合一</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改革的决策部署，不在国土空间规划体系之外另设其他空间规划。严格执行</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，任何部门和个人不得随意修改、违规变更。坚持一张蓝图干到底，切实提高规划、建设、治理水平。</w:t>
      </w:r>
      <w:r>
        <w:rPr>
          <w:rFonts w:hint="eastAsia" w:hAnsi="仿宋_GB2312" w:eastAsia="仿宋_GB2312"/>
          <w:color w:val="000000"/>
          <w:sz w:val="32"/>
          <w:szCs w:val="32"/>
          <w:shd w:val="clear" w:color="auto" w:fill="FFFFFF"/>
        </w:rPr>
        <w:t>在符合“三区三线”管控要求的前提下，严格管理</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重点项目。</w:t>
      </w:r>
      <w:r>
        <w:rPr>
          <w:rFonts w:hAnsi="仿宋_GB2312" w:eastAsia="仿宋_GB2312"/>
          <w:color w:val="000000"/>
          <w:sz w:val="32"/>
          <w:szCs w:val="32"/>
          <w:shd w:val="clear" w:color="auto" w:fill="FFFFFF"/>
        </w:rPr>
        <w:t>科学编制详细规划、相关专项规划，强化对专项规划的指导约束。建立健全国土空间规划动态监测评估预警和实施监管机制。做好</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印发和公开，强化社会监督。</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实施中的重大事项要及时请示报告。</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ascii="仿宋_GB2312" w:eastAsia="仿宋_GB2312"/>
          <w:color w:val="000000"/>
          <w:sz w:val="32"/>
          <w:szCs w:val="32"/>
          <w:shd w:val="clear" w:color="auto" w:fill="FFFFFF"/>
        </w:rPr>
      </w:pPr>
      <w:r>
        <w:rPr>
          <w:rFonts w:hint="eastAsia" w:eastAsia="仿宋_GB2312"/>
          <w:color w:val="000000"/>
          <w:sz w:val="32"/>
          <w:szCs w:val="32"/>
          <w:shd w:val="clear" w:color="auto" w:fill="FFFFFF"/>
        </w:rPr>
        <w:t xml:space="preserve">                            </w:t>
      </w:r>
      <w:r>
        <w:rPr>
          <w:rFonts w:hint="eastAsia" w:ascii="仿宋_GB2312" w:hAnsi="Times New Roman" w:eastAsia="仿宋_GB2312"/>
          <w:color w:val="000000"/>
          <w:sz w:val="32"/>
          <w:szCs w:val="32"/>
          <w:shd w:val="clear" w:color="auto" w:fill="FFFFFF"/>
        </w:rPr>
        <w:t>2024</w:t>
      </w:r>
      <w:r>
        <w:rPr>
          <w:rFonts w:hint="eastAsia" w:ascii="仿宋_GB2312" w:eastAsia="仿宋_GB2312"/>
          <w:color w:val="000000"/>
          <w:sz w:val="32"/>
          <w:szCs w:val="32"/>
          <w:shd w:val="clear" w:color="auto" w:fill="FFFFFF"/>
        </w:rPr>
        <w:t>年</w:t>
      </w:r>
      <w:r>
        <w:rPr>
          <w:rFonts w:hint="eastAsia" w:ascii="仿宋_GB2312" w:hAnsi="Times New Roman" w:eastAsia="仿宋_GB2312"/>
          <w:color w:val="000000"/>
          <w:sz w:val="32"/>
          <w:szCs w:val="32"/>
          <w:shd w:val="clear" w:color="auto" w:fill="FFFFFF"/>
          <w:lang w:val="en-US" w:eastAsia="zh-CN"/>
        </w:rPr>
        <w:t>4</w:t>
      </w:r>
      <w:r>
        <w:rPr>
          <w:rFonts w:hint="eastAsia" w:ascii="仿宋_GB2312" w:eastAsia="仿宋_GB2312"/>
          <w:color w:val="000000"/>
          <w:sz w:val="32"/>
          <w:szCs w:val="32"/>
          <w:shd w:val="clear" w:color="auto" w:fill="FFFFFF"/>
        </w:rPr>
        <w:t>月</w:t>
      </w:r>
      <w:r>
        <w:rPr>
          <w:rFonts w:hint="eastAsia" w:ascii="仿宋_GB2312" w:hAnsi="Times New Roman" w:eastAsia="仿宋_GB2312"/>
          <w:color w:val="000000"/>
          <w:sz w:val="32"/>
          <w:szCs w:val="32"/>
          <w:shd w:val="clear" w:color="auto" w:fill="FFFFFF"/>
          <w:lang w:val="en-US" w:eastAsia="zh-CN"/>
        </w:rPr>
        <w:t>18</w:t>
      </w:r>
      <w:r>
        <w:rPr>
          <w:rFonts w:hint="eastAsia" w:ascii="仿宋_GB2312" w:eastAsia="仿宋_GB2312"/>
          <w:color w:val="000000"/>
          <w:sz w:val="32"/>
          <w:szCs w:val="32"/>
          <w:shd w:val="clear" w:color="auto" w:fill="FFFFFF"/>
        </w:rPr>
        <w:t>日</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ind w:firstLine="640"/>
        <w:jc w:val="both"/>
        <w:textAlignment w:val="auto"/>
        <w:rPr>
          <w:rFonts w:hint="eastAsia" w:ascii="仿宋_GB2312" w:hAnsi="仿宋_GB2312" w:eastAsia="仿宋_GB2312"/>
          <w:color w:val="000000"/>
          <w:sz w:val="32"/>
          <w:szCs w:val="32"/>
          <w:shd w:val="clear" w:color="auto" w:fill="FFFFFF"/>
        </w:rPr>
      </w:pPr>
      <w:r>
        <w:rPr>
          <w:rFonts w:hint="eastAsia" w:ascii="仿宋_GB2312" w:hAnsi="仿宋_GB2312" w:eastAsia="仿宋_GB2312"/>
          <w:color w:val="000000"/>
          <w:sz w:val="32"/>
          <w:szCs w:val="32"/>
          <w:shd w:val="clear" w:color="auto" w:fill="FFFFFF"/>
        </w:rPr>
        <w:t>（此件公开发布）</w:t>
      </w: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pStyle w:val="6"/>
        <w:keepNext w:val="0"/>
        <w:keepLines w:val="0"/>
        <w:pageBreakBefore w:val="0"/>
        <w:widowControl/>
        <w:shd w:val="clear" w:color="auto" w:fill="FFFFFF"/>
        <w:kinsoku/>
        <w:overflowPunct/>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400" w:lineRule="exact"/>
        <w:ind w:left="1050" w:leftChars="100" w:right="210" w:rightChars="10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jc w:val="left"/>
        <w:textAlignment w:val="auto"/>
        <w:rPr>
          <w:rFonts w:hint="eastAsia" w:eastAsia="宋体"/>
          <w:sz w:val="28"/>
          <w:szCs w:val="28"/>
          <w:lang w:val="en-US" w:eastAsia="zh-CN"/>
        </w:rPr>
      </w:pPr>
      <w:r>
        <w:rPr>
          <w:rFonts w:hint="eastAsia" w:ascii="仿宋_GB2312" w:hAnsi="仿宋_GB2312" w:eastAsia="仿宋_GB2312"/>
          <w:color w:val="000000"/>
          <w:sz w:val="32"/>
          <w:szCs w:val="32"/>
          <w:shd w:val="clear" w:color="auto" w:fill="FFFFFF"/>
          <w:lang w:eastAsia="zh-CN"/>
        </w:rPr>
        <w:drawing>
          <wp:anchor distT="0" distB="0" distL="114300" distR="114300" simplePos="0" relativeHeight="251658240" behindDoc="0" locked="0" layoutInCell="1" allowOverlap="1">
            <wp:simplePos x="0" y="0"/>
            <wp:positionH relativeFrom="column">
              <wp:posOffset>3797300</wp:posOffset>
            </wp:positionH>
            <wp:positionV relativeFrom="paragraph">
              <wp:posOffset>525145</wp:posOffset>
            </wp:positionV>
            <wp:extent cx="1585595" cy="471170"/>
            <wp:effectExtent l="0" t="0" r="14605" b="5080"/>
            <wp:wrapSquare wrapText="bothSides"/>
            <wp:docPr id="1" name="图片 3" descr="NZZ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87"/>
                    <pic:cNvPicPr>
                      <a:picLocks noChangeAspect="1"/>
                    </pic:cNvPicPr>
                  </pic:nvPicPr>
                  <pic:blipFill>
                    <a:blip r:embed="rId7"/>
                    <a:stretch>
                      <a:fillRect/>
                    </a:stretch>
                  </pic:blipFill>
                  <pic:spPr>
                    <a:xfrm>
                      <a:off x="0" y="0"/>
                      <a:ext cx="1585595" cy="471170"/>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headerReference r:id="rId3" w:type="first"/>
      <w:footerReference r:id="rId4" w:type="default"/>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16D25606"/>
    <w:rsid w:val="1BF4474B"/>
    <w:rsid w:val="217D23BA"/>
    <w:rsid w:val="27355263"/>
    <w:rsid w:val="27E04077"/>
    <w:rsid w:val="29255FCE"/>
    <w:rsid w:val="2B297870"/>
    <w:rsid w:val="36193767"/>
    <w:rsid w:val="3E8003A9"/>
    <w:rsid w:val="43CE25A7"/>
    <w:rsid w:val="4E974B97"/>
    <w:rsid w:val="4FD33F1F"/>
    <w:rsid w:val="508C1A82"/>
    <w:rsid w:val="5FC47C57"/>
    <w:rsid w:val="604307FB"/>
    <w:rsid w:val="612A5090"/>
    <w:rsid w:val="67C742AE"/>
    <w:rsid w:val="68C13D1E"/>
    <w:rsid w:val="69457AD1"/>
    <w:rsid w:val="69AA7AA3"/>
    <w:rsid w:val="6ADE316A"/>
    <w:rsid w:val="6C87568A"/>
    <w:rsid w:val="6E3B2801"/>
    <w:rsid w:val="76167F2F"/>
    <w:rsid w:val="76240541"/>
    <w:rsid w:val="780518F7"/>
    <w:rsid w:val="7BDF8B09"/>
    <w:rsid w:val="7C7734A3"/>
    <w:rsid w:val="7D1850A2"/>
    <w:rsid w:val="BF924E3E"/>
    <w:rsid w:val="FAC3E4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kern w:val="2"/>
      <w:sz w:val="32"/>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4</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2024-04-30T07:15:49Z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