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pacing w:val="17"/>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pacing w:val="17"/>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pacing w:val="17"/>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pacing w:val="17"/>
          <w:sz w:val="44"/>
          <w:szCs w:val="44"/>
        </w:rPr>
      </w:pPr>
      <w:r>
        <w:rPr>
          <w:rFonts w:hint="eastAsia" w:ascii="方正小标宋简体" w:hAnsi="宋体" w:eastAsia="方正小标宋简体"/>
          <w:spacing w:val="17"/>
          <w:sz w:val="44"/>
          <w:szCs w:val="44"/>
        </w:rPr>
        <w:t>内蒙古自治区人民政府关于</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pacing w:val="-17"/>
          <w:sz w:val="44"/>
          <w:szCs w:val="44"/>
        </w:rPr>
      </w:pPr>
      <w:r>
        <w:rPr>
          <w:rFonts w:hint="eastAsia" w:ascii="方正小标宋简体" w:hAnsi="宋体" w:eastAsia="方正小标宋简体"/>
          <w:sz w:val="44"/>
          <w:szCs w:val="44"/>
        </w:rPr>
        <w:t>阿拉善盟阿拉善左旗</w:t>
      </w:r>
      <w:r>
        <w:rPr>
          <w:rFonts w:hint="eastAsia" w:ascii="方正小标宋简体" w:hAnsi="宋体" w:eastAsia="方正小标宋简体"/>
          <w:sz w:val="44"/>
          <w:szCs w:val="44"/>
          <w:lang w:eastAsia="zh-CN"/>
        </w:rPr>
        <w:t>、阿拉善右旗、额济纳旗</w:t>
      </w:r>
      <w:r>
        <w:rPr>
          <w:rFonts w:hint="eastAsia" w:ascii="方正小标宋简体" w:hAnsi="宋体" w:eastAsia="方正小标宋简体"/>
          <w:spacing w:val="-17"/>
          <w:sz w:val="44"/>
          <w:szCs w:val="44"/>
        </w:rPr>
        <w:t>国土空间总体规划（2021—2035年）的批复</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pacing w:val="-17"/>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pacing w:val="-17"/>
          <w:sz w:val="44"/>
          <w:szCs w:val="44"/>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89</w:t>
      </w:r>
      <w:r>
        <w:rPr>
          <w:rFonts w:hint="eastAsia" w:ascii="仿宋_GB2312" w:eastAsia="仿宋_GB2312"/>
          <w:sz w:val="32"/>
          <w:szCs w:val="32"/>
        </w:rPr>
        <w:t>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微软雅黑" w:hAnsi="微软雅黑" w:eastAsia="微软雅黑" w:cs="微软雅黑"/>
          <w:color w:val="000000"/>
          <w:sz w:val="27"/>
          <w:szCs w:val="27"/>
        </w:rPr>
      </w:pPr>
      <w:bookmarkStart w:id="0" w:name="_GoBack"/>
      <w:bookmarkEnd w:id="0"/>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阿拉善盟行政公署：</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你盟</w:t>
      </w:r>
      <w:r>
        <w:rPr>
          <w:rFonts w:ascii="Times New Roman" w:hAnsi="仿宋_GB2312" w:eastAsia="仿宋_GB2312"/>
          <w:color w:val="000000"/>
          <w:sz w:val="32"/>
          <w:szCs w:val="32"/>
          <w:shd w:val="clear" w:color="auto" w:fill="FFFFFF"/>
        </w:rPr>
        <w:t>关于</w:t>
      </w:r>
      <w:r>
        <w:rPr>
          <w:rFonts w:hint="eastAsia" w:ascii="Times New Roman" w:hAnsi="仿宋_GB2312" w:eastAsia="仿宋_GB2312"/>
          <w:color w:val="000000"/>
          <w:sz w:val="32"/>
          <w:szCs w:val="32"/>
          <w:shd w:val="clear" w:color="auto" w:fill="FFFFFF"/>
        </w:rPr>
        <w:t>《</w:t>
      </w:r>
      <w:r>
        <w:rPr>
          <w:rFonts w:ascii="Times New Roman" w:hAnsi="仿宋_GB2312" w:eastAsia="仿宋_GB2312"/>
          <w:color w:val="000000"/>
          <w:sz w:val="32"/>
          <w:szCs w:val="32"/>
          <w:shd w:val="clear" w:color="auto" w:fill="FFFFFF"/>
        </w:rPr>
        <w:t>阿拉善盟三旗国土空间总体规划</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2035年）</w:t>
      </w:r>
      <w:r>
        <w:rPr>
          <w:rFonts w:ascii="Times New Roman" w:hAnsi="仿宋_GB2312" w:eastAsia="仿宋_GB2312"/>
          <w:color w:val="000000"/>
          <w:sz w:val="32"/>
          <w:szCs w:val="32"/>
          <w:shd w:val="clear" w:color="auto" w:fill="FFFFFF"/>
        </w:rPr>
        <w:t>的请示》</w:t>
      </w:r>
      <w:r>
        <w:rPr>
          <w:rFonts w:ascii="Times New Roman" w:hAnsi="仿宋_GB2312" w:eastAsia="仿宋_GB2312"/>
          <w:sz w:val="32"/>
          <w:szCs w:val="32"/>
          <w:shd w:val="clear" w:color="auto" w:fill="FFFFFF"/>
        </w:rPr>
        <w:t>（阿署发〔</w:t>
      </w:r>
      <w:r>
        <w:rPr>
          <w:rFonts w:ascii="Times New Roman" w:hAnsi="Times New Roman" w:eastAsia="仿宋_GB2312"/>
          <w:sz w:val="32"/>
          <w:szCs w:val="32"/>
          <w:shd w:val="clear" w:color="auto" w:fill="FFFFFF"/>
        </w:rPr>
        <w:t>2023</w:t>
      </w:r>
      <w:r>
        <w:rPr>
          <w:rFonts w:ascii="Times New Roman" w:hAnsi="仿宋_GB2312" w:eastAsia="仿宋_GB2312"/>
          <w:sz w:val="32"/>
          <w:szCs w:val="32"/>
          <w:shd w:val="clear" w:color="auto" w:fill="FFFFFF"/>
        </w:rPr>
        <w:t>〕</w:t>
      </w:r>
      <w:r>
        <w:rPr>
          <w:rFonts w:ascii="Times New Roman" w:hAnsi="Times New Roman" w:eastAsia="仿宋_GB2312"/>
          <w:sz w:val="32"/>
          <w:szCs w:val="32"/>
          <w:shd w:val="clear" w:color="auto" w:fill="FFFFFF"/>
        </w:rPr>
        <w:t>56</w:t>
      </w:r>
      <w:r>
        <w:rPr>
          <w:rFonts w:ascii="Times New Roman" w:hAnsi="仿宋_GB2312" w:eastAsia="仿宋_GB2312"/>
          <w:sz w:val="32"/>
          <w:szCs w:val="32"/>
          <w:shd w:val="clear" w:color="auto" w:fill="FFFFFF"/>
        </w:rPr>
        <w:t>号）</w:t>
      </w:r>
      <w:r>
        <w:rPr>
          <w:rFonts w:hint="eastAsia" w:ascii="仿宋_GB2312" w:hAnsi="仿宋_GB2312" w:eastAsia="仿宋_GB2312" w:cs="仿宋_GB2312"/>
          <w:sz w:val="32"/>
          <w:szCs w:val="32"/>
          <w:shd w:val="clear" w:color="auto" w:fill="FFFFFF"/>
        </w:rPr>
        <w:t>收悉。现批复如下：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shd w:val="clear" w:color="auto" w:fill="FFFFFF"/>
        </w:rPr>
        <w:t>一、原则同</w:t>
      </w:r>
      <w:r>
        <w:rPr>
          <w:rFonts w:hint="eastAsia" w:ascii="Times New Roman" w:hAnsi="仿宋_GB2312" w:eastAsia="仿宋_GB2312"/>
          <w:sz w:val="32"/>
          <w:szCs w:val="32"/>
          <w:shd w:val="clear" w:color="auto" w:fill="FFFFFF"/>
        </w:rPr>
        <w:t>意自治区有关部门联合审查通过的《阿</w:t>
      </w:r>
      <w:r>
        <w:rPr>
          <w:rFonts w:hint="eastAsia" w:ascii="仿宋_GB2312" w:hAnsi="仿宋_GB2312" w:eastAsia="仿宋_GB2312" w:cs="仿宋_GB2312"/>
          <w:color w:val="000000"/>
          <w:sz w:val="32"/>
          <w:szCs w:val="32"/>
          <w:shd w:val="clear" w:color="auto" w:fill="FFFFFF"/>
        </w:rPr>
        <w:t>拉善盟阿拉善左旗国土空间总体规划</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2035年）</w:t>
      </w:r>
      <w:r>
        <w:rPr>
          <w:rFonts w:hint="eastAsia" w:ascii="仿宋_GB2312" w:hAnsi="仿宋_GB2312" w:eastAsia="仿宋_GB2312" w:cs="仿宋_GB2312"/>
          <w:color w:val="000000"/>
          <w:sz w:val="32"/>
          <w:szCs w:val="32"/>
          <w:shd w:val="clear" w:color="auto" w:fill="FFFFFF"/>
        </w:rPr>
        <w:t>》、《阿拉善盟阿拉善右旗国土空间总体规划</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2035年）</w:t>
      </w:r>
      <w:r>
        <w:rPr>
          <w:rFonts w:hint="eastAsia" w:ascii="仿宋_GB2312" w:hAnsi="仿宋_GB2312" w:eastAsia="仿宋_GB2312" w:cs="仿宋_GB2312"/>
          <w:color w:val="000000"/>
          <w:sz w:val="32"/>
          <w:szCs w:val="32"/>
          <w:shd w:val="clear" w:color="auto" w:fill="FFFFFF"/>
        </w:rPr>
        <w:t>》、《阿拉善盟额济纳旗国土空间总体规划</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2035年）</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（以下统称《规划》）</w:t>
      </w:r>
      <w:r>
        <w:rPr>
          <w:rFonts w:hint="eastAsia" w:ascii="仿宋_GB2312" w:hAnsi="仿宋_GB2312" w:eastAsia="仿宋_GB2312" w:cs="仿宋_GB2312"/>
          <w:color w:val="000000"/>
          <w:sz w:val="32"/>
          <w:szCs w:val="32"/>
          <w:shd w:val="clear" w:color="auto" w:fill="FFFFFF"/>
        </w:rPr>
        <w:t>。你盟</w:t>
      </w:r>
      <w:r>
        <w:rPr>
          <w:rFonts w:hint="eastAsia" w:ascii="仿宋_GB2312" w:hAnsi="仿宋_GB2312" w:eastAsia="仿宋_GB2312" w:cs="仿宋_GB2312"/>
          <w:sz w:val="32"/>
          <w:szCs w:val="32"/>
          <w:shd w:val="clear" w:color="auto" w:fill="FFFFFF"/>
        </w:rPr>
        <w:t>要指导各</w:t>
      </w:r>
      <w:r>
        <w:rPr>
          <w:rFonts w:hint="eastAsia" w:ascii="仿宋_GB2312" w:hAnsi="仿宋_GB2312" w:eastAsia="仿宋_GB2312" w:cs="仿宋_GB2312"/>
          <w:sz w:val="32"/>
          <w:szCs w:val="32"/>
          <w:shd w:val="clear" w:color="auto" w:fill="FFFFFF"/>
          <w:lang w:eastAsia="zh-CN"/>
        </w:rPr>
        <w:t>旗</w:t>
      </w:r>
      <w:r>
        <w:rPr>
          <w:rFonts w:hint="eastAsia" w:ascii="仿宋_GB2312" w:hAnsi="仿宋_GB2312" w:eastAsia="仿宋_GB2312" w:cs="仿宋_GB2312"/>
          <w:sz w:val="32"/>
          <w:szCs w:val="32"/>
          <w:shd w:val="clear" w:color="auto" w:fill="FFFFFF"/>
        </w:rPr>
        <w:t>认真组织实施，</w:t>
      </w:r>
      <w:r>
        <w:rPr>
          <w:rFonts w:ascii="Times New Roman" w:hAnsi="Times New Roman" w:eastAsia="仿宋_GB2312"/>
          <w:color w:val="000000"/>
          <w:sz w:val="32"/>
          <w:szCs w:val="32"/>
          <w:shd w:val="clear" w:color="auto" w:fill="FFFFFF"/>
        </w:rPr>
        <w:t>坚持以习近平新时代中国特色社</w:t>
      </w:r>
      <w:r>
        <w:rPr>
          <w:rFonts w:ascii="Times New Roman" w:hAnsi="Times New Roman" w:eastAsia="仿宋_GB2312"/>
          <w:color w:val="000000"/>
          <w:spacing w:val="6"/>
          <w:sz w:val="32"/>
          <w:szCs w:val="32"/>
          <w:shd w:val="clear" w:color="auto" w:fill="FFFFFF"/>
        </w:rPr>
        <w:t>会主义思想为指导，全面贯彻落实党的二十大精神，深入贯彻</w:t>
      </w:r>
      <w:r>
        <w:rPr>
          <w:rFonts w:ascii="Times New Roman" w:hAnsi="Times New Roman" w:eastAsia="仿宋_GB2312"/>
          <w:color w:val="000000"/>
          <w:sz w:val="32"/>
          <w:szCs w:val="32"/>
          <w:shd w:val="clear" w:color="auto" w:fill="FFFFFF"/>
        </w:rPr>
        <w:t>习近平总书记对内蒙古的重要指示精神，认真落实自治区党委</w:t>
      </w:r>
      <w:r>
        <w:rPr>
          <w:rFonts w:hint="eastAsia" w:ascii="Times New Roman" w:hAnsi="Times New Roman" w:eastAsia="仿宋_GB2312"/>
          <w:color w:val="000000"/>
          <w:sz w:val="32"/>
          <w:szCs w:val="32"/>
          <w:shd w:val="clear" w:color="auto" w:fill="FFFFFF"/>
        </w:rPr>
        <w:t>和</w:t>
      </w:r>
      <w:r>
        <w:rPr>
          <w:rFonts w:ascii="Times New Roman" w:hAnsi="Times New Roman" w:eastAsia="仿宋_GB2312"/>
          <w:color w:val="000000"/>
          <w:sz w:val="32"/>
          <w:szCs w:val="32"/>
          <w:shd w:val="clear" w:color="auto" w:fill="FFFFFF"/>
        </w:rPr>
        <w:t>政府各项决策部署，完整、准确、全面贯彻新发展理念，坚持以人民为中心，统筹发展和安全，促进人与自然和谐共生，</w:t>
      </w:r>
      <w:r>
        <w:rPr>
          <w:rFonts w:hint="eastAsia" w:ascii="Times New Roman" w:hAnsi="Times New Roman" w:eastAsia="仿宋_GB2312"/>
          <w:color w:val="000000"/>
          <w:sz w:val="32"/>
          <w:szCs w:val="32"/>
          <w:shd w:val="clear" w:color="auto" w:fill="FFFFFF"/>
          <w:lang w:eastAsia="zh-CN"/>
        </w:rPr>
        <w:t>牢牢把握</w:t>
      </w:r>
      <w:r>
        <w:rPr>
          <w:rFonts w:ascii="Times New Roman" w:hAnsi="Times New Roman" w:eastAsia="仿宋_GB2312"/>
          <w:color w:val="000000"/>
          <w:sz w:val="32"/>
          <w:szCs w:val="32"/>
          <w:shd w:val="clear" w:color="auto" w:fill="FFFFFF"/>
        </w:rPr>
        <w:t>铸牢中华民族共同体意识</w:t>
      </w:r>
      <w:r>
        <w:rPr>
          <w:rFonts w:hint="eastAsia" w:ascii="Times New Roman" w:hAnsi="Times New Roman" w:eastAsia="仿宋_GB2312"/>
          <w:color w:val="000000"/>
          <w:sz w:val="32"/>
          <w:szCs w:val="32"/>
          <w:shd w:val="clear" w:color="auto" w:fill="FFFFFF"/>
          <w:lang w:eastAsia="zh-CN"/>
        </w:rPr>
        <w:t>工作主线</w:t>
      </w:r>
      <w:r>
        <w:rPr>
          <w:rFonts w:ascii="Times New Roman" w:hAnsi="Times New Roman" w:eastAsia="仿宋_GB2312"/>
          <w:color w:val="000000"/>
          <w:sz w:val="32"/>
          <w:szCs w:val="32"/>
          <w:shd w:val="clear" w:color="auto" w:fill="FFFFFF"/>
        </w:rPr>
        <w:t>，</w:t>
      </w:r>
      <w:r>
        <w:rPr>
          <w:rFonts w:hint="eastAsia" w:ascii="仿宋_GB2312" w:hAnsi="仿宋_GB2312" w:eastAsia="仿宋_GB2312" w:cs="仿宋_GB2312"/>
          <w:sz w:val="32"/>
          <w:szCs w:val="32"/>
          <w:shd w:val="clear" w:color="auto" w:fill="FFFFFF"/>
        </w:rPr>
        <w:t>深化实施国家和自治区重大发展战略，着力将阿拉善左旗建成</w:t>
      </w:r>
      <w:r>
        <w:rPr>
          <w:rFonts w:hint="eastAsia" w:ascii="仿宋_GB2312" w:eastAsia="仿宋_GB2312"/>
          <w:sz w:val="32"/>
          <w:szCs w:val="32"/>
        </w:rPr>
        <w:t>国家清洁能源基地和国内知名旅游目的地</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阿拉善右旗建成自治区西部清洁能源及特色农牧业发展基地和国内知名旅游目的地</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额济纳旗建成自治区西部清洁能源、矿产资源基地和国内知名旅游目的地。</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color w:val="000000"/>
          <w:sz w:val="32"/>
          <w:szCs w:val="32"/>
          <w:shd w:val="clear" w:color="auto" w:fill="FFFFFF"/>
        </w:rPr>
        <w:t>二、</w:t>
      </w:r>
      <w:r>
        <w:rPr>
          <w:rFonts w:hint="eastAsia" w:ascii="仿宋_GB2312" w:hAnsi="仿宋_GB2312" w:eastAsia="仿宋_GB2312" w:cs="仿宋_GB2312"/>
          <w:sz w:val="32"/>
          <w:szCs w:val="32"/>
          <w:shd w:val="clear" w:color="auto" w:fill="FFFFFF"/>
        </w:rPr>
        <w:t>筑牢安全发展的空间基础。</w:t>
      </w:r>
      <w:r>
        <w:rPr>
          <w:rFonts w:ascii="Times New Roman" w:hAnsi="仿宋_GB2312" w:eastAsia="仿宋_GB2312"/>
          <w:sz w:val="32"/>
          <w:szCs w:val="32"/>
          <w:shd w:val="clear" w:color="auto" w:fill="FFFFFF"/>
        </w:rPr>
        <w:t>到</w:t>
      </w:r>
      <w:r>
        <w:rPr>
          <w:rFonts w:ascii="Times New Roman" w:hAnsi="Times New Roman" w:eastAsia="仿宋_GB2312"/>
          <w:sz w:val="32"/>
          <w:szCs w:val="32"/>
          <w:shd w:val="clear" w:color="auto" w:fill="FFFFFF"/>
        </w:rPr>
        <w:t>2035</w:t>
      </w:r>
      <w:r>
        <w:rPr>
          <w:rFonts w:ascii="Times New Roman" w:hAnsi="仿宋_GB2312" w:eastAsia="仿宋_GB2312"/>
          <w:sz w:val="32"/>
          <w:szCs w:val="32"/>
          <w:shd w:val="clear" w:color="auto" w:fill="FFFFFF"/>
        </w:rPr>
        <w:t>年，阿拉善左旗耕地保有量不低于</w:t>
      </w:r>
      <w:r>
        <w:rPr>
          <w:rFonts w:ascii="Times New Roman" w:hAnsi="Times New Roman" w:eastAsia="仿宋_GB2312"/>
          <w:sz w:val="32"/>
          <w:szCs w:val="32"/>
          <w:shd w:val="clear" w:color="auto" w:fill="FFFFFF"/>
        </w:rPr>
        <w:t>72.1097</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37.4151</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41994.8543</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1.2894</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阿拉善右旗耕地保有量不低于</w:t>
      </w:r>
      <w:r>
        <w:rPr>
          <w:rFonts w:ascii="Times New Roman" w:hAnsi="Times New Roman" w:eastAsia="仿宋_GB2312"/>
          <w:sz w:val="32"/>
          <w:szCs w:val="32"/>
          <w:shd w:val="clear" w:color="auto" w:fill="FFFFFF"/>
        </w:rPr>
        <w:t>6.5530</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3.3518</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42594.4810</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1.2900</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额济纳旗耕地保有量不低于</w:t>
      </w:r>
      <w:r>
        <w:rPr>
          <w:rFonts w:ascii="Times New Roman" w:hAnsi="Times New Roman" w:eastAsia="仿宋_GB2312"/>
          <w:sz w:val="32"/>
          <w:szCs w:val="32"/>
          <w:shd w:val="clear" w:color="auto" w:fill="FFFFFF"/>
        </w:rPr>
        <w:t>16.1142</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4.0003</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67455.6526</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1.2897</w:t>
      </w:r>
      <w:r>
        <w:rPr>
          <w:rFonts w:ascii="Times New Roman" w:hAnsi="仿宋_GB2312" w:eastAsia="仿宋_GB2312"/>
          <w:sz w:val="32"/>
          <w:szCs w:val="32"/>
          <w:shd w:val="clear" w:color="auto" w:fill="FFFFFF"/>
        </w:rPr>
        <w:t>倍以内。以上</w:t>
      </w:r>
      <w:r>
        <w:rPr>
          <w:rFonts w:hint="eastAsia" w:hAnsi="仿宋_GB2312" w:eastAsia="仿宋_GB2312"/>
          <w:sz w:val="32"/>
          <w:szCs w:val="32"/>
          <w:shd w:val="clear" w:color="auto" w:fill="FFFFFF"/>
          <w:lang w:eastAsia="zh-CN"/>
        </w:rPr>
        <w:t>各</w:t>
      </w:r>
      <w:r>
        <w:rPr>
          <w:rFonts w:ascii="Times New Roman" w:hAnsi="仿宋_GB2312" w:eastAsia="仿宋_GB2312"/>
          <w:sz w:val="32"/>
          <w:szCs w:val="32"/>
          <w:shd w:val="clear" w:color="auto" w:fill="FFFFFF"/>
        </w:rPr>
        <w:t>旗用水总量不超过阿拉善盟下达指标，基本草原面积不低于本地区划定面积。</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三、优化国土空间开发保护格局。促进农牧空间结构优化，推动农牧业安全、绿色、高效发展，</w:t>
      </w:r>
      <w:r>
        <w:rPr>
          <w:rFonts w:ascii="Times New Roman" w:hAnsi="Times New Roman" w:eastAsia="仿宋_GB2312"/>
          <w:color w:val="000000"/>
          <w:sz w:val="32"/>
          <w:szCs w:val="32"/>
          <w:shd w:val="clear" w:color="auto" w:fill="FFFFFF"/>
        </w:rPr>
        <w:t>严格保护耕地和永久基本农田，保障粮食和重要农畜产品安全供给</w:t>
      </w:r>
      <w:r>
        <w:rPr>
          <w:rFonts w:hint="eastAsia" w:ascii="仿宋_GB2312" w:hAnsi="仿宋_GB2312" w:eastAsia="仿宋_GB2312" w:cs="仿宋_GB2312"/>
          <w:color w:val="000000"/>
          <w:sz w:val="32"/>
          <w:szCs w:val="32"/>
          <w:shd w:val="clear" w:color="auto" w:fill="FFFFFF"/>
        </w:rPr>
        <w:t>。加强生态空间的保护和管控，开展生态修复，持续推进生态文明建设。加强城乡融合发展，优化镇村布局，</w:t>
      </w:r>
      <w:r>
        <w:rPr>
          <w:rFonts w:hint="eastAsia" w:ascii="Times New Roman" w:hAnsi="仿宋_GB2312" w:eastAsia="仿宋_GB2312"/>
          <w:color w:val="000000"/>
          <w:sz w:val="32"/>
          <w:szCs w:val="32"/>
          <w:shd w:val="clear" w:color="auto" w:fill="FFFFFF"/>
        </w:rPr>
        <w:t>推进宜居宜业和美乡村建设</w:t>
      </w:r>
      <w:r>
        <w:rPr>
          <w:rFonts w:hint="eastAsia" w:ascii="仿宋_GB2312" w:hAnsi="仿宋_GB2312" w:eastAsia="仿宋_GB2312" w:cs="仿宋_GB2312"/>
          <w:color w:val="000000"/>
          <w:sz w:val="32"/>
          <w:szCs w:val="32"/>
          <w:shd w:val="clear" w:color="auto" w:fill="FFFFFF"/>
        </w:rPr>
        <w:t>。严守城镇开发边界，严控新增城镇建设用地，做好分阶段时序管控。加大城乡存量用地挖潜力度，引导土地复合利用，提高土地节约集约利用水平，促进城镇内涵式集约发展。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color w:val="000000"/>
          <w:sz w:val="32"/>
          <w:szCs w:val="32"/>
          <w:shd w:val="clear" w:color="auto" w:fill="FFFFFF"/>
        </w:rPr>
        <w:t>四、提升城乡空间品质。优化中心城区空间结构和用地布局，统筹安排教育、文化、体育、医疗、养老等公共服务设施，合理安排居住用地，推进社区生活圈建设，</w:t>
      </w:r>
      <w:r>
        <w:rPr>
          <w:rFonts w:eastAsia="仿宋_GB2312"/>
          <w:color w:val="000000"/>
          <w:sz w:val="32"/>
          <w:szCs w:val="32"/>
          <w:shd w:val="clear" w:color="auto" w:fill="FFFFFF"/>
        </w:rPr>
        <w:t>提升城乡人居环境品质。</w:t>
      </w:r>
      <w:r>
        <w:rPr>
          <w:rFonts w:hint="eastAsia" w:ascii="仿宋_GB2312" w:hAnsi="仿宋_GB2312" w:eastAsia="仿宋_GB2312" w:cs="仿宋_GB2312"/>
          <w:color w:val="000000"/>
          <w:sz w:val="32"/>
          <w:szCs w:val="32"/>
          <w:shd w:val="clear" w:color="auto" w:fill="FFFFFF"/>
        </w:rPr>
        <w:t>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五、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r>
        <w:rPr>
          <w:rFonts w:hAnsi="仿宋_GB2312" w:eastAsia="仿宋_GB2312"/>
          <w:color w:val="000000"/>
          <w:sz w:val="32"/>
          <w:szCs w:val="32"/>
          <w:shd w:val="clear" w:color="auto" w:fill="FFFFFF"/>
        </w:rPr>
        <w:t>六、维护规划严肃性权威性。坚决贯彻党中央、国务院关于</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多规合一</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改革的决策部署，不在国土空间规划体系之外另设其他空间规划。严格执行</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，任何部门和个人不得随意修改、违规变更。坚持一张蓝图干到底，切实提高规划、建设、治理水平。</w:t>
      </w:r>
      <w:r>
        <w:rPr>
          <w:rFonts w:hint="eastAsia" w:hAnsi="仿宋_GB2312" w:eastAsia="仿宋_GB2312"/>
          <w:color w:val="000000"/>
          <w:sz w:val="32"/>
          <w:szCs w:val="32"/>
          <w:shd w:val="clear" w:color="auto" w:fill="FFFFFF"/>
        </w:rPr>
        <w:t>在符合“三区三线”管控要求的前提下，严格管理</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重点项目。</w:t>
      </w:r>
      <w:r>
        <w:rPr>
          <w:rFonts w:hAnsi="仿宋_GB2312" w:eastAsia="仿宋_GB2312"/>
          <w:color w:val="000000"/>
          <w:sz w:val="32"/>
          <w:szCs w:val="32"/>
          <w:shd w:val="clear" w:color="auto" w:fill="FFFFFF"/>
        </w:rPr>
        <w:t>科学编制详细规划、相关专项规划，强化对专项规划的指导约束。建立健全国土空间规划动态监测评估预警和实施监管机制。做好</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印发和公开，强化社会监督。</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实施中的重大事项要及时请示报告。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rPr>
      </w:pPr>
      <w:r>
        <w:rPr>
          <w:rFonts w:hint="eastAsia" w:eastAsia="仿宋_GB2312"/>
          <w:color w:val="000000"/>
          <w:sz w:val="32"/>
          <w:szCs w:val="32"/>
          <w:shd w:val="clear" w:color="auto" w:fill="FFFFFF"/>
        </w:rPr>
        <w:t xml:space="preserve">                            </w:t>
      </w:r>
      <w:r>
        <w:rPr>
          <w:rFonts w:hint="eastAsia" w:ascii="仿宋_GB2312" w:hAnsi="Times New Roman" w:eastAsia="仿宋_GB2312"/>
          <w:color w:val="000000"/>
          <w:sz w:val="32"/>
          <w:szCs w:val="32"/>
          <w:shd w:val="clear" w:color="auto" w:fill="FFFFFF"/>
        </w:rPr>
        <w:t>2024年</w:t>
      </w:r>
      <w:r>
        <w:rPr>
          <w:rFonts w:hint="eastAsia" w:ascii="仿宋_GB2312" w:hAnsi="Times New Roman" w:eastAsia="仿宋_GB2312"/>
          <w:color w:val="000000"/>
          <w:sz w:val="32"/>
          <w:szCs w:val="32"/>
          <w:shd w:val="clear" w:color="auto" w:fill="FFFFFF"/>
          <w:lang w:val="en-US" w:eastAsia="zh-CN"/>
        </w:rPr>
        <w:t>4</w:t>
      </w:r>
      <w:r>
        <w:rPr>
          <w:rFonts w:hint="eastAsia" w:ascii="仿宋_GB2312" w:hAnsi="Times New Roman" w:eastAsia="仿宋_GB2312"/>
          <w:color w:val="000000"/>
          <w:sz w:val="32"/>
          <w:szCs w:val="32"/>
          <w:shd w:val="clear" w:color="auto" w:fill="FFFFFF"/>
        </w:rPr>
        <w:t>月</w:t>
      </w:r>
      <w:r>
        <w:rPr>
          <w:rFonts w:hint="eastAsia" w:ascii="仿宋_GB2312" w:hAnsi="Times New Roman" w:eastAsia="仿宋_GB2312"/>
          <w:color w:val="000000"/>
          <w:sz w:val="32"/>
          <w:szCs w:val="32"/>
          <w:shd w:val="clear" w:color="auto" w:fill="FFFFFF"/>
          <w:lang w:val="en-US" w:eastAsia="zh-CN"/>
        </w:rPr>
        <w:t>18</w:t>
      </w:r>
      <w:r>
        <w:rPr>
          <w:rFonts w:hint="eastAsia" w:ascii="仿宋_GB2312" w:hAnsi="Times New Roman" w:eastAsia="仿宋_GB2312"/>
          <w:color w:val="000000"/>
          <w:sz w:val="32"/>
          <w:szCs w:val="32"/>
          <w:shd w:val="clear" w:color="auto" w:fill="FFFFFF"/>
        </w:rPr>
        <w:t>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（此件公开发布）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Times New Roman"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jc w:val="both"/>
        <w:rPr>
          <w:rFonts w:hint="eastAsia" w:ascii="仿宋_GB2312" w:hAnsi="Times New Roman" w:eastAsia="仿宋_GB2312"/>
          <w:color w:val="000000"/>
          <w:sz w:val="32"/>
          <w:szCs w:val="32"/>
          <w:shd w:val="clear" w:color="auto" w:fill="FFFFFF"/>
          <w:lang w:eastAsia="zh-CN"/>
        </w:rPr>
      </w:pPr>
    </w:p>
    <w:p>
      <w:pPr>
        <w:pStyle w:val="6"/>
        <w:widowControl/>
        <w:shd w:val="clear" w:color="auto" w:fill="FFFFFF"/>
        <w:spacing w:before="0" w:beforeAutospacing="0" w:after="0" w:afterAutospacing="0" w:line="600" w:lineRule="exact"/>
        <w:jc w:val="both"/>
        <w:rPr>
          <w:rFonts w:hint="eastAsia" w:ascii="仿宋_GB2312"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jc w:val="both"/>
        <w:rPr>
          <w:rFonts w:hint="eastAsia" w:ascii="仿宋_GB2312"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jc w:val="both"/>
        <w:rPr>
          <w:rFonts w:hint="eastAsia" w:ascii="仿宋_GB2312"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jc w:val="both"/>
        <w:rPr>
          <w:rFonts w:hint="eastAsia" w:ascii="仿宋_GB2312"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jc w:val="both"/>
        <w:rPr>
          <w:rFonts w:hint="eastAsia" w:ascii="仿宋_GB2312"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jc w:val="both"/>
        <w:rPr>
          <w:rFonts w:hint="eastAsia" w:ascii="仿宋_GB2312" w:hAnsi="Times New Roman"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00" w:lineRule="exact"/>
        <w:jc w:val="both"/>
        <w:textAlignment w:val="auto"/>
        <w:rPr>
          <w:rFonts w:hint="eastAsia" w:ascii="仿宋_GB2312" w:hAnsi="Times New Roman" w:eastAsia="仿宋_GB2312"/>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400" w:lineRule="exact"/>
        <w:ind w:left="1050" w:leftChars="100" w:right="210" w:rightChars="10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各盟行政公署、市人民政府，自治区各委、办、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048" w:leftChars="499" w:right="210" w:rightChars="100" w:firstLine="0" w:firstLineChars="0"/>
        <w:jc w:val="left"/>
        <w:textAlignment w:val="auto"/>
        <w:rPr>
          <w:rFonts w:hint="eastAsia"/>
        </w:rPr>
      </w:pPr>
      <w:r>
        <w:rPr>
          <w:rFonts w:hint="eastAsia" w:ascii="仿宋_GB2312" w:hAnsi="Times New Roman" w:eastAsia="仿宋_GB2312"/>
          <w:color w:val="000000"/>
          <w:sz w:val="32"/>
          <w:szCs w:val="32"/>
          <w:shd w:val="clear" w:color="auto" w:fill="FFFFFF"/>
          <w:lang w:eastAsia="zh-CN"/>
        </w:rPr>
        <w:drawing>
          <wp:anchor distT="0" distB="0" distL="114300" distR="114300" simplePos="0" relativeHeight="251658240" behindDoc="0" locked="0" layoutInCell="1" allowOverlap="1">
            <wp:simplePos x="0" y="0"/>
            <wp:positionH relativeFrom="column">
              <wp:posOffset>3952240</wp:posOffset>
            </wp:positionH>
            <wp:positionV relativeFrom="paragraph">
              <wp:posOffset>697230</wp:posOffset>
            </wp:positionV>
            <wp:extent cx="1544320" cy="487045"/>
            <wp:effectExtent l="0" t="0" r="17780" b="8255"/>
            <wp:wrapSquare wrapText="bothSides"/>
            <wp:docPr id="1" name="图片 3" descr="NZZ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NZZ89"/>
                    <pic:cNvPicPr>
                      <a:picLocks noChangeAspect="1"/>
                    </pic:cNvPicPr>
                  </pic:nvPicPr>
                  <pic:blipFill>
                    <a:blip r:embed="rId7"/>
                    <a:stretch>
                      <a:fillRect/>
                    </a:stretch>
                  </pic:blipFill>
                  <pic:spPr>
                    <a:xfrm>
                      <a:off x="0" y="0"/>
                      <a:ext cx="1544320" cy="487045"/>
                    </a:xfrm>
                    <a:prstGeom prst="rect">
                      <a:avLst/>
                    </a:prstGeom>
                    <a:noFill/>
                    <a:ln>
                      <a:noFill/>
                    </a:ln>
                  </pic:spPr>
                </pic:pic>
              </a:graphicData>
            </a:graphic>
          </wp:anchor>
        </w:drawing>
      </w: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自治区高级人民法院，检察院。</w:t>
      </w:r>
    </w:p>
    <w:sectPr>
      <w:headerReference r:id="rId3" w:type="first"/>
      <w:footerReference r:id="rId4" w:type="default"/>
      <w:footerReference r:id="rId5"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4A44FA9"/>
    <w:rsid w:val="113D0C40"/>
    <w:rsid w:val="17203E0C"/>
    <w:rsid w:val="17D151D1"/>
    <w:rsid w:val="1BF4474B"/>
    <w:rsid w:val="217D23BA"/>
    <w:rsid w:val="27355263"/>
    <w:rsid w:val="27E04077"/>
    <w:rsid w:val="29255FCE"/>
    <w:rsid w:val="2A5C09C0"/>
    <w:rsid w:val="36193767"/>
    <w:rsid w:val="3E8003A9"/>
    <w:rsid w:val="416E1C5B"/>
    <w:rsid w:val="42720C23"/>
    <w:rsid w:val="43CE25A7"/>
    <w:rsid w:val="4D3108C3"/>
    <w:rsid w:val="4FD33F1F"/>
    <w:rsid w:val="52063B44"/>
    <w:rsid w:val="54594DE1"/>
    <w:rsid w:val="5F3F36EC"/>
    <w:rsid w:val="5FC47C57"/>
    <w:rsid w:val="604307FB"/>
    <w:rsid w:val="612A5090"/>
    <w:rsid w:val="67C742AE"/>
    <w:rsid w:val="68C13D1E"/>
    <w:rsid w:val="69AA7AA3"/>
    <w:rsid w:val="6ADE316A"/>
    <w:rsid w:val="71FF8F0D"/>
    <w:rsid w:val="735D2E6E"/>
    <w:rsid w:val="7412609A"/>
    <w:rsid w:val="76167F2F"/>
    <w:rsid w:val="76240541"/>
    <w:rsid w:val="78092F69"/>
    <w:rsid w:val="798F7022"/>
    <w:rsid w:val="7BFE4473"/>
    <w:rsid w:val="7C7734A3"/>
    <w:rsid w:val="7D1850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qFormat/>
    <w:uiPriority w:val="0"/>
    <w:rPr>
      <w:rFonts w:ascii="仿宋_GB2312" w:hAnsi="Calibri" w:eastAsia="仿宋_GB2312" w:cs="Times New Roman"/>
      <w:kern w:val="2"/>
      <w:sz w:val="32"/>
      <w:szCs w:val="22"/>
      <w:lang w:val="en-US" w:eastAsia="zh-CN" w:bidi="ar-SA"/>
    </w:rPr>
  </w:style>
  <w:style w:type="character" w:customStyle="1" w:styleId="12">
    <w:name w:val="批注框文本 Char"/>
    <w:basedOn w:val="9"/>
    <w:link w:val="3"/>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4</Pages>
  <Words>1668</Words>
  <Characters>1797</Characters>
  <Lines>1</Lines>
  <Paragraphs>1</Paragraphs>
  <TotalTime>4</TotalTime>
  <ScaleCrop>false</ScaleCrop>
  <LinksUpToDate>false</LinksUpToDate>
  <CharactersWithSpaces>1825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2024-04-30T03:44:49Z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