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乌兰察布市丰镇市</w:t>
      </w:r>
      <w:r>
        <w:rPr>
          <w:rFonts w:hint="eastAsia" w:ascii="方正小标宋简体" w:hAnsi="宋体" w:eastAsia="方正小标宋简体"/>
          <w:sz w:val="44"/>
          <w:szCs w:val="44"/>
          <w:lang w:eastAsia="zh-CN"/>
        </w:rPr>
        <w:t>等</w:t>
      </w:r>
      <w:r>
        <w:rPr>
          <w:rFonts w:hint="eastAsia" w:ascii="方正小标宋简体" w:hAnsi="宋体" w:eastAsia="方正小标宋简体"/>
          <w:sz w:val="44"/>
          <w:szCs w:val="44"/>
          <w:lang w:val="en-US" w:eastAsia="zh-CN"/>
        </w:rPr>
        <w:t>旗县（市）</w:t>
      </w:r>
      <w:r>
        <w:rPr>
          <w:rFonts w:hint="eastAsia" w:ascii="方正小标宋简体" w:hAnsi="宋体" w:eastAsia="方正小标宋简体"/>
          <w:sz w:val="44"/>
          <w:szCs w:val="44"/>
        </w:rPr>
        <w:t>国土空间</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总体规划（2021—2035年）的批复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jc w:val="center"/>
        <w:rPr>
          <w:rFonts w:hint="eastAsia" w:ascii="黑体" w:eastAsia="黑体"/>
          <w:sz w:val="32"/>
          <w:szCs w:val="32"/>
        </w:rPr>
      </w:pPr>
      <w:bookmarkStart w:id="0" w:name="缓急"/>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85</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楷体_GB2312" w:hAnsi="宋体" w:eastAsia="楷体_GB2312"/>
          <w:sz w:val="32"/>
          <w:szCs w:val="32"/>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0" w:firstLineChars="0"/>
        <w:jc w:val="both"/>
        <w:textAlignment w:val="auto"/>
        <w:rPr>
          <w:rFonts w:hint="eastAsia" w:ascii="仿宋_GB2312" w:hAnsi="仿宋_GB2312" w:eastAsia="仿宋_GB2312" w:cs="仿宋_GB2312"/>
          <w:sz w:val="32"/>
          <w:szCs w:val="32"/>
        </w:rPr>
      </w:pPr>
      <w:bookmarkStart w:id="1" w:name="_GoBack"/>
      <w:r>
        <w:rPr>
          <w:rFonts w:hint="eastAsia" w:ascii="仿宋_GB2312" w:hAnsi="仿宋_GB2312" w:eastAsia="仿宋_GB2312" w:cs="仿宋_GB2312"/>
          <w:sz w:val="32"/>
          <w:szCs w:val="32"/>
          <w:shd w:val="clear" w:color="auto" w:fill="FFFFFF"/>
        </w:rPr>
        <w:t>乌兰察布市人民政府：</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你市《</w:t>
      </w:r>
      <w:r>
        <w:rPr>
          <w:rFonts w:ascii="Times New Roman" w:hAnsi="Times New Roman" w:eastAsia="仿宋_GB2312"/>
          <w:sz w:val="32"/>
          <w:szCs w:val="32"/>
        </w:rPr>
        <w:t>关于</w:t>
      </w:r>
      <w:r>
        <w:rPr>
          <w:rFonts w:hint="eastAsia" w:ascii="Times New Roman" w:hAnsi="Times New Roman" w:eastAsia="仿宋_GB2312"/>
          <w:sz w:val="32"/>
          <w:szCs w:val="32"/>
        </w:rPr>
        <w:t>审</w:t>
      </w:r>
      <w:r>
        <w:rPr>
          <w:rFonts w:ascii="Times New Roman" w:hAnsi="Times New Roman" w:eastAsia="仿宋_GB2312"/>
          <w:sz w:val="32"/>
          <w:szCs w:val="32"/>
        </w:rPr>
        <w:t>批</w:t>
      </w:r>
      <w:r>
        <w:rPr>
          <w:rFonts w:hint="eastAsia" w:ascii="Times New Roman" w:hAnsi="Times New Roman" w:eastAsia="仿宋_GB2312"/>
          <w:sz w:val="32"/>
          <w:szCs w:val="32"/>
        </w:rPr>
        <w:t>乌兰察布</w:t>
      </w:r>
      <w:r>
        <w:rPr>
          <w:rFonts w:ascii="Times New Roman" w:hAnsi="Times New Roman" w:eastAsia="仿宋_GB2312"/>
          <w:sz w:val="32"/>
          <w:szCs w:val="32"/>
        </w:rPr>
        <w:t>市旗县</w:t>
      </w:r>
      <w:r>
        <w:rPr>
          <w:rFonts w:hint="eastAsia" w:ascii="Times New Roman" w:hAnsi="Times New Roman" w:eastAsia="仿宋_GB2312"/>
          <w:sz w:val="32"/>
          <w:szCs w:val="32"/>
        </w:rPr>
        <w:t>（市）</w:t>
      </w:r>
      <w:r>
        <w:rPr>
          <w:rFonts w:ascii="Times New Roman" w:hAnsi="Times New Roman" w:eastAsia="仿宋_GB2312"/>
          <w:sz w:val="32"/>
          <w:szCs w:val="32"/>
        </w:rPr>
        <w:t>国土空间总体规划的请示》（</w:t>
      </w:r>
      <w:r>
        <w:rPr>
          <w:rFonts w:hint="eastAsia" w:ascii="Times New Roman" w:hAnsi="Times New Roman" w:eastAsia="仿宋_GB2312"/>
          <w:sz w:val="32"/>
          <w:szCs w:val="32"/>
        </w:rPr>
        <w:t>乌</w:t>
      </w:r>
      <w:r>
        <w:rPr>
          <w:rFonts w:ascii="Times New Roman" w:hAnsi="Times New Roman" w:eastAsia="仿宋_GB2312"/>
          <w:sz w:val="32"/>
          <w:szCs w:val="32"/>
        </w:rPr>
        <w:t>政</w:t>
      </w:r>
      <w:r>
        <w:rPr>
          <w:rFonts w:hint="eastAsia" w:ascii="Times New Roman" w:hAnsi="Times New Roman" w:eastAsia="仿宋_GB2312"/>
          <w:sz w:val="32"/>
          <w:szCs w:val="32"/>
        </w:rPr>
        <w:t>发</w:t>
      </w:r>
      <w:r>
        <w:rPr>
          <w:rFonts w:ascii="Times New Roman" w:hAnsi="Times New Roman" w:eastAsia="仿宋_GB2312"/>
          <w:sz w:val="32"/>
          <w:szCs w:val="32"/>
        </w:rPr>
        <w:t>〔2023〕</w:t>
      </w:r>
      <w:r>
        <w:rPr>
          <w:rFonts w:hint="eastAsia" w:ascii="Times New Roman" w:hAnsi="Times New Roman" w:eastAsia="仿宋_GB2312"/>
          <w:sz w:val="32"/>
          <w:szCs w:val="32"/>
        </w:rPr>
        <w:t>61</w:t>
      </w:r>
      <w:r>
        <w:rPr>
          <w:rFonts w:ascii="Times New Roman" w:hAnsi="Times New Roman" w:eastAsia="仿宋_GB2312"/>
          <w:sz w:val="32"/>
          <w:szCs w:val="32"/>
        </w:rPr>
        <w:t>号）</w:t>
      </w:r>
      <w:r>
        <w:rPr>
          <w:rFonts w:hint="eastAsia" w:ascii="仿宋_GB2312" w:hAnsi="仿宋_GB2312" w:eastAsia="仿宋_GB2312" w:cs="仿宋_GB2312"/>
          <w:sz w:val="32"/>
          <w:szCs w:val="32"/>
          <w:shd w:val="clear" w:color="auto" w:fill="FFFFFF"/>
        </w:rPr>
        <w:t>收悉。现批复如下：</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spacing w:val="-6"/>
          <w:sz w:val="32"/>
          <w:szCs w:val="32"/>
          <w:shd w:val="clear" w:color="auto" w:fill="FFFFFF"/>
        </w:rPr>
        <w:t>原则同</w:t>
      </w:r>
      <w:r>
        <w:rPr>
          <w:rFonts w:hint="eastAsia" w:ascii="Times New Roman" w:hAnsi="Times New Roman" w:eastAsia="仿宋_GB2312"/>
          <w:spacing w:val="-6"/>
          <w:sz w:val="32"/>
          <w:szCs w:val="32"/>
        </w:rPr>
        <w:t>意自治区有关部门联合审查通过的《乌兰察布市丰镇市国土空间总体规划（2021—2035年）》、《乌兰察布市察哈尔右翼前旗国土空间总体规划（2021—2035年）》、《乌兰察布市察哈尔右翼中旗国土空间总体规划（2021—2035年）》、《乌兰察布市察哈尔右翼后旗国土空间总体规划（2021—2035年）》、《乌兰察布市四子王旗国土空间总体规划（2021—2035年）》、《乌兰察布市卓资县国土空间总体规划（2021—2035年）》、《乌兰察布市凉城县国土空间总体规划（2021—2035年）》、《乌兰察布市兴和县国土空间总体规划（2021—2035年）》、《乌兰察</w:t>
      </w:r>
      <w:r>
        <w:rPr>
          <w:rFonts w:hint="eastAsia" w:ascii="Times New Roman" w:hAnsi="Times New Roman" w:eastAsia="仿宋_GB2312"/>
          <w:sz w:val="32"/>
          <w:szCs w:val="32"/>
        </w:rPr>
        <w:t>布市商都县国</w:t>
      </w:r>
      <w:r>
        <w:rPr>
          <w:rFonts w:hint="eastAsia" w:ascii="Times New Roman" w:hAnsi="Times New Roman" w:eastAsia="仿宋_GB2312"/>
          <w:spacing w:val="6"/>
          <w:sz w:val="32"/>
          <w:szCs w:val="32"/>
        </w:rPr>
        <w:t>土空间总体规划（2021—2035年）》、《乌兰察布市化德县国土空间总体规划（2021—2035年）》</w:t>
      </w:r>
      <w:r>
        <w:rPr>
          <w:rFonts w:hint="eastAsia" w:eastAsia="仿宋_GB2312"/>
          <w:spacing w:val="6"/>
          <w:sz w:val="32"/>
          <w:szCs w:val="32"/>
          <w:lang w:eastAsia="zh-CN"/>
        </w:rPr>
        <w:t>（以下统称《规划》）</w:t>
      </w:r>
      <w:r>
        <w:rPr>
          <w:rFonts w:hint="eastAsia" w:ascii="仿宋_GB2312" w:hAnsi="仿宋_GB2312" w:eastAsia="仿宋_GB2312" w:cs="仿宋_GB2312"/>
          <w:spacing w:val="6"/>
          <w:sz w:val="32"/>
          <w:szCs w:val="32"/>
          <w:shd w:val="clear" w:color="auto" w:fill="FFFFFF"/>
        </w:rPr>
        <w:t>。你市要指导各</w:t>
      </w:r>
      <w:r>
        <w:rPr>
          <w:rFonts w:hint="eastAsia" w:ascii="仿宋_GB2312" w:hAnsi="仿宋_GB2312" w:eastAsia="仿宋_GB2312" w:cs="仿宋_GB2312"/>
          <w:spacing w:val="6"/>
          <w:sz w:val="32"/>
          <w:szCs w:val="32"/>
          <w:shd w:val="clear" w:color="auto" w:fill="FFFFFF"/>
          <w:lang w:eastAsia="zh-CN"/>
        </w:rPr>
        <w:t>旗县（市）</w:t>
      </w:r>
      <w:r>
        <w:rPr>
          <w:rFonts w:hint="eastAsia" w:ascii="仿宋_GB2312" w:hAnsi="仿宋_GB2312" w:eastAsia="仿宋_GB2312" w:cs="仿宋_GB2312"/>
          <w:spacing w:val="6"/>
          <w:sz w:val="32"/>
          <w:szCs w:val="32"/>
          <w:shd w:val="clear" w:color="auto" w:fill="FFFFFF"/>
        </w:rPr>
        <w:t>认真组织实施，</w:t>
      </w:r>
      <w:r>
        <w:rPr>
          <w:rFonts w:ascii="Times New Roman" w:hAnsi="Times New Roman" w:eastAsia="仿宋_GB2312"/>
          <w:spacing w:val="6"/>
          <w:sz w:val="32"/>
          <w:szCs w:val="32"/>
          <w:shd w:val="clear" w:color="auto" w:fill="FFFFFF"/>
        </w:rPr>
        <w:t>坚持以习近平新时代中国特色社会主义思想为指导，全面贯彻落实党的二十大精神，深入贯彻习近平总书记对内蒙古的重要指示精神，认真落实自治区党委</w:t>
      </w:r>
      <w:r>
        <w:rPr>
          <w:rFonts w:hint="eastAsia" w:ascii="Times New Roman" w:hAnsi="Times New Roman" w:eastAsia="仿宋_GB2312"/>
          <w:spacing w:val="6"/>
          <w:sz w:val="32"/>
          <w:szCs w:val="32"/>
          <w:shd w:val="clear" w:color="auto" w:fill="FFFFFF"/>
        </w:rPr>
        <w:t>和</w:t>
      </w:r>
      <w:r>
        <w:rPr>
          <w:rFonts w:ascii="Times New Roman" w:hAnsi="Times New Roman" w:eastAsia="仿宋_GB2312"/>
          <w:spacing w:val="6"/>
          <w:sz w:val="32"/>
          <w:szCs w:val="32"/>
          <w:shd w:val="clear" w:color="auto" w:fill="FFFFFF"/>
        </w:rPr>
        <w:t>政府各项决策部署，完整、准确、全面贯彻新发展理念，坚持以人民为中心，统筹发展和安全，促进人与自然和谐共生，</w:t>
      </w:r>
      <w:r>
        <w:rPr>
          <w:rFonts w:hint="eastAsia" w:ascii="Times New Roman" w:hAnsi="Times New Roman" w:eastAsia="仿宋_GB2312"/>
          <w:spacing w:val="6"/>
          <w:sz w:val="32"/>
          <w:szCs w:val="32"/>
          <w:shd w:val="clear" w:color="auto" w:fill="FFFFFF"/>
          <w:lang w:eastAsia="zh-CN"/>
        </w:rPr>
        <w:t>牢牢把握</w:t>
      </w:r>
      <w:r>
        <w:rPr>
          <w:rFonts w:ascii="Times New Roman" w:hAnsi="Times New Roman" w:eastAsia="仿宋_GB2312"/>
          <w:spacing w:val="6"/>
          <w:sz w:val="32"/>
          <w:szCs w:val="32"/>
          <w:shd w:val="clear" w:color="auto" w:fill="FFFFFF"/>
        </w:rPr>
        <w:t>铸牢中华民族共同体意识</w:t>
      </w:r>
      <w:r>
        <w:rPr>
          <w:rFonts w:hint="eastAsia" w:ascii="Times New Roman" w:hAnsi="Times New Roman" w:eastAsia="仿宋_GB2312"/>
          <w:spacing w:val="6"/>
          <w:sz w:val="32"/>
          <w:szCs w:val="32"/>
          <w:shd w:val="clear" w:color="auto" w:fill="FFFFFF"/>
          <w:lang w:eastAsia="zh-CN"/>
        </w:rPr>
        <w:t>工作主线</w:t>
      </w:r>
      <w:r>
        <w:rPr>
          <w:rFonts w:ascii="Times New Roman" w:hAnsi="Times New Roman" w:eastAsia="仿宋_GB2312"/>
          <w:spacing w:val="6"/>
          <w:sz w:val="32"/>
          <w:szCs w:val="32"/>
          <w:shd w:val="clear" w:color="auto" w:fill="FFFFFF"/>
        </w:rPr>
        <w:t>，</w:t>
      </w:r>
      <w:r>
        <w:rPr>
          <w:rFonts w:hint="eastAsia" w:ascii="仿宋_GB2312" w:hAnsi="仿宋_GB2312" w:eastAsia="仿宋_GB2312" w:cs="仿宋_GB2312"/>
          <w:spacing w:val="6"/>
          <w:sz w:val="32"/>
          <w:szCs w:val="32"/>
          <w:shd w:val="clear" w:color="auto" w:fill="FFFFFF"/>
        </w:rPr>
        <w:t>深化实施国家和自治区重大发展战略，着力将丰镇市建成乌兰察布市现代绿色新能源新材料产业基地，察哈尔右翼前旗建成乌兰察布市先进制造业和绿色农畜产品加工输出基地，察哈尔右翼中旗建成乌兰察布市绿色农畜产品供给基地和高山草甸草原生态旅游目的地，察哈尔右翼后旗建成乌兰察布市绿色农畜产品生产加工输出基地和</w:t>
      </w:r>
      <w:r>
        <w:rPr>
          <w:rFonts w:hint="eastAsia" w:ascii="仿宋_GB2312" w:hAnsi="仿宋" w:eastAsia="仿宋_GB2312"/>
          <w:spacing w:val="6"/>
          <w:sz w:val="32"/>
        </w:rPr>
        <w:t>草原文旅融合发展区</w:t>
      </w:r>
      <w:r>
        <w:rPr>
          <w:rFonts w:hint="eastAsia" w:ascii="仿宋_GB2312" w:hAnsi="仿宋_GB2312" w:eastAsia="仿宋_GB2312" w:cs="仿宋_GB2312"/>
          <w:spacing w:val="6"/>
          <w:sz w:val="32"/>
          <w:szCs w:val="32"/>
          <w:shd w:val="clear" w:color="auto" w:fill="FFFFFF"/>
        </w:rPr>
        <w:t>，四子王旗建成乌兰察布市绿色农畜产品供给基地和清洁能源输出基地，卓资</w:t>
      </w:r>
      <w:r>
        <w:rPr>
          <w:rFonts w:hint="eastAsia" w:ascii="仿宋_GB2312" w:hAnsi="仿宋_GB2312" w:eastAsia="仿宋_GB2312" w:cs="仿宋_GB2312"/>
          <w:spacing w:val="11"/>
          <w:sz w:val="32"/>
          <w:szCs w:val="32"/>
          <w:shd w:val="clear" w:color="auto" w:fill="FFFFFF"/>
        </w:rPr>
        <w:t>县建成乌兰察布市优质绿色农畜产品基地和特色旅游目的地，</w:t>
      </w:r>
      <w:r>
        <w:rPr>
          <w:rFonts w:hint="eastAsia" w:ascii="仿宋_GB2312" w:hAnsi="仿宋_GB2312" w:eastAsia="仿宋_GB2312" w:cs="仿宋_GB2312"/>
          <w:spacing w:val="6"/>
          <w:sz w:val="32"/>
          <w:szCs w:val="32"/>
          <w:shd w:val="clear" w:color="auto" w:fill="FFFFFF"/>
        </w:rPr>
        <w:t>凉城县建成乌兰察布市绿色农畜产品生产基地和生态旅游目的地，兴和县建成乌兰察布市绿色农畜产品生产加工输出基地和新材料、新能源产业基地，商都县建成乌兰察布市绿色农</w:t>
      </w:r>
      <w:r>
        <w:rPr>
          <w:rFonts w:hint="eastAsia" w:ascii="仿宋_GB2312" w:hAnsi="仿宋_GB2312" w:eastAsia="仿宋_GB2312" w:cs="仿宋_GB2312"/>
          <w:spacing w:val="11"/>
          <w:sz w:val="32"/>
          <w:szCs w:val="32"/>
          <w:shd w:val="clear" w:color="auto" w:fill="FFFFFF"/>
        </w:rPr>
        <w:t>牧业产业基地，化德县建成乌兰察布市服装产业、食品加工、</w:t>
      </w:r>
      <w:r>
        <w:rPr>
          <w:rFonts w:hint="eastAsia" w:ascii="仿宋_GB2312" w:hAnsi="仿宋_GB2312" w:eastAsia="仿宋_GB2312" w:cs="仿宋_GB2312"/>
          <w:spacing w:val="6"/>
          <w:sz w:val="32"/>
          <w:szCs w:val="32"/>
          <w:shd w:val="clear" w:color="auto" w:fill="FFFFFF"/>
        </w:rPr>
        <w:t>合金新材料特色产业基地。</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olor w:val="FF0000"/>
          <w:spacing w:val="6"/>
          <w:sz w:val="32"/>
          <w:szCs w:val="32"/>
          <w:shd w:val="clear" w:color="auto" w:fill="FFFFFF"/>
        </w:rPr>
      </w:pPr>
      <w:r>
        <w:rPr>
          <w:rFonts w:hint="eastAsia" w:ascii="仿宋_GB2312" w:hAnsi="仿宋_GB2312" w:eastAsia="仿宋_GB2312" w:cs="仿宋_GB2312"/>
          <w:sz w:val="32"/>
          <w:szCs w:val="32"/>
          <w:shd w:val="clear" w:color="auto" w:fill="FFFFFF"/>
        </w:rPr>
        <w:t>二、</w:t>
      </w:r>
      <w:r>
        <w:rPr>
          <w:rFonts w:ascii="Times New Roman" w:hAnsi="仿宋_GB2312" w:eastAsia="仿宋_GB2312"/>
          <w:spacing w:val="6"/>
          <w:sz w:val="32"/>
          <w:szCs w:val="32"/>
          <w:shd w:val="clear" w:color="auto" w:fill="FFFFFF"/>
        </w:rPr>
        <w:t>筑牢安全发展的空间基础。到</w:t>
      </w:r>
      <w:r>
        <w:rPr>
          <w:rFonts w:ascii="Times New Roman" w:hAnsi="Times New Roman" w:eastAsia="仿宋_GB2312"/>
          <w:spacing w:val="6"/>
          <w:sz w:val="32"/>
          <w:szCs w:val="32"/>
          <w:shd w:val="clear" w:color="auto" w:fill="FFFFFF"/>
        </w:rPr>
        <w:t>2035</w:t>
      </w:r>
      <w:r>
        <w:rPr>
          <w:rFonts w:ascii="Times New Roman" w:hAnsi="仿宋_GB2312" w:eastAsia="仿宋_GB2312"/>
          <w:spacing w:val="6"/>
          <w:sz w:val="32"/>
          <w:szCs w:val="32"/>
          <w:shd w:val="clear" w:color="auto" w:fill="FFFFFF"/>
        </w:rPr>
        <w:t>年，丰镇市耕地保有量不低于</w:t>
      </w:r>
      <w:r>
        <w:rPr>
          <w:rFonts w:ascii="Times New Roman" w:hAnsi="Times New Roman" w:eastAsia="仿宋_GB2312"/>
          <w:spacing w:val="6"/>
          <w:sz w:val="32"/>
          <w:szCs w:val="32"/>
          <w:shd w:val="clear" w:color="auto" w:fill="FFFFFF"/>
        </w:rPr>
        <w:t>114.9683</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100.0430</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268.8030</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1.2898</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察哈尔右翼前旗耕地保有量不低于</w:t>
      </w:r>
      <w:r>
        <w:rPr>
          <w:rFonts w:ascii="Times New Roman" w:hAnsi="Times New Roman" w:eastAsia="仿宋_GB2312"/>
          <w:spacing w:val="6"/>
          <w:sz w:val="32"/>
          <w:szCs w:val="32"/>
          <w:shd w:val="clear" w:color="auto" w:fill="FFFFFF"/>
        </w:rPr>
        <w:t>95.3158</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79.7721</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250.6516</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1.5302</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察哈尔右翼中旗耕地保有量不低于</w:t>
      </w:r>
      <w:r>
        <w:rPr>
          <w:rFonts w:ascii="Times New Roman" w:hAnsi="Times New Roman" w:eastAsia="仿宋_GB2312"/>
          <w:spacing w:val="6"/>
          <w:sz w:val="32"/>
          <w:szCs w:val="32"/>
          <w:shd w:val="clear" w:color="auto" w:fill="FFFFFF"/>
        </w:rPr>
        <w:t>158.5510</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132.0312</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873.2361</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1.2900</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察哈尔右翼后旗耕地保有量不低于</w:t>
      </w:r>
      <w:r>
        <w:rPr>
          <w:rFonts w:ascii="Times New Roman" w:hAnsi="Times New Roman" w:eastAsia="仿宋_GB2312"/>
          <w:spacing w:val="6"/>
          <w:sz w:val="32"/>
          <w:szCs w:val="32"/>
          <w:shd w:val="clear" w:color="auto" w:fill="FFFFFF"/>
        </w:rPr>
        <w:t>107.8591</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88.0367</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899.1815</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1.2743</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四子王旗耕地保有量不低于</w:t>
      </w:r>
      <w:r>
        <w:rPr>
          <w:rFonts w:ascii="Times New Roman" w:hAnsi="Times New Roman" w:eastAsia="仿宋_GB2312"/>
          <w:spacing w:val="6"/>
          <w:sz w:val="32"/>
          <w:szCs w:val="32"/>
          <w:shd w:val="clear" w:color="auto" w:fill="FFFFFF"/>
        </w:rPr>
        <w:t>245.1520</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206.3945</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10638.0560</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1.2859</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卓资县耕地保有量不低于</w:t>
      </w:r>
      <w:r>
        <w:rPr>
          <w:rFonts w:ascii="Times New Roman" w:hAnsi="Times New Roman" w:eastAsia="仿宋_GB2312"/>
          <w:spacing w:val="6"/>
          <w:sz w:val="32"/>
          <w:szCs w:val="32"/>
          <w:shd w:val="clear" w:color="auto" w:fill="FFFFFF"/>
        </w:rPr>
        <w:t>83.7603</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71.5424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923.4375</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1.2882</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凉城县耕地保有量不低于</w:t>
      </w:r>
      <w:r>
        <w:rPr>
          <w:rFonts w:ascii="Times New Roman" w:hAnsi="Times New Roman" w:eastAsia="仿宋_GB2312"/>
          <w:spacing w:val="6"/>
          <w:sz w:val="32"/>
          <w:szCs w:val="32"/>
          <w:shd w:val="clear" w:color="auto" w:fill="FFFFFF"/>
        </w:rPr>
        <w:t>116.3713</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102.4098</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556.8964</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1.2898</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兴和县耕地保有量不低于</w:t>
      </w:r>
      <w:r>
        <w:rPr>
          <w:rFonts w:ascii="Times New Roman" w:hAnsi="Times New Roman" w:eastAsia="仿宋_GB2312"/>
          <w:spacing w:val="6"/>
          <w:sz w:val="32"/>
          <w:szCs w:val="32"/>
          <w:shd w:val="clear" w:color="auto" w:fill="FFFFFF"/>
        </w:rPr>
        <w:t>192.2901</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166.4778</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215.3372</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1.2453</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商都县耕地保有量不低于</w:t>
      </w:r>
      <w:r>
        <w:rPr>
          <w:rFonts w:ascii="Times New Roman" w:hAnsi="Times New Roman" w:eastAsia="仿宋_GB2312"/>
          <w:spacing w:val="6"/>
          <w:sz w:val="32"/>
          <w:szCs w:val="32"/>
          <w:shd w:val="clear" w:color="auto" w:fill="FFFFFF"/>
        </w:rPr>
        <w:t>244.1884</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206.8524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275.9166</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1.2554</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化德县耕地保有量不低于</w:t>
      </w:r>
      <w:r>
        <w:rPr>
          <w:rFonts w:ascii="Times New Roman" w:hAnsi="Times New Roman" w:eastAsia="仿宋_GB2312"/>
          <w:spacing w:val="6"/>
          <w:sz w:val="32"/>
          <w:szCs w:val="32"/>
          <w:shd w:val="clear" w:color="auto" w:fill="FFFFFF"/>
        </w:rPr>
        <w:t>114.7236</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93.5009</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567.3167</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1.2776</w:t>
      </w:r>
      <w:r>
        <w:rPr>
          <w:rFonts w:ascii="Times New Roman" w:hAnsi="仿宋_GB2312" w:eastAsia="仿宋_GB2312"/>
          <w:spacing w:val="6"/>
          <w:sz w:val="32"/>
          <w:szCs w:val="32"/>
          <w:shd w:val="clear" w:color="auto" w:fill="FFFFFF"/>
        </w:rPr>
        <w:t>倍以内。以上旗县（市）用水总量不超过乌兰察布市下达指标，基本草原面积不低于本地区划定面积。</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pacing w:val="6"/>
          <w:sz w:val="32"/>
          <w:szCs w:val="32"/>
          <w:shd w:val="clear" w:color="auto" w:fill="FFFFFF"/>
        </w:rPr>
        <w:t>优化国土空间开发保护格局。促进农牧空间结构优化，</w:t>
      </w:r>
      <w:r>
        <w:rPr>
          <w:rFonts w:hint="eastAsia" w:ascii="仿宋_GB2312" w:hAnsi="仿宋_GB2312" w:eastAsia="仿宋_GB2312" w:cs="仿宋_GB2312"/>
          <w:sz w:val="32"/>
          <w:szCs w:val="32"/>
          <w:shd w:val="clear" w:color="auto" w:fill="FFFFFF"/>
        </w:rPr>
        <w:t>推动农牧业安全、绿色、高效发展</w:t>
      </w:r>
      <w:r>
        <w:rPr>
          <w:rFonts w:hint="eastAsia" w:ascii="仿宋_GB2312" w:hAnsi="仿宋_GB2312" w:eastAsia="仿宋_GB2312" w:cs="仿宋_GB2312"/>
          <w:sz w:val="32"/>
          <w:szCs w:val="32"/>
          <w:shd w:val="clear" w:color="auto" w:fill="FFFFFF"/>
          <w:lang w:eastAsia="zh-CN"/>
        </w:rPr>
        <w:t>，</w:t>
      </w:r>
      <w:r>
        <w:rPr>
          <w:rFonts w:ascii="Times New Roman" w:hAnsi="Times New Roman" w:eastAsia="仿宋_GB2312"/>
          <w:color w:val="000000"/>
          <w:sz w:val="32"/>
          <w:szCs w:val="32"/>
          <w:shd w:val="clear" w:color="auto" w:fill="FFFFFF"/>
        </w:rPr>
        <w:t>严格保护耕地和永久基本农田，保障粮食和重要农畜产品安全供给</w:t>
      </w:r>
      <w:r>
        <w:rPr>
          <w:rFonts w:hint="eastAsia" w:ascii="仿宋_GB2312" w:hAnsi="仿宋_GB2312" w:eastAsia="仿宋_GB2312" w:cs="仿宋_GB2312"/>
          <w:sz w:val="32"/>
          <w:szCs w:val="32"/>
          <w:shd w:val="clear" w:color="auto" w:fill="FFFFFF"/>
        </w:rPr>
        <w:t>。加强生态空间的保护和管控，开展生态修复，持续推进生态文明建设。加强城乡融合发展，优化镇村布局，推进宜居宜业和美乡村建设。严守城镇开发边界，严控新增城镇建设用地，做好分阶段时序管控。</w:t>
      </w:r>
      <w:r>
        <w:rPr>
          <w:rFonts w:ascii="仿宋_GB2312" w:hAnsi="仿宋_GB2312" w:eastAsia="仿宋_GB2312" w:cs="仿宋_GB2312"/>
          <w:sz w:val="32"/>
          <w:szCs w:val="32"/>
          <w:shd w:val="clear" w:color="auto" w:fill="FFFFFF"/>
        </w:rPr>
        <w:t>加大城乡存量用地挖潜力度，引导土地复合利用，提高土地节约集约利用水平，促进城镇内涵式集约发展。</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shd w:val="clear" w:color="auto" w:fill="FFFFFF"/>
        </w:rPr>
        <w:t>四、</w:t>
      </w:r>
      <w:r>
        <w:rPr>
          <w:rFonts w:hint="eastAsia" w:ascii="仿宋_GB2312" w:hAnsi="仿宋_GB2312" w:eastAsia="仿宋_GB2312" w:cs="仿宋_GB2312"/>
          <w:spacing w:val="6"/>
          <w:sz w:val="32"/>
          <w:szCs w:val="32"/>
          <w:shd w:val="clear" w:color="auto" w:fill="FFFFFF"/>
        </w:rPr>
        <w:t>提升城乡空间品质。优化中心城区空间结构和用地布局，统筹安排教育、文化、体育、医疗、养老等公共服务设施，合理安排居住用地，推进社区生活圈建设，</w:t>
      </w:r>
      <w:r>
        <w:rPr>
          <w:rFonts w:ascii="Times New Roman" w:hAnsi="Times New Roman" w:eastAsia="仿宋_GB2312"/>
          <w:spacing w:val="6"/>
          <w:sz w:val="32"/>
          <w:szCs w:val="32"/>
          <w:shd w:val="clear" w:color="auto" w:fill="FFFFFF"/>
        </w:rPr>
        <w:t>提升城乡人居环境品质。</w:t>
      </w:r>
      <w:r>
        <w:rPr>
          <w:rFonts w:hint="eastAsia" w:ascii="仿宋_GB2312" w:hAnsi="仿宋_GB2312" w:eastAsia="仿宋_GB2312" w:cs="仿宋_GB2312"/>
          <w:spacing w:val="6"/>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五、</w:t>
      </w:r>
      <w:r>
        <w:rPr>
          <w:rFonts w:hint="eastAsia" w:ascii="仿宋_GB2312" w:hAnsi="仿宋_GB2312" w:eastAsia="仿宋_GB2312" w:cs="仿宋_GB2312"/>
          <w:spacing w:val="6"/>
          <w:sz w:val="32"/>
          <w:szCs w:val="32"/>
          <w:shd w:val="clear" w:color="auto" w:fill="FFFFFF"/>
        </w:rPr>
        <w:t>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Times New Roman" w:hAnsi="Times New Roman" w:eastAsia="仿宋_GB2312"/>
          <w:color w:val="000000"/>
          <w:sz w:val="32"/>
          <w:szCs w:val="32"/>
          <w:shd w:val="clear" w:color="auto" w:fill="FFFFFF"/>
        </w:rPr>
      </w:pPr>
      <w:r>
        <w:rPr>
          <w:rFonts w:hAnsi="仿宋_GB2312" w:eastAsia="仿宋_GB2312"/>
          <w:color w:val="000000"/>
          <w:sz w:val="32"/>
          <w:szCs w:val="32"/>
          <w:shd w:val="clear" w:color="auto" w:fill="FFFFFF"/>
        </w:rPr>
        <w:t>六、维护规划严肃性权威性。坚决贯彻党中央、国务院关于</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多规合一</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改革的决策部署，不在国土空间规划体系之外另设其他空间规划。严格执行</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，任何部门和个人不得随意修改、违规变更。坚持一张蓝图干到底，切实提高规划、建设、治理水平。</w:t>
      </w:r>
      <w:r>
        <w:rPr>
          <w:rFonts w:hint="eastAsia" w:hAnsi="仿宋_GB2312" w:eastAsia="仿宋_GB2312"/>
          <w:color w:val="000000"/>
          <w:sz w:val="32"/>
          <w:szCs w:val="32"/>
          <w:shd w:val="clear" w:color="auto" w:fill="FFFFFF"/>
        </w:rPr>
        <w:t>在符合“三区三线”管控要求的前提下，严格管理</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重点项目。</w:t>
      </w:r>
      <w:r>
        <w:rPr>
          <w:rFonts w:hAnsi="仿宋_GB2312" w:eastAsia="仿宋_GB2312"/>
          <w:color w:val="000000"/>
          <w:sz w:val="32"/>
          <w:szCs w:val="32"/>
          <w:shd w:val="clear" w:color="auto" w:fill="FFFFFF"/>
        </w:rPr>
        <w:t>科学编制详细规划、相关专项规划，强化对专项规划的指导约束。建立健全国土空间规划动态监测评估预警和实施监管机制。做好</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印发和公开，强化社会监督。</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实施中的重大事项要及时请示报告。</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lang w:eastAsia="zh-CN"/>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lang w:eastAsia="zh-CN"/>
        </w:rPr>
      </w:pP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r>
        <w:rPr>
          <w:rFonts w:hint="eastAsia" w:ascii="仿宋_GB2312" w:hAnsi="Times New Roman" w:eastAsia="仿宋_GB2312"/>
          <w:color w:val="000000"/>
          <w:sz w:val="32"/>
          <w:szCs w:val="32"/>
          <w:shd w:val="clear" w:color="auto" w:fill="FFFFFF"/>
        </w:rPr>
        <w:t xml:space="preserve">                           </w:t>
      </w:r>
      <w:r>
        <w:rPr>
          <w:rFonts w:hint="eastAsia" w:ascii="仿宋_GB2312" w:hAnsi="Times New Roman" w:eastAsia="仿宋_GB2312"/>
          <w:color w:val="000000"/>
          <w:sz w:val="32"/>
          <w:szCs w:val="32"/>
          <w:shd w:val="clear" w:color="auto" w:fill="FFFFFF"/>
          <w:lang w:val="en-US" w:eastAsia="zh-CN"/>
        </w:rPr>
        <w:t xml:space="preserve"> </w:t>
      </w:r>
      <w:r>
        <w:rPr>
          <w:rFonts w:hint="eastAsia" w:ascii="仿宋_GB2312" w:hAnsi="Times New Roman" w:eastAsia="仿宋_GB2312"/>
          <w:color w:val="000000"/>
          <w:sz w:val="32"/>
          <w:szCs w:val="32"/>
          <w:shd w:val="clear" w:color="auto" w:fill="FFFFFF"/>
        </w:rPr>
        <w:t>2024年</w:t>
      </w:r>
      <w:r>
        <w:rPr>
          <w:rFonts w:hint="eastAsia" w:ascii="仿宋_GB2312" w:hAnsi="Times New Roman" w:eastAsia="仿宋_GB2312"/>
          <w:color w:val="000000"/>
          <w:sz w:val="32"/>
          <w:szCs w:val="32"/>
          <w:shd w:val="clear" w:color="auto" w:fill="FFFFFF"/>
          <w:lang w:val="en-US" w:eastAsia="zh-CN"/>
        </w:rPr>
        <w:t>4</w:t>
      </w:r>
      <w:r>
        <w:rPr>
          <w:rFonts w:hint="eastAsia" w:ascii="仿宋_GB2312" w:hAnsi="Times New Roman" w:eastAsia="仿宋_GB2312"/>
          <w:color w:val="000000"/>
          <w:sz w:val="32"/>
          <w:szCs w:val="32"/>
          <w:shd w:val="clear" w:color="auto" w:fill="FFFFFF"/>
        </w:rPr>
        <w:t>月</w:t>
      </w:r>
      <w:r>
        <w:rPr>
          <w:rFonts w:hint="eastAsia" w:ascii="仿宋_GB2312" w:hAnsi="Times New Roman" w:eastAsia="仿宋_GB2312"/>
          <w:color w:val="000000"/>
          <w:sz w:val="32"/>
          <w:szCs w:val="32"/>
          <w:shd w:val="clear" w:color="auto" w:fill="FFFFFF"/>
          <w:lang w:val="en-US" w:eastAsia="zh-CN"/>
        </w:rPr>
        <w:t>18</w:t>
      </w:r>
      <w:r>
        <w:rPr>
          <w:rFonts w:hint="eastAsia" w:ascii="仿宋_GB2312" w:hAnsi="Times New Roman" w:eastAsia="仿宋_GB2312"/>
          <w:color w:val="000000"/>
          <w:sz w:val="32"/>
          <w:szCs w:val="32"/>
          <w:shd w:val="clear" w:color="auto" w:fill="FFFFFF"/>
        </w:rPr>
        <w:t>日</w:t>
      </w:r>
    </w:p>
    <w:p>
      <w:pPr>
        <w:pStyle w:val="6"/>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（此件公开发布）</w:t>
      </w:r>
    </w:p>
    <w:bookmarkEnd w:id="1"/>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240" w:lineRule="auto"/>
        <w:ind w:firstLine="640"/>
        <w:rPr>
          <w:rFonts w:hint="eastAsia" w:ascii="Times New Roman" w:hAnsi="Times New Roman" w:eastAsia="仿宋_GB2312"/>
          <w:color w:val="000000"/>
          <w:sz w:val="32"/>
          <w:szCs w:val="32"/>
          <w:shd w:val="clear" w:color="auto" w:fill="FFFFFF"/>
          <w:lang w:eastAsia="zh-CN"/>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widowControl/>
        <w:shd w:val="clear" w:color="auto" w:fill="FFFFFF"/>
        <w:spacing w:before="0" w:beforeAutospacing="0" w:after="0" w:afterAutospacing="0" w:line="600" w:lineRule="exact"/>
        <w:ind w:firstLine="640"/>
        <w:rPr>
          <w:rFonts w:hint="eastAsia" w:ascii="Times New Roman" w:hAnsi="Times New Roman"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1"/>
        <w:textAlignment w:val="auto"/>
        <w:rPr>
          <w:rFonts w:hint="eastAsia" w:ascii="Times New Roman" w:hAnsi="Times New Roman" w:eastAsia="仿宋_GB2312"/>
          <w:color w:val="00000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641"/>
        <w:textAlignment w:val="auto"/>
        <w:rPr>
          <w:rFonts w:hint="eastAsia" w:ascii="Times New Roman" w:hAnsi="Times New Roman" w:eastAsia="仿宋_GB2312"/>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Times New Roman" w:hAnsi="Times New Roman" w:eastAsia="黑体"/>
          <w:color w:val="000000"/>
          <w:sz w:val="28"/>
          <w:szCs w:val="28"/>
          <w:shd w:val="clear" w:color="auto" w:fill="FFFFFF"/>
        </w:rPr>
        <w:t xml:space="preserve"> </w:t>
      </w:r>
      <w:r>
        <w:rPr>
          <w:rFonts w:hint="eastAsia" w:ascii="仿宋" w:hAnsi="仿宋" w:eastAsia="仿宋" w:cs="仿宋"/>
          <w:sz w:val="28"/>
          <w:szCs w:val="28"/>
        </w:rPr>
        <w:t>抄送：各盟行政公署、市人民政府，自治区各委、办、厅、局，各大</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企业、事业单位。</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自治区人大常委会办公厅、政协办公厅，自治区监委，自治区</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Times New Roman" w:hAnsi="Times New Roman" w:eastAsia="仿宋_GB2312"/>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4078605</wp:posOffset>
            </wp:positionH>
            <wp:positionV relativeFrom="paragraph">
              <wp:posOffset>358140</wp:posOffset>
            </wp:positionV>
            <wp:extent cx="1538605" cy="457200"/>
            <wp:effectExtent l="0" t="0" r="4445" b="0"/>
            <wp:wrapSquare wrapText="bothSides"/>
            <wp:docPr id="1" name="图片 4" descr="C:\Users\Administrator\Desktop\NZZ85.jpgNZZ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NZZ85.jpgNZZ85"/>
                    <pic:cNvPicPr>
                      <a:picLocks noChangeAspect="1"/>
                    </pic:cNvPicPr>
                  </pic:nvPicPr>
                  <pic:blipFill>
                    <a:blip r:embed="rId6"/>
                    <a:stretch>
                      <a:fillRect/>
                    </a:stretch>
                  </pic:blipFill>
                  <pic:spPr>
                    <a:xfrm>
                      <a:off x="0" y="0"/>
                      <a:ext cx="1538605" cy="457200"/>
                    </a:xfrm>
                    <a:prstGeom prst="rect">
                      <a:avLst/>
                    </a:prstGeom>
                    <a:noFill/>
                    <a:ln>
                      <a:noFill/>
                    </a:ln>
                  </pic:spPr>
                </pic:pic>
              </a:graphicData>
            </a:graphic>
          </wp:anchor>
        </w:draw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99"/>
    <w:rsid w:val="00057363"/>
    <w:rsid w:val="000A1699"/>
    <w:rsid w:val="001B7709"/>
    <w:rsid w:val="00302982"/>
    <w:rsid w:val="00323128"/>
    <w:rsid w:val="00337358"/>
    <w:rsid w:val="00351DB4"/>
    <w:rsid w:val="00444154"/>
    <w:rsid w:val="00483E09"/>
    <w:rsid w:val="004B2561"/>
    <w:rsid w:val="006048D6"/>
    <w:rsid w:val="006114C2"/>
    <w:rsid w:val="00672B57"/>
    <w:rsid w:val="00755D27"/>
    <w:rsid w:val="00825CE1"/>
    <w:rsid w:val="008408A0"/>
    <w:rsid w:val="00861E84"/>
    <w:rsid w:val="008E482C"/>
    <w:rsid w:val="00A72874"/>
    <w:rsid w:val="00AC3BB4"/>
    <w:rsid w:val="00B32830"/>
    <w:rsid w:val="00B33ED2"/>
    <w:rsid w:val="00B52F22"/>
    <w:rsid w:val="00B558E6"/>
    <w:rsid w:val="00B81A49"/>
    <w:rsid w:val="00B8542C"/>
    <w:rsid w:val="00BD1A37"/>
    <w:rsid w:val="00C809B3"/>
    <w:rsid w:val="00CB0B2B"/>
    <w:rsid w:val="00CC1415"/>
    <w:rsid w:val="00D3579F"/>
    <w:rsid w:val="00DA716E"/>
    <w:rsid w:val="00DB0F61"/>
    <w:rsid w:val="00DD4FCD"/>
    <w:rsid w:val="00DD700A"/>
    <w:rsid w:val="00DF62D9"/>
    <w:rsid w:val="00E751C2"/>
    <w:rsid w:val="00F71128"/>
    <w:rsid w:val="00F94438"/>
    <w:rsid w:val="068A1315"/>
    <w:rsid w:val="0824491B"/>
    <w:rsid w:val="0B19168E"/>
    <w:rsid w:val="14D3034C"/>
    <w:rsid w:val="16D11451"/>
    <w:rsid w:val="1BF4474B"/>
    <w:rsid w:val="217D23BA"/>
    <w:rsid w:val="27355263"/>
    <w:rsid w:val="27E04077"/>
    <w:rsid w:val="29255FCE"/>
    <w:rsid w:val="2E714F4B"/>
    <w:rsid w:val="36193767"/>
    <w:rsid w:val="3E8003A9"/>
    <w:rsid w:val="40297A70"/>
    <w:rsid w:val="43CE25A7"/>
    <w:rsid w:val="48941AFC"/>
    <w:rsid w:val="4FD33F1F"/>
    <w:rsid w:val="5A133FF4"/>
    <w:rsid w:val="5A8943FA"/>
    <w:rsid w:val="5FC47C57"/>
    <w:rsid w:val="604307FB"/>
    <w:rsid w:val="612A5090"/>
    <w:rsid w:val="67143D51"/>
    <w:rsid w:val="67C742AE"/>
    <w:rsid w:val="68C13D1E"/>
    <w:rsid w:val="69AA7AA3"/>
    <w:rsid w:val="69B34F79"/>
    <w:rsid w:val="6ADE316A"/>
    <w:rsid w:val="72896DC2"/>
    <w:rsid w:val="76167F2F"/>
    <w:rsid w:val="76240541"/>
    <w:rsid w:val="7C7734A3"/>
    <w:rsid w:val="7D1850A2"/>
    <w:rsid w:val="7FDF78D4"/>
    <w:rsid w:val="977F24F9"/>
    <w:rsid w:val="BBFD9509"/>
    <w:rsid w:val="FF7275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sz w:val="32"/>
    </w:rPr>
  </w:style>
  <w:style w:type="character" w:customStyle="1" w:styleId="12">
    <w:name w:val="批注框文本 Char"/>
    <w:basedOn w:val="9"/>
    <w:link w:val="3"/>
    <w:semiHidden/>
    <w:qFormat/>
    <w:uiPriority w:val="99"/>
    <w:rPr>
      <w:rFonts w:ascii="Calibri" w:hAnsi="Calibri" w:eastAsia="宋体" w:cs="Times New Roman"/>
      <w:sz w:val="18"/>
      <w:szCs w:val="18"/>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5</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2024-04-30T03:24:47Z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