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方正小标宋简体" w:hAnsi="Times New Roman" w:eastAsia="方正小标宋简体"/>
          <w:kern w:val="2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Times New Roman" w:eastAsia="方正小标宋简体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2"/>
          <w:sz w:val="44"/>
          <w:szCs w:val="44"/>
        </w:rPr>
        <w:t>内蒙古自治区人民政府关于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Times New Roman" w:eastAsia="方正小标宋简体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2"/>
          <w:sz w:val="44"/>
          <w:szCs w:val="44"/>
        </w:rPr>
        <w:t>赤峰市红山区</w:t>
      </w:r>
      <w:r>
        <w:rPr>
          <w:rFonts w:hint="eastAsia" w:ascii="方正小标宋简体" w:eastAsia="方正小标宋简体"/>
          <w:kern w:val="2"/>
          <w:sz w:val="44"/>
          <w:szCs w:val="44"/>
          <w:lang w:eastAsia="zh-CN"/>
        </w:rPr>
        <w:t>等</w:t>
      </w:r>
      <w:r>
        <w:rPr>
          <w:rFonts w:hint="eastAsia" w:ascii="方正小标宋简体" w:eastAsia="方正小标宋简体"/>
          <w:kern w:val="2"/>
          <w:sz w:val="44"/>
          <w:szCs w:val="44"/>
          <w:lang w:val="en-US" w:eastAsia="zh-CN"/>
        </w:rPr>
        <w:t>旗县（区）</w:t>
      </w:r>
      <w:r>
        <w:rPr>
          <w:rFonts w:hint="eastAsia" w:ascii="方正小标宋简体" w:hAnsi="Times New Roman" w:eastAsia="方正小标宋简体"/>
          <w:kern w:val="2"/>
          <w:sz w:val="44"/>
          <w:szCs w:val="44"/>
        </w:rPr>
        <w:t>国土空间总体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Times New Roman" w:eastAsia="方正小标宋简体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2"/>
          <w:sz w:val="44"/>
          <w:szCs w:val="44"/>
        </w:rPr>
        <w:t>规划（2021—2035年）的批复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Times New Roman" w:eastAsia="方正小标宋简体"/>
          <w:kern w:val="2"/>
          <w:sz w:val="44"/>
          <w:szCs w:val="44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缓急"/>
      <w:bookmarkEnd w:id="0"/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Times New Roman" w:eastAsia="方正小标宋简体"/>
          <w:kern w:val="2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0" w:firstLineChars="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bookmarkStart w:id="1" w:name="_GoBack"/>
      <w:r>
        <w:rPr>
          <w:rFonts w:ascii="Times New Roman" w:hAnsi="仿宋_GB2312" w:eastAsia="仿宋_GB2312"/>
          <w:color w:val="000000"/>
          <w:sz w:val="32"/>
          <w:szCs w:val="32"/>
          <w:shd w:val="clear" w:color="auto" w:fill="FFFFFF"/>
        </w:rPr>
        <w:t>赤峰市人民政府：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64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仿宋_GB2312" w:eastAsia="仿宋_GB2312"/>
          <w:color w:val="000000"/>
          <w:spacing w:val="6"/>
          <w:sz w:val="32"/>
          <w:szCs w:val="32"/>
          <w:shd w:val="clear" w:color="auto" w:fill="FFFFFF"/>
        </w:rPr>
        <w:t>你市《关于呈批赤峰市</w:t>
      </w:r>
      <w:r>
        <w:rPr>
          <w:rFonts w:ascii="Times New Roman" w:hAnsi="Times New Roman" w:eastAsia="仿宋_GB2312"/>
          <w:color w:val="000000"/>
          <w:spacing w:val="6"/>
          <w:sz w:val="32"/>
          <w:szCs w:val="32"/>
          <w:shd w:val="clear" w:color="auto" w:fill="FFFFFF"/>
        </w:rPr>
        <w:t>12</w:t>
      </w:r>
      <w:r>
        <w:rPr>
          <w:rFonts w:ascii="Times New Roman" w:hAnsi="仿宋_GB2312" w:eastAsia="仿宋_GB2312"/>
          <w:color w:val="000000"/>
          <w:spacing w:val="6"/>
          <w:sz w:val="32"/>
          <w:szCs w:val="32"/>
          <w:shd w:val="clear" w:color="auto" w:fill="FFFFFF"/>
        </w:rPr>
        <w:t>个旗县区国土空间总体规划</w:t>
      </w:r>
      <w:r>
        <w:rPr>
          <w:rFonts w:ascii="Times New Roman" w:hAnsi="仿宋_GB2312" w:eastAsia="仿宋_GB2312"/>
          <w:color w:val="000000"/>
          <w:spacing w:val="-6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仿宋_GB2312"/>
          <w:color w:val="000000"/>
          <w:spacing w:val="-6"/>
          <w:sz w:val="32"/>
          <w:szCs w:val="32"/>
          <w:shd w:val="clear" w:color="auto" w:fill="FFFFFF"/>
        </w:rPr>
        <w:t>2021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  <w:shd w:val="clear" w:color="auto" w:fill="FFFFFF"/>
        </w:rPr>
        <w:t>—</w:t>
      </w:r>
      <w:r>
        <w:rPr>
          <w:rFonts w:ascii="Times New Roman" w:hAnsi="Times New Roman" w:eastAsia="仿宋_GB2312"/>
          <w:color w:val="000000"/>
          <w:spacing w:val="-6"/>
          <w:sz w:val="32"/>
          <w:szCs w:val="32"/>
          <w:shd w:val="clear" w:color="auto" w:fill="FFFFFF"/>
        </w:rPr>
        <w:t>2035</w:t>
      </w:r>
      <w:r>
        <w:rPr>
          <w:rFonts w:ascii="Times New Roman" w:hAnsi="仿宋_GB2312" w:eastAsia="仿宋_GB2312"/>
          <w:color w:val="000000"/>
          <w:spacing w:val="-6"/>
          <w:sz w:val="32"/>
          <w:szCs w:val="32"/>
          <w:shd w:val="clear" w:color="auto" w:fill="FFFFFF"/>
        </w:rPr>
        <w:t>年）的请示》（赤政报〔</w:t>
      </w:r>
      <w:r>
        <w:rPr>
          <w:rFonts w:ascii="Times New Roman" w:hAnsi="Times New Roman" w:eastAsia="仿宋_GB2312"/>
          <w:color w:val="000000"/>
          <w:spacing w:val="-6"/>
          <w:sz w:val="32"/>
          <w:szCs w:val="32"/>
          <w:shd w:val="clear" w:color="auto" w:fill="FFFFFF"/>
        </w:rPr>
        <w:t>2023</w:t>
      </w:r>
      <w:r>
        <w:rPr>
          <w:rFonts w:ascii="Times New Roman" w:hAnsi="仿宋_GB2312" w:eastAsia="仿宋_GB2312"/>
          <w:color w:val="000000"/>
          <w:spacing w:val="-6"/>
          <w:sz w:val="32"/>
          <w:szCs w:val="32"/>
          <w:shd w:val="clear" w:color="auto" w:fill="FFFFFF"/>
        </w:rPr>
        <w:t>〕</w:t>
      </w:r>
      <w:r>
        <w:rPr>
          <w:rFonts w:ascii="Times New Roman" w:hAnsi="Times New Roman" w:eastAsia="仿宋_GB2312"/>
          <w:color w:val="000000"/>
          <w:spacing w:val="-6"/>
          <w:sz w:val="32"/>
          <w:szCs w:val="32"/>
          <w:shd w:val="clear" w:color="auto" w:fill="FFFFFF"/>
        </w:rPr>
        <w:t>85</w:t>
      </w:r>
      <w:r>
        <w:rPr>
          <w:rFonts w:ascii="Times New Roman" w:hAnsi="仿宋_GB2312" w:eastAsia="仿宋_GB2312"/>
          <w:color w:val="000000"/>
          <w:spacing w:val="-6"/>
          <w:sz w:val="32"/>
          <w:szCs w:val="32"/>
          <w:shd w:val="clear" w:color="auto" w:fill="FFFFFF"/>
        </w:rPr>
        <w:t>号）收悉。现批</w:t>
      </w:r>
      <w:r>
        <w:rPr>
          <w:rFonts w:ascii="Times New Roman" w:hAnsi="仿宋_GB2312" w:eastAsia="仿宋_GB2312"/>
          <w:color w:val="000000"/>
          <w:spacing w:val="6"/>
          <w:sz w:val="32"/>
          <w:szCs w:val="32"/>
          <w:shd w:val="clear" w:color="auto" w:fill="FFFFFF"/>
        </w:rPr>
        <w:t>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shd w:val="clear" w:color="auto" w:fill="FFFFFF"/>
        </w:rPr>
      </w:pPr>
      <w:r>
        <w:rPr>
          <w:rFonts w:hAnsi="仿宋_GB2312" w:eastAsia="仿宋_GB2312"/>
          <w:sz w:val="32"/>
          <w:szCs w:val="32"/>
          <w:shd w:val="clear" w:color="auto" w:fill="FFFFFF"/>
        </w:rPr>
        <w:t>一、</w:t>
      </w:r>
      <w:r>
        <w:rPr>
          <w:rFonts w:hAnsi="仿宋_GB2312" w:eastAsia="仿宋_GB2312"/>
          <w:spacing w:val="0"/>
          <w:sz w:val="32"/>
          <w:szCs w:val="32"/>
          <w:shd w:val="clear" w:color="auto" w:fill="FFFFFF"/>
        </w:rPr>
        <w:t>原则同</w:t>
      </w:r>
      <w:r>
        <w:rPr>
          <w:rFonts w:hAnsi="仿宋_GB2312" w:eastAsia="仿宋_GB2312"/>
          <w:color w:val="000000"/>
          <w:spacing w:val="0"/>
          <w:kern w:val="0"/>
          <w:sz w:val="32"/>
          <w:szCs w:val="32"/>
          <w:shd w:val="clear" w:color="auto" w:fill="FFFFFF"/>
        </w:rPr>
        <w:t>意</w:t>
      </w:r>
      <w:r>
        <w:rPr>
          <w:rFonts w:hint="eastAsia" w:hAnsi="仿宋_GB2312" w:eastAsia="仿宋_GB2312"/>
          <w:color w:val="000000"/>
          <w:spacing w:val="0"/>
          <w:kern w:val="0"/>
          <w:sz w:val="32"/>
          <w:szCs w:val="32"/>
          <w:shd w:val="clear" w:color="auto" w:fill="FFFFFF"/>
        </w:rPr>
        <w:t>自治区有关部门联合审查通过的</w:t>
      </w:r>
      <w:r>
        <w:rPr>
          <w:rFonts w:hAnsi="仿宋_GB2312" w:eastAsia="仿宋_GB2312"/>
          <w:color w:val="000000"/>
          <w:spacing w:val="0"/>
          <w:kern w:val="0"/>
          <w:sz w:val="32"/>
          <w:szCs w:val="32"/>
          <w:shd w:val="clear" w:color="auto" w:fill="FFFFFF"/>
        </w:rPr>
        <w:t>《赤峰市红</w:t>
      </w:r>
      <w:r>
        <w:rPr>
          <w:rFonts w:hAnsi="仿宋_GB2312" w:eastAsia="仿宋_GB2312"/>
          <w:spacing w:val="0"/>
          <w:sz w:val="32"/>
          <w:szCs w:val="32"/>
          <w:shd w:val="clear" w:color="auto" w:fill="FFFFFF"/>
        </w:rPr>
        <w:t>山区国土空间总体规划</w:t>
      </w:r>
      <w:r>
        <w:rPr>
          <w:rFonts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（2021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2035年）》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《赤峰市松山区国土</w:t>
      </w:r>
      <w:r>
        <w:rPr>
          <w:rFonts w:ascii="Times New Roman" w:hAnsi="Times New Roman" w:eastAsia="仿宋_GB2312" w:cs="Times New Roman"/>
          <w:color w:val="000000"/>
          <w:spacing w:val="-11"/>
          <w:kern w:val="0"/>
          <w:sz w:val="32"/>
          <w:szCs w:val="32"/>
          <w:shd w:val="clear" w:color="auto" w:fill="FFFFFF"/>
          <w:lang w:val="en-US" w:eastAsia="zh-CN" w:bidi="ar-SA"/>
        </w:rPr>
        <w:t>空间总体规划（2021</w:t>
      </w:r>
      <w:r>
        <w:rPr>
          <w:rFonts w:hint="eastAsia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shd w:val="clear" w:color="auto" w:fill="FFFFFF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color w:val="000000"/>
          <w:spacing w:val="-11"/>
          <w:kern w:val="0"/>
          <w:sz w:val="32"/>
          <w:szCs w:val="32"/>
          <w:shd w:val="clear" w:color="auto" w:fill="FFFFFF"/>
          <w:lang w:val="en-US" w:eastAsia="zh-CN" w:bidi="ar-SA"/>
        </w:rPr>
        <w:t>2035年）》</w:t>
      </w:r>
      <w:r>
        <w:rPr>
          <w:rFonts w:hint="eastAsia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color w:val="000000"/>
          <w:spacing w:val="-11"/>
          <w:kern w:val="0"/>
          <w:sz w:val="32"/>
          <w:szCs w:val="32"/>
          <w:shd w:val="clear" w:color="auto" w:fill="FFFFFF"/>
          <w:lang w:val="en-US" w:eastAsia="zh-CN" w:bidi="ar-SA"/>
        </w:rPr>
        <w:t>《赤峰市元宝山区国土空间总体规划（2021</w:t>
      </w:r>
      <w:r>
        <w:rPr>
          <w:rFonts w:hint="eastAsia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shd w:val="clear" w:color="auto" w:fill="FFFFFF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color w:val="000000"/>
          <w:spacing w:val="-11"/>
          <w:kern w:val="0"/>
          <w:sz w:val="32"/>
          <w:szCs w:val="32"/>
          <w:shd w:val="clear" w:color="auto" w:fill="FFFFFF"/>
          <w:lang w:val="en-US" w:eastAsia="zh-CN" w:bidi="ar-SA"/>
        </w:rPr>
        <w:t>2035年）》</w:t>
      </w:r>
      <w:r>
        <w:rPr>
          <w:rFonts w:hint="eastAsia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color w:val="000000"/>
          <w:spacing w:val="-11"/>
          <w:kern w:val="0"/>
          <w:sz w:val="32"/>
          <w:szCs w:val="32"/>
          <w:shd w:val="clear" w:color="auto" w:fill="FFFFFF"/>
          <w:lang w:val="en-US" w:eastAsia="zh-CN" w:bidi="ar-SA"/>
        </w:rPr>
        <w:t>《赤峰市阿鲁科尔沁旗国土空间总体规划（2021</w:t>
      </w:r>
      <w:r>
        <w:rPr>
          <w:rFonts w:hint="eastAsia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shd w:val="clear" w:color="auto" w:fill="FFFFFF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color w:val="000000"/>
          <w:spacing w:val="-11"/>
          <w:kern w:val="0"/>
          <w:sz w:val="32"/>
          <w:szCs w:val="32"/>
          <w:shd w:val="clear" w:color="auto" w:fill="FFFFFF"/>
          <w:lang w:val="en-US" w:eastAsia="zh-CN" w:bidi="ar-SA"/>
        </w:rPr>
        <w:t>2035年）》</w:t>
      </w:r>
      <w:r>
        <w:rPr>
          <w:rFonts w:hint="eastAsia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color w:val="000000"/>
          <w:spacing w:val="-11"/>
          <w:kern w:val="0"/>
          <w:sz w:val="32"/>
          <w:szCs w:val="32"/>
          <w:shd w:val="clear" w:color="auto" w:fill="FFFFFF"/>
          <w:lang w:val="en-US" w:eastAsia="zh-CN" w:bidi="ar-SA"/>
        </w:rPr>
        <w:t>《赤峰市巴林左旗国土空间总体规划（2021</w:t>
      </w:r>
      <w:r>
        <w:rPr>
          <w:rFonts w:hint="eastAsia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shd w:val="clear" w:color="auto" w:fill="FFFFFF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2035年）》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《赤峰市巴林右旗国土空间总体规划（2021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2035年）》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《赤峰市林西县国土空间总体规划（2021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2035年）》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《赤峰市克什克腾旗国土空间总体规划（2021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2035年）》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《赤</w:t>
      </w:r>
      <w:r>
        <w:rPr>
          <w:rFonts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峰市翁牛特旗国土空间总体规划（2021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2035年）》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《赤峰市喀喇沁旗国土空间总体规划（2021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2035年）》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《赤峰市宁城县国土空间总体规划（2021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2035年）》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《赤峰市敖汉旗国土空间总体规划（2021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2035年）》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（以下统称《规划》）</w:t>
      </w:r>
      <w:r>
        <w:rPr>
          <w:rFonts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ascii="Times New Roman" w:hAnsi="Times New Roman" w:eastAsia="仿宋_GB2312" w:cs="Times New Roman"/>
          <w:color w:val="000000"/>
          <w:spacing w:val="-11"/>
          <w:kern w:val="0"/>
          <w:sz w:val="32"/>
          <w:szCs w:val="32"/>
          <w:shd w:val="clear" w:color="auto" w:fill="FFFFFF"/>
          <w:lang w:val="en-US" w:eastAsia="zh-CN" w:bidi="ar-SA"/>
        </w:rPr>
        <w:t>你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市要指导各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旗县（区）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认真组织实施，坚持以习近平新时代中国特色社会主义思想为指导，全面贯彻落实党的二十大精神，深入贯彻习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近平总书记对内蒙古的重要指示精神，认真落实自治区</w:t>
      </w:r>
      <w:r>
        <w:rPr>
          <w:rFonts w:eastAsia="仿宋_GB2312"/>
          <w:color w:val="000000"/>
          <w:spacing w:val="6"/>
          <w:sz w:val="32"/>
          <w:szCs w:val="32"/>
          <w:shd w:val="clear" w:color="auto" w:fill="FFFFFF"/>
        </w:rPr>
        <w:t>党</w:t>
      </w:r>
      <w:r>
        <w:rPr>
          <w:rFonts w:eastAsia="仿宋_GB2312"/>
          <w:color w:val="000000"/>
          <w:spacing w:val="11"/>
          <w:sz w:val="32"/>
          <w:szCs w:val="32"/>
          <w:shd w:val="clear" w:color="auto" w:fill="FFFFFF"/>
        </w:rPr>
        <w:t>委</w:t>
      </w:r>
      <w:r>
        <w:rPr>
          <w:rFonts w:hint="eastAsia" w:eastAsia="仿宋_GB2312"/>
          <w:color w:val="000000"/>
          <w:spacing w:val="17"/>
          <w:sz w:val="32"/>
          <w:szCs w:val="32"/>
          <w:shd w:val="clear" w:color="auto" w:fill="FFFFFF"/>
        </w:rPr>
        <w:t>和</w:t>
      </w:r>
      <w:r>
        <w:rPr>
          <w:rFonts w:eastAsia="仿宋_GB2312"/>
          <w:color w:val="000000"/>
          <w:spacing w:val="17"/>
          <w:sz w:val="32"/>
          <w:szCs w:val="32"/>
          <w:shd w:val="clear" w:color="auto" w:fill="FFFFFF"/>
        </w:rPr>
        <w:t>政府各项决策部署，完整、准确、全面贯彻新发展理念，</w:t>
      </w:r>
      <w:r>
        <w:rPr>
          <w:rFonts w:eastAsia="仿宋_GB2312"/>
          <w:color w:val="000000"/>
          <w:spacing w:val="6"/>
          <w:sz w:val="32"/>
          <w:szCs w:val="32"/>
          <w:shd w:val="clear" w:color="auto" w:fill="FFFFFF"/>
        </w:rPr>
        <w:t>坚持以人民为中心，统筹发展和安全，促进人与自然和谐共生，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牢牢把握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铸牢中华民族共同体意识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工作主线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，深化实施国家和自治区重大发展战略，</w:t>
      </w:r>
      <w:r>
        <w:rPr>
          <w:rFonts w:hAnsi="仿宋_GB2312" w:eastAsia="仿宋_GB2312"/>
          <w:sz w:val="32"/>
          <w:szCs w:val="32"/>
          <w:shd w:val="clear" w:color="auto" w:fill="FFFFFF"/>
        </w:rPr>
        <w:t>着力将红山区建成</w:t>
      </w:r>
      <w:r>
        <w:rPr>
          <w:rFonts w:hint="eastAsia" w:hAnsi="仿宋_GB2312" w:eastAsia="仿宋_GB2312"/>
          <w:sz w:val="32"/>
          <w:szCs w:val="32"/>
          <w:shd w:val="clear" w:color="auto" w:fill="FFFFFF"/>
        </w:rPr>
        <w:t>自治区</w:t>
      </w:r>
      <w:r>
        <w:rPr>
          <w:rFonts w:hAnsi="仿宋_GB2312" w:eastAsia="仿宋_GB2312"/>
          <w:sz w:val="32"/>
          <w:szCs w:val="32"/>
          <w:shd w:val="clear" w:color="auto" w:fill="FFFFFF"/>
        </w:rPr>
        <w:t>东部现代化产业基地</w:t>
      </w:r>
      <w:r>
        <w:rPr>
          <w:rFonts w:hint="eastAsia" w:hAnsi="仿宋_GB2312" w:eastAsia="仿宋_GB2312"/>
          <w:sz w:val="32"/>
          <w:szCs w:val="32"/>
          <w:shd w:val="clear" w:color="auto" w:fill="FFFFFF"/>
        </w:rPr>
        <w:t>、</w:t>
      </w:r>
      <w:r>
        <w:rPr>
          <w:rFonts w:hAnsi="仿宋_GB2312" w:eastAsia="仿宋_GB2312"/>
          <w:sz w:val="32"/>
          <w:szCs w:val="32"/>
          <w:shd w:val="clear" w:color="auto" w:fill="FFFFFF"/>
        </w:rPr>
        <w:t>对外开放引领区和宜居宜业宜游宜养的现代化中心城市核心区，松山区建成区域中心城市高质量发展先行区、一二三产</w:t>
      </w:r>
      <w:r>
        <w:rPr>
          <w:rFonts w:hint="eastAsia" w:hAnsi="仿宋_GB2312" w:eastAsia="仿宋_GB2312"/>
          <w:sz w:val="32"/>
          <w:szCs w:val="32"/>
          <w:shd w:val="clear" w:color="auto" w:fill="FFFFFF"/>
        </w:rPr>
        <w:t>业</w:t>
      </w:r>
      <w:r>
        <w:rPr>
          <w:rFonts w:hAnsi="仿宋_GB2312" w:eastAsia="仿宋_GB2312"/>
          <w:sz w:val="32"/>
          <w:szCs w:val="32"/>
          <w:shd w:val="clear" w:color="auto" w:fill="FFFFFF"/>
        </w:rPr>
        <w:t>融合发展示范区，元宝山区建成高质量转型城市、重要化工产品输出基地，阿鲁科尔沁旗建成优质绿色农畜产品生产加工输出基地、特色旅游目的地，巴林左旗建成</w:t>
      </w:r>
      <w:r>
        <w:rPr>
          <w:rFonts w:hint="eastAsia" w:hAnsi="仿宋_GB2312" w:eastAsia="仿宋_GB2312"/>
          <w:sz w:val="32"/>
          <w:szCs w:val="32"/>
          <w:shd w:val="clear" w:color="auto" w:fill="FFFFFF"/>
        </w:rPr>
        <w:t>自治区</w:t>
      </w:r>
      <w:r>
        <w:rPr>
          <w:rFonts w:hAnsi="仿宋_GB2312" w:eastAsia="仿宋_GB2312"/>
          <w:sz w:val="32"/>
          <w:szCs w:val="32"/>
          <w:shd w:val="clear" w:color="auto" w:fill="FFFFFF"/>
        </w:rPr>
        <w:t>东部重要农畜产品生产加工输出基地</w:t>
      </w:r>
      <w:r>
        <w:rPr>
          <w:rFonts w:hint="eastAsia" w:hAnsi="仿宋_GB2312" w:eastAsia="仿宋_GB2312"/>
          <w:sz w:val="32"/>
          <w:szCs w:val="32"/>
          <w:shd w:val="clear" w:color="auto" w:fill="FFFFFF"/>
        </w:rPr>
        <w:t>、</w:t>
      </w:r>
      <w:r>
        <w:rPr>
          <w:rFonts w:hAnsi="仿宋_GB2312" w:eastAsia="仿宋_GB2312"/>
          <w:sz w:val="32"/>
          <w:szCs w:val="32"/>
          <w:shd w:val="clear" w:color="auto" w:fill="FFFFFF"/>
        </w:rPr>
        <w:t>矿产资源加工和新能源转化示范基地，巴林右旗建成赤峰市具有草原特色的副中心城市、赤峰市北部重要生态安全屏障，林西县建成赤峰市北部农牧业产业化示范及农畜产品深加工基地、精细化工产业基地和赤峰市重要的有色金属循环经济集中区，克什克腾旗建成绿色工业低碳循环发展示范区</w:t>
      </w:r>
      <w:r>
        <w:rPr>
          <w:rFonts w:hint="eastAsia" w:hAnsi="仿宋_GB2312" w:eastAsia="仿宋_GB2312"/>
          <w:sz w:val="32"/>
          <w:szCs w:val="32"/>
          <w:shd w:val="clear" w:color="auto" w:fill="FFFFFF"/>
        </w:rPr>
        <w:t>、</w:t>
      </w:r>
      <w:r>
        <w:rPr>
          <w:rFonts w:hAnsi="仿宋_GB2312" w:eastAsia="仿宋_GB2312"/>
          <w:sz w:val="32"/>
          <w:szCs w:val="32"/>
          <w:shd w:val="clear" w:color="auto" w:fill="FFFFFF"/>
        </w:rPr>
        <w:t>全域</w:t>
      </w:r>
      <w:r>
        <w:rPr>
          <w:rFonts w:hAnsi="仿宋_GB2312" w:eastAsia="仿宋_GB2312"/>
          <w:spacing w:val="6"/>
          <w:sz w:val="32"/>
          <w:szCs w:val="32"/>
          <w:shd w:val="clear" w:color="auto" w:fill="FFFFFF"/>
        </w:rPr>
        <w:t>旅游示范区，翁牛特旗建成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</w:rPr>
        <w:t>自治区</w:t>
      </w:r>
      <w:r>
        <w:rPr>
          <w:rFonts w:hAnsi="仿宋_GB2312" w:eastAsia="仿宋_GB2312"/>
          <w:spacing w:val="6"/>
          <w:sz w:val="32"/>
          <w:szCs w:val="32"/>
          <w:shd w:val="clear" w:color="auto" w:fill="FFFFFF"/>
        </w:rPr>
        <w:t>东部重要清洁能源输出基地、</w:t>
      </w:r>
      <w:r>
        <w:rPr>
          <w:rFonts w:hAnsi="仿宋_GB2312" w:eastAsia="仿宋_GB2312"/>
          <w:sz w:val="32"/>
          <w:szCs w:val="32"/>
          <w:shd w:val="clear" w:color="auto" w:fill="FFFFFF"/>
        </w:rPr>
        <w:t>绿色有机农畜产品生产加工输出基地，喀喇沁旗建成赤峰市优质农产品生产加工商贸物流基地、山水宜居</w:t>
      </w:r>
      <w:r>
        <w:rPr>
          <w:rFonts w:hint="eastAsia" w:hAnsi="仿宋_GB2312" w:eastAsia="仿宋_GB2312"/>
          <w:sz w:val="32"/>
          <w:szCs w:val="32"/>
          <w:shd w:val="clear" w:color="auto" w:fill="FFFFFF"/>
        </w:rPr>
        <w:t>康养旅游</w:t>
      </w:r>
      <w:r>
        <w:rPr>
          <w:rFonts w:hAnsi="仿宋_GB2312" w:eastAsia="仿宋_GB2312"/>
          <w:sz w:val="32"/>
          <w:szCs w:val="32"/>
          <w:shd w:val="clear" w:color="auto" w:fill="FFFFFF"/>
        </w:rPr>
        <w:t>度假目的地，宁城县建成赤峰市宜居宜业宜游的副中心城市、特色旅游和生态康养目的地，敖汉旗建成特色农畜产品供应基地、有色金属循环经济发展示范区。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pacing w:val="6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二、筑牢安全发展的空间基础。到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2035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年，红山区耕地保有量不低于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25.4438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万亩，其中</w:t>
      </w:r>
      <w:r>
        <w:rPr>
          <w:rFonts w:hint="eastAsia" w:ascii="Times New Roman" w:hAnsi="仿宋_GB2312" w:eastAsia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永久基本农田保护面积不低于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20.4802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万亩</w:t>
      </w:r>
      <w:r>
        <w:rPr>
          <w:rFonts w:hint="eastAsia" w:hAnsi="仿宋_GB2312" w:eastAsia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生态保护红线面积不低于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11.9371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平方千米</w:t>
      </w:r>
      <w:r>
        <w:rPr>
          <w:rFonts w:hint="eastAsia" w:hAnsi="仿宋_GB2312" w:eastAsia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城镇开发边界扩展倍数控制在基于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2020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年城镇建设用地规模的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1.4150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倍以内</w:t>
      </w:r>
      <w:r>
        <w:rPr>
          <w:rFonts w:hint="eastAsia" w:hAnsi="仿宋_GB2312" w:eastAsia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松山区耕地保有量不低于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293.3948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万亩，其中</w:t>
      </w:r>
      <w:r>
        <w:rPr>
          <w:rFonts w:hint="eastAsia" w:ascii="Times New Roman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永久基本农田保护面积不低于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245.5126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万亩</w:t>
      </w:r>
      <w:r>
        <w:rPr>
          <w:rFonts w:hint="eastAsia" w:hAnsi="仿宋_GB2312" w:eastAsia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生态保护红线面积不低于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92.5674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平方千米</w:t>
      </w:r>
      <w:r>
        <w:rPr>
          <w:rFonts w:hint="eastAsia" w:hAnsi="仿宋_GB2312" w:eastAsia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城镇开发边界扩展倍数控制在基于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2020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年城镇建设用地规模的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1.4278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倍以内</w:t>
      </w:r>
      <w:r>
        <w:rPr>
          <w:rFonts w:hint="eastAsia" w:hAnsi="仿宋_GB2312" w:eastAsia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元宝山区耕地保有量不低于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54.5123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万亩，其中</w:t>
      </w:r>
      <w:r>
        <w:rPr>
          <w:rFonts w:hint="eastAsia" w:ascii="Times New Roman" w:hAnsi="仿宋_GB2312" w:eastAsia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永久基本农田保护面积不低于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47.8702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万亩</w:t>
      </w:r>
      <w:r>
        <w:rPr>
          <w:rFonts w:hint="eastAsia" w:hAnsi="仿宋_GB2312" w:eastAsia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生态保护红线面积不低于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18.4753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平方千米</w:t>
      </w:r>
      <w:r>
        <w:rPr>
          <w:rFonts w:hint="eastAsia" w:hAnsi="仿宋_GB2312" w:eastAsia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城镇开发边界扩展倍数控制在基于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2020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年城镇建设用地规模的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1.3522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倍以内</w:t>
      </w:r>
      <w:r>
        <w:rPr>
          <w:rFonts w:hint="eastAsia" w:hAnsi="仿宋_GB2312" w:eastAsia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阿鲁科尔沁旗耕地保有量不低于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356.7748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万亩，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其中</w:t>
      </w:r>
      <w:r>
        <w:rPr>
          <w:rFonts w:hint="eastAsia" w:ascii="Times New Roman" w:hAnsi="仿宋_GB2312" w:eastAsia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永久基本农田保护面积不低于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277.6157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万亩</w:t>
      </w:r>
      <w:r>
        <w:rPr>
          <w:rFonts w:hint="eastAsia" w:hAnsi="仿宋_GB2312" w:eastAsia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生态保护红线面积不低于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5757.7893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平方千米</w:t>
      </w:r>
      <w:r>
        <w:rPr>
          <w:rFonts w:hint="eastAsia" w:hAnsi="仿宋_GB2312" w:eastAsia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城镇开发边界扩展倍数控制在基于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2020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年城镇建设用地规模的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1.2000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倍以内</w:t>
      </w:r>
      <w:r>
        <w:rPr>
          <w:rFonts w:hint="eastAsia" w:hAnsi="仿宋_GB2312" w:eastAsia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巴林左旗耕地保有量不低于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232.6940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万亩，其中</w:t>
      </w:r>
      <w:r>
        <w:rPr>
          <w:rFonts w:hint="eastAsia" w:ascii="Times New Roman" w:hAnsi="仿宋_GB2312" w:eastAsia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永久基本农田保护面积不低于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184.9512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万亩</w:t>
      </w:r>
      <w:r>
        <w:rPr>
          <w:rFonts w:hint="eastAsia" w:hAnsi="仿宋_GB2312" w:eastAsia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生态保护红线面积不低于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1738.3356</w:t>
      </w: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平方千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米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城镇开发边界扩展倍数控制在基于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2020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年城镇建设用地规模的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1.2412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倍以内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巴林右旗耕地保有量不低于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197.7869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万亩，其中</w:t>
      </w:r>
      <w:r>
        <w:rPr>
          <w:rFonts w:hint="eastAsia" w:ascii="Times New Roman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永久基本农田保护面积不低于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171.0198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万亩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生态保护红线面积不低于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2619.1831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平方千米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城镇开发边界扩展倍数控制在基于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2020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年城镇建设用地规模的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1.1999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倍以内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林西县耕地保有量不低于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126.6137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万亩，其中</w:t>
      </w:r>
      <w:r>
        <w:rPr>
          <w:rFonts w:hint="eastAsia" w:ascii="Times New Roman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永久基本农田保护面积不低于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111.7982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万亩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生态保护红线面积不低于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669.6072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平方千米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城镇开发边界扩展倍数控制在基于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2020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年城镇建设用地规模的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1.1933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倍以内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克什克腾旗耕地保有量不低于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163.8061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万亩，其中</w:t>
      </w:r>
      <w:r>
        <w:rPr>
          <w:rFonts w:hint="eastAsia" w:ascii="Times New Roman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永久基本农田保护面积不低于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134.6098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万亩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生态保护红线面积不低于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9922.6222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平方千米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城镇开发边界扩展倍数控制在基于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2020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年城镇建设用地规模的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1.1912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倍以内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翁牛特旗耕地保有量不低于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509.5535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万亩，其中</w:t>
      </w:r>
      <w:r>
        <w:rPr>
          <w:rFonts w:hint="eastAsia" w:ascii="Times New Roman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永久基本农田保护面积不低于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429.9219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万亩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生态保护红线面积不低于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2391.9075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平方千米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城镇开发边界扩展倍数控制在基于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2020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年城镇建设用地规模的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1.2000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倍以内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喀喇沁旗耕地保有量不低于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97.4320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万亩，其中</w:t>
      </w:r>
      <w:r>
        <w:rPr>
          <w:rFonts w:hint="eastAsia" w:ascii="Times New Roman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永久基本农田保护面积不低于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81.2820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万亩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生态保护红线面积不低于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728.0518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平方千米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城镇开发边界扩展倍数控制在基于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2020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年城镇建设用地规模的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1.4803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倍以内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宁城县耕地保有量不低于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199.6606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万亩，其中</w:t>
      </w:r>
      <w:r>
        <w:rPr>
          <w:rFonts w:hint="eastAsia" w:ascii="Times New Roman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永久基本农田保护面积不低于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174.0462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万亩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生态保护红线面积不低于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804.0783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平方千米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城镇开发边界扩展倍数控制在基于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2020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年城镇建设用地规模的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1.2890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倍以内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敖汉旗耕地保有量不低于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464.4828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万亩，其中</w:t>
      </w:r>
      <w:r>
        <w:rPr>
          <w:rFonts w:hint="eastAsia" w:ascii="Times New Roman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永久基本农田保护面积不低于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398.8181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万亩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生态保护红线面积不低于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1092.2466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平方千米</w:t>
      </w:r>
      <w:r>
        <w:rPr>
          <w:rFonts w:hint="eastAsia" w:hAnsi="仿宋_GB2312" w:eastAsia="仿宋_GB2312"/>
          <w:spacing w:val="6"/>
          <w:sz w:val="32"/>
          <w:szCs w:val="32"/>
          <w:shd w:val="clear" w:color="auto" w:fill="FFFFFF"/>
          <w:lang w:eastAsia="zh-CN"/>
        </w:rPr>
        <w:t>；</w:t>
      </w:r>
      <w:r>
        <w:rPr>
          <w:rFonts w:ascii="Times New Roman" w:hAnsi="仿宋_GB2312" w:eastAsia="仿宋_GB2312"/>
          <w:spacing w:val="11"/>
          <w:sz w:val="32"/>
          <w:szCs w:val="32"/>
          <w:shd w:val="clear" w:color="auto" w:fill="FFFFFF"/>
        </w:rPr>
        <w:t>城镇开发边界扩展倍数控制在基于</w:t>
      </w:r>
      <w:r>
        <w:rPr>
          <w:rFonts w:ascii="Times New Roman" w:hAnsi="Times New Roman" w:eastAsia="仿宋_GB2312"/>
          <w:spacing w:val="6"/>
          <w:sz w:val="32"/>
          <w:szCs w:val="32"/>
          <w:shd w:val="clear" w:color="auto" w:fill="FFFFFF"/>
        </w:rPr>
        <w:t>2020</w:t>
      </w:r>
      <w:r>
        <w:rPr>
          <w:rFonts w:ascii="Times New Roman" w:hAnsi="仿宋_GB2312" w:eastAsia="仿宋_GB2312"/>
          <w:spacing w:val="11"/>
          <w:sz w:val="32"/>
          <w:szCs w:val="32"/>
          <w:shd w:val="clear" w:color="auto" w:fill="FFFFFF"/>
        </w:rPr>
        <w:t>年城镇建设用地规模的</w:t>
      </w:r>
      <w:r>
        <w:rPr>
          <w:rFonts w:ascii="Times New Roman" w:hAnsi="Times New Roman" w:eastAsia="仿宋_GB2312"/>
          <w:spacing w:val="11"/>
          <w:sz w:val="32"/>
          <w:szCs w:val="32"/>
          <w:shd w:val="clear" w:color="auto" w:fill="FFFFFF"/>
        </w:rPr>
        <w:t>1.1971</w:t>
      </w:r>
      <w:r>
        <w:rPr>
          <w:rFonts w:ascii="Times New Roman" w:hAnsi="仿宋_GB2312" w:eastAsia="仿宋_GB2312"/>
          <w:spacing w:val="11"/>
          <w:sz w:val="32"/>
          <w:szCs w:val="32"/>
          <w:shd w:val="clear" w:color="auto" w:fill="FFFFFF"/>
        </w:rPr>
        <w:t>倍以内。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以上旗县（区）用水总量不超过赤峰市下达指标，基本草原面积不低于本地区划定面积。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三、优化国土空间保护开发格局。</w:t>
      </w:r>
      <w:r>
        <w:rPr>
          <w:rFonts w:ascii="Times New Roman" w:hAnsi="仿宋_GB2312" w:eastAsia="仿宋_GB2312"/>
          <w:color w:val="000000"/>
          <w:spacing w:val="6"/>
          <w:sz w:val="32"/>
          <w:szCs w:val="32"/>
          <w:shd w:val="clear" w:color="auto" w:fill="FFFFFF"/>
        </w:rPr>
        <w:t>促进农</w:t>
      </w:r>
      <w:r>
        <w:rPr>
          <w:rFonts w:hint="eastAsia" w:ascii="Times New Roman" w:hAnsi="仿宋_GB2312" w:eastAsia="仿宋_GB2312"/>
          <w:color w:val="000000"/>
          <w:spacing w:val="6"/>
          <w:sz w:val="32"/>
          <w:szCs w:val="32"/>
          <w:shd w:val="clear" w:color="auto" w:fill="FFFFFF"/>
        </w:rPr>
        <w:t>牧</w:t>
      </w:r>
      <w:r>
        <w:rPr>
          <w:rFonts w:ascii="Times New Roman" w:hAnsi="仿宋_GB2312" w:eastAsia="仿宋_GB2312"/>
          <w:color w:val="000000"/>
          <w:spacing w:val="6"/>
          <w:sz w:val="32"/>
          <w:szCs w:val="32"/>
          <w:shd w:val="clear" w:color="auto" w:fill="FFFFFF"/>
        </w:rPr>
        <w:t>空间结构优化，</w:t>
      </w:r>
      <w:r>
        <w:rPr>
          <w:rFonts w:ascii="Times New Roman" w:hAnsi="仿宋_GB2312" w:eastAsia="仿宋_GB2312"/>
          <w:color w:val="000000"/>
          <w:sz w:val="32"/>
          <w:szCs w:val="32"/>
          <w:shd w:val="clear" w:color="auto" w:fill="FFFFFF"/>
        </w:rPr>
        <w:t>推动农牧业安全、绿色、高效发展，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严格保护耕地和永久基本农田，保障粮食和重要农畜产品安全供给</w:t>
      </w:r>
      <w:r>
        <w:rPr>
          <w:rFonts w:ascii="Times New Roman" w:hAnsi="仿宋_GB2312" w:eastAsia="仿宋_GB2312"/>
          <w:color w:val="000000"/>
          <w:sz w:val="32"/>
          <w:szCs w:val="32"/>
          <w:shd w:val="clear" w:color="auto" w:fill="FFFFFF"/>
        </w:rPr>
        <w:t>。加强生态空间的保护和管控，开展生态修复，持续推进生态文明建设。加强城乡融合发展，优化镇村布局，推进</w:t>
      </w:r>
      <w:r>
        <w:rPr>
          <w:rFonts w:hint="eastAsia" w:ascii="Times New Roman" w:hAnsi="仿宋_GB2312" w:eastAsia="仿宋_GB2312"/>
          <w:color w:val="000000"/>
          <w:sz w:val="32"/>
          <w:szCs w:val="32"/>
          <w:shd w:val="clear" w:color="auto" w:fill="FFFFFF"/>
        </w:rPr>
        <w:t>宜居宜业和美</w:t>
      </w:r>
      <w:r>
        <w:rPr>
          <w:rFonts w:ascii="Times New Roman" w:hAnsi="仿宋_GB2312" w:eastAsia="仿宋_GB2312"/>
          <w:color w:val="000000"/>
          <w:sz w:val="32"/>
          <w:szCs w:val="32"/>
          <w:shd w:val="clear" w:color="auto" w:fill="FFFFFF"/>
        </w:rPr>
        <w:t>乡村建设。严守城镇开发边界，严控新增城镇建设用地，做好分阶段时序管控。加大城乡存量用地挖潜力度，引导土地复合利用，提高土地节约集约利用水平，促进城镇内涵式集约发展。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四、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提升城乡空间品质。</w:t>
      </w:r>
      <w:r>
        <w:rPr>
          <w:rFonts w:ascii="Times New Roman" w:hAnsi="仿宋_GB2312" w:eastAsia="仿宋_GB2312"/>
          <w:color w:val="000000"/>
          <w:spacing w:val="6"/>
          <w:sz w:val="32"/>
          <w:szCs w:val="32"/>
          <w:shd w:val="clear" w:color="auto" w:fill="FFFFFF"/>
        </w:rPr>
        <w:t>优化中心城区空间结构和用地布局，统筹安排教育、文化、体育、医疗、养老等公共服务设施，合理安排居住用地，推进社区生活圈建设，</w:t>
      </w:r>
      <w:r>
        <w:rPr>
          <w:rFonts w:ascii="Times New Roman" w:hAnsi="Times New Roman" w:eastAsia="仿宋_GB2312"/>
          <w:color w:val="000000"/>
          <w:spacing w:val="6"/>
          <w:sz w:val="32"/>
          <w:szCs w:val="32"/>
          <w:shd w:val="clear" w:color="auto" w:fill="FFFFFF"/>
        </w:rPr>
        <w:t>提升城乡人居环境品质。</w:t>
      </w:r>
      <w:r>
        <w:rPr>
          <w:rFonts w:ascii="Times New Roman" w:hAnsi="仿宋_GB2312" w:eastAsia="仿宋_GB2312"/>
          <w:color w:val="000000"/>
          <w:spacing w:val="6"/>
          <w:sz w:val="32"/>
          <w:szCs w:val="32"/>
          <w:shd w:val="clear" w:color="auto" w:fill="FFFFFF"/>
        </w:rPr>
        <w:t>严格城市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32"/>
          <w:shd w:val="clear" w:color="auto" w:fill="FFFFFF"/>
        </w:rPr>
        <w:t>“</w:t>
      </w:r>
      <w:r>
        <w:rPr>
          <w:rFonts w:ascii="Times New Roman" w:hAnsi="仿宋_GB2312" w:eastAsia="仿宋_GB2312"/>
          <w:color w:val="000000"/>
          <w:spacing w:val="6"/>
          <w:sz w:val="32"/>
          <w:szCs w:val="32"/>
          <w:shd w:val="clear" w:color="auto" w:fill="FFFFFF"/>
        </w:rPr>
        <w:t>四线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32"/>
          <w:shd w:val="clear" w:color="auto" w:fill="FFFFFF"/>
        </w:rPr>
        <w:t>”</w:t>
      </w:r>
      <w:r>
        <w:rPr>
          <w:rFonts w:ascii="Times New Roman" w:hAnsi="仿宋_GB2312" w:eastAsia="仿宋_GB2312"/>
          <w:color w:val="000000"/>
          <w:spacing w:val="6"/>
          <w:sz w:val="32"/>
          <w:szCs w:val="32"/>
          <w:shd w:val="clear" w:color="auto" w:fill="FFFFFF"/>
        </w:rPr>
        <w:t>管控，系统建设公共开敞空间，稳步推进城市更新。落实历史文化保护线管理要求，保护好各级文物保护单位及其周围环境，保护和传承非物质文化遗产。强化城市设计、村庄设计，优化城乡空间形态，彰显富有地域特色的城乡风貌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  <w:shd w:val="clear" w:color="auto" w:fill="FFFFFF"/>
        </w:rPr>
        <w:t>五、</w:t>
      </w:r>
      <w:r>
        <w:rPr>
          <w:rFonts w:ascii="Times New Roman" w:hAnsi="仿宋_GB2312" w:eastAsia="仿宋_GB2312"/>
          <w:spacing w:val="6"/>
          <w:sz w:val="32"/>
          <w:szCs w:val="32"/>
          <w:shd w:val="clear" w:color="auto" w:fill="FFFFFF"/>
        </w:rPr>
        <w:t>构建现代化基础设施体系。完善城乡各类基础设施建设，提升基础设施保障能力和服务水平。强化与区域重要城市的交通联系，构建各种交通方式相协调的综合交通体系。健全公共安全和综合防灾体系，保障城市生命线稳定运行，提高城市安全韧性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六、维护规划严肃性权威性。坚决贯彻党中央、国务院关于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多规合一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改革的决策部署，不在国土空间规划体系之外另设其他空间规划。严格执行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《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规划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》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，任何部门和个人不得随意修改、违规变更。坚持一张蓝图干到底，切实提高规划、建设、治理水平。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</w:rPr>
        <w:t>在符合“三区三线”管控要求的前提下，严格管理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</w:rPr>
        <w:t>规划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</w:rPr>
        <w:t>重点项目。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科学编制详细规划、相关专项规划，强化对专项规划的指导约束。建立健全国土空间规划动态监测评估预警和实施监管机制。做好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《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规划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》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印发和公开，强化社会监督。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《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规划</w:t>
      </w:r>
      <w:r>
        <w:rPr>
          <w:rFonts w:hint="eastAsia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》</w:t>
      </w:r>
      <w:r>
        <w:rPr>
          <w:rFonts w:hAnsi="仿宋_GB2312" w:eastAsia="仿宋_GB2312"/>
          <w:color w:val="000000"/>
          <w:sz w:val="32"/>
          <w:szCs w:val="32"/>
          <w:shd w:val="clear" w:color="auto" w:fill="FFFFFF"/>
        </w:rPr>
        <w:t>实施中的重大事项要及时请示报告。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 xml:space="preserve">                            2024年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（此件公开发布）</w:t>
      </w:r>
    </w:p>
    <w:p>
      <w:pPr>
        <w:pStyle w:val="6"/>
        <w:widowControl/>
        <w:shd w:val="clear" w:color="auto" w:fill="FFFFFF"/>
        <w:spacing w:before="0" w:beforeAutospacing="0" w:after="0" w:afterAutospacing="0" w:line="600" w:lineRule="exact"/>
        <w:ind w:firstLine="640"/>
        <w:jc w:val="both"/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701" w:left="1474" w:header="851" w:footer="1304" w:gutter="0"/>
          <w:paperSrc/>
          <w:pgNumType w:fmt="numberInDash"/>
          <w:cols w:space="720" w:num="1"/>
          <w:titlePg/>
          <w:rtlGutter w:val="0"/>
          <w:docGrid w:type="lines" w:linePitch="312" w:charSpace="0"/>
        </w:sect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抄送：各盟行政公署、市人民政府，自治区各委、办、厅、局，各大企业、事业单位。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自治区党委各部门，内蒙古军区，武警内蒙古总队。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48" w:leftChars="499" w:right="210" w:rightChars="100" w:firstLine="0" w:firstLineChars="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自治区人大常委会办公厅、政协办公厅，自治区监委，自治区高级人民法院，检察院。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0" w:lineRule="exact"/>
        <w:ind w:left="1048" w:leftChars="499" w:right="210" w:rightChars="100" w:firstLine="0" w:firstLineChars="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153035</wp:posOffset>
            </wp:positionV>
            <wp:extent cx="1822450" cy="560705"/>
            <wp:effectExtent l="0" t="0" r="6350" b="10795"/>
            <wp:wrapSquare wrapText="bothSides"/>
            <wp:docPr id="1" name="图片 4" descr="NZZ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NZZ8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7" w:type="first"/>
      <w:footerReference r:id="rId5" w:type="default"/>
      <w:footerReference r:id="rId6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58"/>
    <w:rsid w:val="00002558"/>
    <w:rsid w:val="00057363"/>
    <w:rsid w:val="001632C6"/>
    <w:rsid w:val="001B7709"/>
    <w:rsid w:val="00302982"/>
    <w:rsid w:val="00323128"/>
    <w:rsid w:val="00337358"/>
    <w:rsid w:val="00351DB4"/>
    <w:rsid w:val="00387BE2"/>
    <w:rsid w:val="00444154"/>
    <w:rsid w:val="00483E09"/>
    <w:rsid w:val="004B2561"/>
    <w:rsid w:val="006048D6"/>
    <w:rsid w:val="006114C2"/>
    <w:rsid w:val="00755D27"/>
    <w:rsid w:val="00825CE1"/>
    <w:rsid w:val="00826BF2"/>
    <w:rsid w:val="008408A0"/>
    <w:rsid w:val="0084765A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77E790A"/>
    <w:rsid w:val="07844ABF"/>
    <w:rsid w:val="08845BF6"/>
    <w:rsid w:val="0C905B05"/>
    <w:rsid w:val="0EC51E23"/>
    <w:rsid w:val="137C65E8"/>
    <w:rsid w:val="14A04514"/>
    <w:rsid w:val="18C53B1A"/>
    <w:rsid w:val="1BF4474B"/>
    <w:rsid w:val="1CBB0BF5"/>
    <w:rsid w:val="1E805CB0"/>
    <w:rsid w:val="217D23BA"/>
    <w:rsid w:val="23EA7C87"/>
    <w:rsid w:val="27355263"/>
    <w:rsid w:val="27E04077"/>
    <w:rsid w:val="29255FCE"/>
    <w:rsid w:val="29733ABB"/>
    <w:rsid w:val="2F3DFAC3"/>
    <w:rsid w:val="36193767"/>
    <w:rsid w:val="38035E9B"/>
    <w:rsid w:val="39CFD6F2"/>
    <w:rsid w:val="3E8003A9"/>
    <w:rsid w:val="42A232FB"/>
    <w:rsid w:val="43CE25A7"/>
    <w:rsid w:val="4A950A4B"/>
    <w:rsid w:val="4D132F9F"/>
    <w:rsid w:val="4FD33F1F"/>
    <w:rsid w:val="5F653EAD"/>
    <w:rsid w:val="5FC47C57"/>
    <w:rsid w:val="604307FB"/>
    <w:rsid w:val="612A5090"/>
    <w:rsid w:val="6494633B"/>
    <w:rsid w:val="67C742AE"/>
    <w:rsid w:val="68C13D1E"/>
    <w:rsid w:val="696E1092"/>
    <w:rsid w:val="69AA7AA3"/>
    <w:rsid w:val="6ADE316A"/>
    <w:rsid w:val="6C74251A"/>
    <w:rsid w:val="6FDF1087"/>
    <w:rsid w:val="751A03F5"/>
    <w:rsid w:val="76167F2F"/>
    <w:rsid w:val="76240541"/>
    <w:rsid w:val="766E39D0"/>
    <w:rsid w:val="77EE1EE0"/>
    <w:rsid w:val="7C7734A3"/>
    <w:rsid w:val="7CAC17BE"/>
    <w:rsid w:val="7D1850A2"/>
    <w:rsid w:val="7F261937"/>
    <w:rsid w:val="EF9E2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  <w:rPr>
      <w:rFonts w:ascii="仿宋_GB2312" w:hAnsi="Times New Roman" w:eastAsia="仿宋_GB2312" w:cs="Times New Roman"/>
      <w:sz w:val="32"/>
      <w:szCs w:val="24"/>
    </w:rPr>
  </w:style>
  <w:style w:type="paragraph" w:styleId="3">
    <w:name w:val="Balloon Text"/>
    <w:basedOn w:val="1"/>
    <w:link w:val="12"/>
    <w:unhideWhenUs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customStyle="1" w:styleId="11">
    <w:name w:val="日期 Char"/>
    <w:basedOn w:val="9"/>
    <w:link w:val="2"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12">
    <w:name w:val="批注框文本 Char"/>
    <w:basedOn w:val="9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basedOn w:val="9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6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</cp:lastModifiedBy>
  <dcterms:modified xsi:type="dcterms:W3CDTF">2024-04-30T03:10:59Z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