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兴安盟乌兰浩特市</w:t>
      </w:r>
      <w:r>
        <w:rPr>
          <w:rFonts w:hint="eastAsia" w:ascii="方正小标宋_GBK" w:hAnsi="方正小标宋_GBK" w:eastAsia="方正小标宋_GBK" w:cs="方正小标宋_GBK"/>
          <w:sz w:val="44"/>
          <w:szCs w:val="44"/>
          <w:lang w:eastAsia="zh-CN"/>
        </w:rPr>
        <w:t>等</w:t>
      </w:r>
      <w:r>
        <w:rPr>
          <w:rFonts w:hint="eastAsia" w:ascii="方正小标宋_GBK" w:hAnsi="方正小标宋_GBK" w:eastAsia="方正小标宋_GBK" w:cs="方正小标宋_GBK"/>
          <w:sz w:val="44"/>
          <w:szCs w:val="44"/>
          <w:lang w:val="en-US" w:eastAsia="zh-CN"/>
        </w:rPr>
        <w:t>旗</w:t>
      </w:r>
      <w:r>
        <w:rPr>
          <w:rFonts w:hint="eastAsia" w:ascii="方正小标宋_GBK" w:hAnsi="方正小标宋_GBK" w:eastAsia="方正小标宋_GBK" w:cs="方正小标宋_GBK"/>
          <w:sz w:val="44"/>
          <w:szCs w:val="44"/>
        </w:rPr>
        <w:t>县</w:t>
      </w:r>
      <w:r>
        <w:rPr>
          <w:rFonts w:hint="eastAsia" w:ascii="方正小标宋_GBK" w:hAnsi="方正小标宋_GBK" w:eastAsia="方正小标宋_GBK" w:cs="方正小标宋_GBK"/>
          <w:sz w:val="44"/>
          <w:szCs w:val="44"/>
          <w:lang w:eastAsia="zh-CN"/>
        </w:rPr>
        <w:t>（市）</w:t>
      </w:r>
      <w:r>
        <w:rPr>
          <w:rFonts w:hint="eastAsia" w:ascii="方正小标宋_GBK" w:hAnsi="方正小标宋_GBK" w:eastAsia="方正小标宋_GBK" w:cs="方正小标宋_GBK"/>
          <w:sz w:val="44"/>
          <w:szCs w:val="44"/>
        </w:rPr>
        <w:t>国土空间</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总体规划（2021—2035年）的批复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eastAsia="zh-CN"/>
        </w:rPr>
      </w:pPr>
      <w:bookmarkStart w:id="0" w:name="缓急"/>
      <w:bookmarkEnd w:id="0"/>
      <w:r>
        <w:rPr>
          <w:rFonts w:hint="eastAsia" w:ascii="仿宋" w:hAnsi="仿宋" w:eastAsia="仿宋" w:cs="仿宋"/>
          <w:sz w:val="32"/>
          <w:szCs w:val="32"/>
        </w:rPr>
        <w:t>内政字〔202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81</w:t>
      </w:r>
      <w:r>
        <w:rPr>
          <w:rFonts w:hint="eastAsia" w:ascii="仿宋" w:hAnsi="仿宋" w:eastAsia="仿宋" w:cs="仿宋"/>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adjustRightInd/>
        <w:snapToGrid/>
        <w:spacing w:line="600" w:lineRule="exact"/>
        <w:jc w:val="left"/>
        <w:textAlignment w:val="auto"/>
        <w:rPr>
          <w:rFonts w:hint="eastAsia" w:ascii="仿宋" w:hAnsi="仿宋" w:eastAsia="仿宋" w:cs="仿宋"/>
          <w:sz w:val="32"/>
          <w:szCs w:val="32"/>
        </w:rPr>
      </w:pPr>
      <w:bookmarkStart w:id="1" w:name="_GoBack"/>
      <w:r>
        <w:rPr>
          <w:rFonts w:hint="eastAsia" w:ascii="仿宋" w:hAnsi="仿宋" w:eastAsia="仿宋" w:cs="仿宋"/>
          <w:sz w:val="32"/>
          <w:szCs w:val="32"/>
          <w:shd w:val="clear" w:color="auto" w:fill="FFFFFF"/>
        </w:rPr>
        <w:t>兴安盟行政公署：</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你盟关于审批乌兰浩特市、阿尔山市、科尔沁右翼前旗、科尔沁右翼中旗、扎赉特旗、突泉县6个旗县（市）国土空间总体</w:t>
      </w:r>
      <w:r>
        <w:rPr>
          <w:rFonts w:hint="eastAsia" w:ascii="仿宋" w:hAnsi="仿宋" w:eastAsia="仿宋" w:cs="仿宋"/>
          <w:spacing w:val="6"/>
          <w:sz w:val="32"/>
          <w:szCs w:val="32"/>
          <w:shd w:val="clear" w:color="auto" w:fill="FFFFFF"/>
        </w:rPr>
        <w:t>规划（2021—2035年）的请示（兴署发〔2023〕47号、48号、</w:t>
      </w:r>
      <w:r>
        <w:rPr>
          <w:rFonts w:hint="eastAsia" w:ascii="仿宋" w:hAnsi="仿宋" w:eastAsia="仿宋" w:cs="仿宋"/>
          <w:sz w:val="32"/>
          <w:szCs w:val="32"/>
          <w:shd w:val="clear" w:color="auto" w:fill="FFFFFF"/>
        </w:rPr>
        <w:t>49号、50号、51号、52号）收悉。现批复如下：</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原则同意自治区有关部门联合审查通过的《兴安盟乌兰浩特市国土空间总体规划（2021—2035年）》、《兴安盟阿尔山市国土空间总体规划（2021—2035年）》、《兴安盟科尔沁右翼前旗国土空间总体规划（2021—2035年）》、《兴安盟科尔沁右翼中旗国土空间总体规划（2021—2035年）》、《兴安盟扎赉特旗国土空间总体规划（2021—2035年）》、《兴安盟突泉县国土空间总体规划（2021—2035年）》</w:t>
      </w:r>
      <w:r>
        <w:rPr>
          <w:rFonts w:hint="eastAsia" w:ascii="仿宋" w:hAnsi="仿宋" w:eastAsia="仿宋" w:cs="仿宋"/>
          <w:sz w:val="32"/>
          <w:szCs w:val="32"/>
          <w:shd w:val="clear" w:color="auto" w:fill="FFFFFF"/>
          <w:lang w:eastAsia="zh-CN"/>
        </w:rPr>
        <w:t>（以下统称《规划》）</w:t>
      </w:r>
      <w:r>
        <w:rPr>
          <w:rFonts w:hint="eastAsia" w:ascii="仿宋" w:hAnsi="仿宋" w:eastAsia="仿宋" w:cs="仿宋"/>
          <w:sz w:val="32"/>
          <w:szCs w:val="32"/>
          <w:shd w:val="clear" w:color="auto" w:fill="FFFFFF"/>
        </w:rPr>
        <w:t>。你盟要指导各</w:t>
      </w:r>
      <w:r>
        <w:rPr>
          <w:rFonts w:hint="eastAsia" w:ascii="仿宋" w:hAnsi="仿宋" w:eastAsia="仿宋" w:cs="仿宋"/>
          <w:sz w:val="32"/>
          <w:szCs w:val="32"/>
          <w:shd w:val="clear" w:color="auto" w:fill="FFFFFF"/>
          <w:lang w:eastAsia="zh-CN"/>
        </w:rPr>
        <w:t>旗县（市）</w:t>
      </w:r>
      <w:r>
        <w:rPr>
          <w:rFonts w:hint="eastAsia" w:ascii="仿宋" w:hAnsi="仿宋" w:eastAsia="仿宋" w:cs="仿宋"/>
          <w:sz w:val="32"/>
          <w:szCs w:val="32"/>
          <w:shd w:val="clear" w:color="auto" w:fill="FFFFFF"/>
        </w:rPr>
        <w:t>认真组织实施，坚持以习近平新时代中国特色社会主义思想为指导，全面贯彻落实党的二十大精神，深入贯彻习近平总书记对内蒙古的重要指示精神，认真落实自治区党委和政府各项决策部署，完整、准确、全面贯彻新发展理念，坚持以人民为中心，统筹发展和安全，促进人与自然和谐共生，</w:t>
      </w:r>
      <w:r>
        <w:rPr>
          <w:rFonts w:hint="eastAsia" w:ascii="仿宋" w:hAnsi="仿宋" w:eastAsia="仿宋" w:cs="仿宋"/>
          <w:sz w:val="32"/>
          <w:szCs w:val="32"/>
          <w:shd w:val="clear" w:color="auto" w:fill="FFFFFF"/>
          <w:lang w:eastAsia="zh-CN"/>
        </w:rPr>
        <w:t>牢牢把握</w:t>
      </w:r>
      <w:r>
        <w:rPr>
          <w:rFonts w:hint="eastAsia" w:ascii="仿宋" w:hAnsi="仿宋" w:eastAsia="仿宋" w:cs="仿宋"/>
          <w:sz w:val="32"/>
          <w:szCs w:val="32"/>
          <w:shd w:val="clear" w:color="auto" w:fill="FFFFFF"/>
        </w:rPr>
        <w:t>铸牢中华民族共同体意识</w:t>
      </w:r>
      <w:r>
        <w:rPr>
          <w:rFonts w:hint="eastAsia" w:ascii="仿宋" w:hAnsi="仿宋" w:eastAsia="仿宋" w:cs="仿宋"/>
          <w:sz w:val="32"/>
          <w:szCs w:val="32"/>
          <w:shd w:val="clear" w:color="auto" w:fill="FFFFFF"/>
          <w:lang w:eastAsia="zh-CN"/>
        </w:rPr>
        <w:t>工作主线</w:t>
      </w:r>
      <w:r>
        <w:rPr>
          <w:rFonts w:hint="eastAsia" w:ascii="仿宋" w:hAnsi="仿宋" w:eastAsia="仿宋" w:cs="仿宋"/>
          <w:sz w:val="32"/>
          <w:szCs w:val="32"/>
          <w:shd w:val="clear" w:color="auto" w:fill="FFFFFF"/>
        </w:rPr>
        <w:t>，深化实施国家和自治区重大发展战略，着力将乌兰浩特市建成内蒙古东部地区生态宜居的重要节点城市，阿尔山市建成生态康养目的地和国家级旅游度假区，科尔沁右翼前旗建成兴安盟优质绿色农畜产品精深加工基地，科尔沁右翼中旗建成兴安盟绿色有机农畜产品供应基地和清洁能源输出基地，扎赉特旗建成兴安盟绿色有机农畜产品生产输出基地，突泉县建成兴安盟农畜产品生产加工基地和清洁能源输出基地。</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FF0000"/>
          <w:sz w:val="32"/>
          <w:szCs w:val="32"/>
          <w:shd w:val="clear" w:color="auto" w:fill="FFFFFF"/>
        </w:rPr>
      </w:pPr>
      <w:r>
        <w:rPr>
          <w:rFonts w:hint="eastAsia" w:ascii="仿宋" w:hAnsi="仿宋" w:eastAsia="仿宋" w:cs="仿宋"/>
          <w:sz w:val="32"/>
          <w:szCs w:val="32"/>
          <w:shd w:val="clear" w:color="auto" w:fill="FFFFFF"/>
        </w:rPr>
        <w:t>二、筑牢安全发展的空间基础。到2035年，乌兰浩特市耕地保有量不低于129.9072万亩，其中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永久基本农田保护面积不低于109.1241万亩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生态保护红线面积不低于961.0648平方千米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城镇开发边界扩展倍数控制在基于2020年城镇建设用地规模的1.4363倍以内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阿尔山市耕地保有量不低于31.5849万亩，其中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永久基本农田保护面积不低于12.9059万亩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生态保护红线面积不低于6374.1427平方千米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城镇开发边界扩展倍数控制在基于2020年城镇建设用地规模的1.4961倍以内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科尔沁右翼前旗耕地保有量不低于569.3159万亩，其中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永久基本农田保护面积不低于381.2838万亩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生态保护红线面积不低于7923.0613平方千米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城镇开发边界扩展倍数控制在基于2020年城镇建设用地规模的1.1775倍以内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科尔沁右翼中旗耕地保有量不低于522.4590万亩，其中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永久基本农田保护面积不低于371.7053万亩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生态保护红线面积不低于6314.6300平方千米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城镇开发边界扩展倍数控制在基于2020年城镇建设用地规模的1.2917倍以内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扎赉特旗耕地保有量不低于664.1433万亩，其中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永久基本农田保护面积不低于515.2508万亩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生态保护红线面积不低于3499.5797平方千米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城镇开发边界扩展倍数控制在基于2020年城镇建设用地规模的1.1271倍以内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突泉县耕地保有量不低于334.5065万亩，其中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永久基本农田保护面积不低于266.4575万亩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生态保护红线面积不低于920.8516平方千米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城镇开发边界扩展倍数控制在基于2020年城镇建设用地规模的1.1959倍以内。以上旗县（市）用水总量不超过兴安盟下达指标，基本草原面积不低于本地区划定面积。</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三、优</w:t>
      </w:r>
      <w:r>
        <w:rPr>
          <w:rFonts w:hint="eastAsia" w:ascii="仿宋" w:hAnsi="仿宋" w:eastAsia="仿宋" w:cs="仿宋"/>
          <w:color w:val="000000"/>
          <w:spacing w:val="6"/>
          <w:sz w:val="32"/>
          <w:szCs w:val="32"/>
          <w:shd w:val="clear" w:color="auto" w:fill="FFFFFF"/>
        </w:rPr>
        <w:t>化国土空间开发保护格局。促进农牧空间结构优化，</w:t>
      </w:r>
      <w:r>
        <w:rPr>
          <w:rFonts w:hint="eastAsia" w:ascii="仿宋" w:hAnsi="仿宋" w:eastAsia="仿宋" w:cs="仿宋"/>
          <w:color w:val="000000"/>
          <w:sz w:val="32"/>
          <w:szCs w:val="32"/>
          <w:shd w:val="clear" w:color="auto" w:fill="FFFFFF"/>
        </w:rPr>
        <w:t>推动农牧业安全、绿色、高效发展，严格保护耕地和永久基本农田，保障粮食和重要农畜产品安全供给。加强生态空间的保护和管控，开展生态修复，持续推进生态文明建设。加强城乡融合发展，优化镇村布局，推进宜居宜业和美乡村建设。严守城镇开发边界，严控新增城镇建设用地，做好分阶段时序管控。加大城乡存量用地挖潜力度，引导土地复合利用，提高土地节约集约利用水平，促进城镇内涵式集约发展。</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四、提升城乡空间品质。优化中心城区空间结构和用地布局，统筹安排教育、文化、体育、医疗、养老等公共服务设施，合理</w:t>
      </w:r>
      <w:r>
        <w:rPr>
          <w:rFonts w:hint="eastAsia" w:ascii="仿宋" w:hAnsi="仿宋" w:eastAsia="仿宋" w:cs="仿宋"/>
          <w:spacing w:val="6"/>
          <w:sz w:val="32"/>
          <w:szCs w:val="32"/>
          <w:shd w:val="clear" w:color="auto" w:fill="FFFFFF"/>
        </w:rPr>
        <w:t>安排居住用地，推进社区生活圈建设，提升城乡人居环境品质。</w:t>
      </w:r>
      <w:r>
        <w:rPr>
          <w:rFonts w:hint="eastAsia" w:ascii="仿宋" w:hAnsi="仿宋" w:eastAsia="仿宋" w:cs="仿宋"/>
          <w:sz w:val="32"/>
          <w:szCs w:val="32"/>
          <w:shd w:val="clear" w:color="auto" w:fill="FFFFFF"/>
        </w:rPr>
        <w:t>严格城市“四线”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五、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六、维护规划严肃性权威性。坚决贯彻党中央、国务院关于“多规合一”改革的决策部署，不在国土空间规划体系之外另设其他空间规划。严格执行</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，任何部门和个人不得随意修改、违规变更。坚持一张蓝图干到底，切实提高规划、建设、治理水平。在符合“三区三线”管控要求的前提下，严格管理</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重点项目。科学编制详细规划、相关专项规划，强化对专项规划的指导约束。建立健全国土空间规划动态监测评估预警和实施监管机制。做好</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印发和公开，强化社会监督。</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实施中的重大事项要及时请示报告。</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tabs>
          <w:tab w:val="left" w:pos="7560"/>
        </w:tabs>
        <w:kinsoku/>
        <w:wordWrap/>
        <w:overflowPunct/>
        <w:topLinePunct/>
        <w:autoSpaceDE/>
        <w:autoSpaceDN/>
        <w:bidi w:val="0"/>
        <w:adjustRightInd/>
        <w:snapToGrid/>
        <w:spacing w:before="0" w:beforeAutospacing="0" w:after="0" w:afterAutospacing="0" w:line="580" w:lineRule="exact"/>
        <w:ind w:firstLine="5120" w:firstLineChars="16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18</w:t>
      </w:r>
      <w:r>
        <w:rPr>
          <w:rFonts w:hint="eastAsia" w:ascii="仿宋" w:hAnsi="仿宋" w:eastAsia="仿宋" w:cs="仿宋"/>
          <w:color w:val="000000"/>
          <w:sz w:val="32"/>
          <w:szCs w:val="32"/>
          <w:shd w:val="clear" w:color="auto" w:fill="FFFFFF"/>
        </w:rPr>
        <w:t>日</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（此件公开发布）</w:t>
      </w:r>
    </w:p>
    <w:p/>
    <w:bookmarkEnd w:id="1"/>
    <w:p/>
    <w:p/>
    <w:p/>
    <w:p/>
    <w:p/>
    <w:p/>
    <w:p/>
    <w:p/>
    <w:p/>
    <w:p/>
    <w:p/>
    <w:p/>
    <w:p/>
    <w:p/>
    <w:p/>
    <w:p/>
    <w:p/>
    <w:p/>
    <w:p>
      <w:pPr>
        <w:keepNext w:val="0"/>
        <w:keepLines w:val="0"/>
        <w:pageBreakBefore w:val="0"/>
        <w:widowControl w:val="0"/>
        <w:kinsoku/>
        <w:wordWrap/>
        <w:overflowPunct/>
        <w:topLinePunct/>
        <w:autoSpaceDE/>
        <w:autoSpaceDN/>
        <w:bidi w:val="0"/>
        <w:adjustRightInd/>
        <w:snapToGrid/>
        <w:spacing w:line="400" w:lineRule="exact"/>
        <w:ind w:left="1155" w:leftChars="150" w:right="315" w:rightChars="150" w:hanging="840" w:hangingChars="300"/>
        <w:jc w:val="left"/>
        <w:textAlignment w:val="auto"/>
        <w:rPr>
          <w:rFonts w:hint="eastAsia" w:ascii="仿宋" w:hAnsi="仿宋" w:eastAsia="仿宋" w:cs="仿宋"/>
          <w:kern w:val="0"/>
          <w:sz w:val="28"/>
          <w:szCs w:val="28"/>
        </w:rPr>
      </w:pPr>
      <w:r>
        <w:rPr>
          <w:rFonts w:hint="eastAsia" w:ascii="仿宋" w:hAnsi="仿宋" w:eastAsia="仿宋" w:cs="仿宋"/>
          <w:sz w:val="28"/>
          <w:szCs w:val="28"/>
        </w:rPr>
        <w:t>抄送：</w:t>
      </w:r>
      <w:r>
        <w:rPr>
          <w:rFonts w:hint="eastAsia" w:ascii="仿宋" w:hAnsi="仿宋" w:eastAsia="仿宋" w:cs="仿宋"/>
          <w:spacing w:val="-6"/>
          <w:kern w:val="0"/>
          <w:sz w:val="28"/>
          <w:szCs w:val="28"/>
        </w:rPr>
        <w:t>各盟行政公署、市人民政府，自治区各委、办、</w:t>
      </w:r>
      <w:r>
        <w:rPr>
          <w:rFonts w:hint="eastAsia" w:ascii="仿宋" w:hAnsi="仿宋" w:eastAsia="仿宋" w:cs="仿宋"/>
          <w:kern w:val="0"/>
          <w:sz w:val="28"/>
          <w:szCs w:val="28"/>
        </w:rPr>
        <w:t>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315" w:leftChars="150" w:right="315" w:rightChars="150" w:firstLine="840" w:firstLineChars="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自治区党委各部门，内蒙古军区，武警内蒙古总队。</w:t>
      </w:r>
    </w:p>
    <w:p>
      <w:pPr>
        <w:keepNext w:val="0"/>
        <w:keepLines w:val="0"/>
        <w:pageBreakBefore w:val="0"/>
        <w:widowControl w:val="0"/>
        <w:kinsoku/>
        <w:wordWrap/>
        <w:overflowPunct/>
        <w:autoSpaceDE/>
        <w:autoSpaceDN/>
        <w:bidi w:val="0"/>
        <w:adjustRightInd/>
        <w:snapToGrid/>
        <w:spacing w:line="400" w:lineRule="exact"/>
        <w:ind w:left="1153" w:leftChars="549" w:right="315" w:rightChars="150" w:firstLine="0" w:firstLineChars="0"/>
        <w:textAlignment w:val="auto"/>
        <w:rPr>
          <w:rFonts w:hint="eastAsia"/>
          <w:sz w:val="28"/>
          <w:szCs w:val="28"/>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3817620</wp:posOffset>
            </wp:positionH>
            <wp:positionV relativeFrom="paragraph">
              <wp:posOffset>677545</wp:posOffset>
            </wp:positionV>
            <wp:extent cx="1596390" cy="474345"/>
            <wp:effectExtent l="0" t="0" r="3810" b="1905"/>
            <wp:wrapSquare wrapText="bothSides"/>
            <wp:docPr id="1" name="图片 4" descr="NZZ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81"/>
                    <pic:cNvPicPr>
                      <a:picLocks noChangeAspect="1"/>
                    </pic:cNvPicPr>
                  </pic:nvPicPr>
                  <pic:blipFill>
                    <a:blip r:embed="rId6"/>
                    <a:stretch>
                      <a:fillRect/>
                    </a:stretch>
                  </pic:blipFill>
                  <pic:spPr>
                    <a:xfrm>
                      <a:off x="0" y="0"/>
                      <a:ext cx="1596390" cy="474345"/>
                    </a:xfrm>
                    <a:prstGeom prst="rect">
                      <a:avLst/>
                    </a:prstGeom>
                    <a:noFill/>
                    <a:ln>
                      <a:noFill/>
                    </a:ln>
                  </pic:spPr>
                </pic:pic>
              </a:graphicData>
            </a:graphic>
          </wp:anchor>
        </w:drawing>
      </w:r>
      <w:r>
        <w:rPr>
          <w:rFonts w:hint="eastAsia" w:ascii="仿宋" w:hAnsi="仿宋" w:eastAsia="仿宋" w:cs="仿宋"/>
          <w:spacing w:val="6"/>
          <w:kern w:val="0"/>
          <w:sz w:val="28"/>
          <w:szCs w:val="28"/>
        </w:rPr>
        <w:t>自治区人大常委会办公厅、政协办公厅，自治区监委，</w:t>
      </w:r>
      <w:r>
        <w:rPr>
          <w:rFonts w:hint="eastAsia" w:ascii="仿宋" w:hAnsi="仿宋" w:eastAsia="仿宋" w:cs="仿宋"/>
          <w:kern w:val="0"/>
          <w:sz w:val="28"/>
          <w:szCs w:val="28"/>
        </w:rPr>
        <w:t>自治区高级人民法院，检察院。</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4C22AE4"/>
    <w:rsid w:val="0F36185F"/>
    <w:rsid w:val="1BF4474B"/>
    <w:rsid w:val="1E7D10A4"/>
    <w:rsid w:val="217D23BA"/>
    <w:rsid w:val="256B3BAA"/>
    <w:rsid w:val="27355263"/>
    <w:rsid w:val="27E04077"/>
    <w:rsid w:val="29255FCE"/>
    <w:rsid w:val="2DDC1467"/>
    <w:rsid w:val="2EEC22D6"/>
    <w:rsid w:val="36193767"/>
    <w:rsid w:val="38475782"/>
    <w:rsid w:val="3CD94D5B"/>
    <w:rsid w:val="3E8003A9"/>
    <w:rsid w:val="43CE25A7"/>
    <w:rsid w:val="4FD33F1F"/>
    <w:rsid w:val="55EAD573"/>
    <w:rsid w:val="5FC47C57"/>
    <w:rsid w:val="604307FB"/>
    <w:rsid w:val="612A5090"/>
    <w:rsid w:val="67654B19"/>
    <w:rsid w:val="67C742AE"/>
    <w:rsid w:val="68C13D1E"/>
    <w:rsid w:val="69AA7AA3"/>
    <w:rsid w:val="6ADE316A"/>
    <w:rsid w:val="76167F2F"/>
    <w:rsid w:val="76240541"/>
    <w:rsid w:val="78F3FC0A"/>
    <w:rsid w:val="7C7734A3"/>
    <w:rsid w:val="7D1850A2"/>
    <w:rsid w:val="7FFB787D"/>
    <w:rsid w:val="BFBF7B9F"/>
    <w:rsid w:val="DC9BDCD5"/>
    <w:rsid w:val="FABB94AD"/>
    <w:rsid w:val="FEAD68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rPr>
      <w:rFonts w:ascii="Times New Roman" w:hAnsi="Times New Roman" w:eastAsia="宋体" w:cs="Times New Roman"/>
      <w:szCs w:val="24"/>
    </w:rPr>
  </w:style>
  <w:style w:type="paragraph" w:styleId="3">
    <w:name w:val="Balloon Text"/>
    <w:basedOn w:val="1"/>
    <w:link w:val="12"/>
    <w:unhideWhenUsed/>
    <w:qFormat/>
    <w:uiPriority w:val="99"/>
    <w:rPr>
      <w:rFonts w:ascii="Times New Roman" w:hAnsi="Times New Roman" w:eastAsia="宋体" w:cs="Times New Roman"/>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日期 Char"/>
    <w:basedOn w:val="9"/>
    <w:link w:val="2"/>
    <w:semiHidden/>
    <w:qFormat/>
    <w:uiPriority w:val="99"/>
    <w:rPr>
      <w:rFonts w:ascii="Calibri" w:hAnsi="Calibri" w:eastAsia="宋体" w:cs="Times New Roman"/>
      <w:kern w:val="2"/>
      <w:sz w:val="21"/>
      <w:szCs w:val="22"/>
      <w:lang w:val="en-US" w:eastAsia="zh-CN" w:bidi="ar-SA"/>
    </w:rPr>
  </w:style>
  <w:style w:type="character" w:customStyle="1" w:styleId="12">
    <w:name w:val="批注框文本 Char"/>
    <w:basedOn w:val="9"/>
    <w:link w:val="3"/>
    <w:semiHidden/>
    <w:qFormat/>
    <w:uiPriority w:val="99"/>
    <w:rPr>
      <w:rFonts w:ascii="Calibri" w:hAnsi="Calibri" w:eastAsia="宋体" w:cs="Times New Roman"/>
      <w:kern w:val="2"/>
      <w:sz w:val="18"/>
      <w:szCs w:val="18"/>
      <w:lang w:val="en-US" w:eastAsia="zh-CN" w:bidi="ar-SA"/>
    </w:rPr>
  </w:style>
  <w:style w:type="character" w:customStyle="1" w:styleId="13">
    <w:name w:val="页脚 Char"/>
    <w:basedOn w:val="9"/>
    <w:link w:val="4"/>
    <w:uiPriority w:val="99"/>
    <w:rPr>
      <w:rFonts w:ascii="Calibri" w:hAnsi="Calibri" w:eastAsia="宋体" w:cs="Times New Roman"/>
      <w:kern w:val="2"/>
      <w:sz w:val="18"/>
      <w:szCs w:val="18"/>
    </w:rPr>
  </w:style>
  <w:style w:type="character" w:customStyle="1" w:styleId="14">
    <w:name w:val="页眉 Char"/>
    <w:basedOn w:val="9"/>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7</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cp:lastPrinted>2024-04-22T09:47:32Z</cp:lastPrinted>
  <dcterms:modified xsi:type="dcterms:W3CDTF">2024-04-30T02:54:09Z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