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内蒙古自治区人民政府关于</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呼伦贝尔市牙克石市</w:t>
      </w:r>
      <w:r>
        <w:rPr>
          <w:rFonts w:hint="eastAsia" w:ascii="方正小标宋_GBK" w:hAnsi="方正小标宋_GBK" w:eastAsia="方正小标宋_GBK" w:cs="方正小标宋_GBK"/>
          <w:sz w:val="44"/>
          <w:szCs w:val="44"/>
          <w:lang w:eastAsia="zh-CN"/>
        </w:rPr>
        <w:t>等旗（市）</w:t>
      </w:r>
      <w:r>
        <w:rPr>
          <w:rFonts w:hint="eastAsia" w:ascii="方正小标宋_GBK" w:hAnsi="方正小标宋_GBK" w:eastAsia="方正小标宋_GBK" w:cs="方正小标宋_GBK"/>
          <w:sz w:val="44"/>
          <w:szCs w:val="44"/>
        </w:rPr>
        <w:t>国土空间</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总体规划（2021—2035年）的批复</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80</w:t>
      </w:r>
      <w:r>
        <w:rPr>
          <w:rFonts w:hint="eastAsia" w:ascii="仿宋" w:hAnsi="仿宋" w:eastAsia="仿宋" w:cs="仿宋"/>
          <w:sz w:val="32"/>
          <w:szCs w:val="32"/>
        </w:rPr>
        <w:t>号</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0" w:firstLineChars="0"/>
        <w:jc w:val="both"/>
        <w:textAlignment w:val="auto"/>
        <w:rPr>
          <w:rFonts w:hint="eastAsia" w:ascii="仿宋" w:hAnsi="仿宋" w:eastAsia="仿宋" w:cs="仿宋"/>
          <w:color w:val="000000"/>
          <w:sz w:val="32"/>
          <w:szCs w:val="32"/>
          <w:shd w:val="clear" w:color="auto" w:fill="FFFFFF"/>
        </w:rPr>
      </w:pPr>
      <w:bookmarkStart w:id="1" w:name="_GoBack"/>
      <w:r>
        <w:rPr>
          <w:rFonts w:hint="eastAsia" w:ascii="仿宋" w:hAnsi="仿宋" w:eastAsia="仿宋" w:cs="仿宋"/>
          <w:color w:val="000000"/>
          <w:sz w:val="32"/>
          <w:szCs w:val="32"/>
          <w:shd w:val="clear" w:color="auto" w:fill="FFFFFF"/>
        </w:rPr>
        <w:t>呼伦贝尔市人民政府：</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你市《关于批准呼伦贝尔市十一个旗（市）级国土空间总体规划成果的请示》（呼政发〔2023〕32号）收悉。现批复如下：</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原则同意自治区有关部门联合审查通过的《呼伦贝尔市牙克石市国土空间总体规划（2021—2035年）》、《呼伦贝尔市扎兰屯市国土空间总体规划（2021—2035年）》、《呼伦贝尔市额尔古纳市国土空间总体规划（2021—2035年）》、《呼伦贝尔市根河市国土空间总体规划（2021—2035年）》、《呼伦贝尔市阿荣旗国土空间总体规划（2021—2035年）》、《呼伦贝尔市莫</w:t>
      </w:r>
      <w:r>
        <w:rPr>
          <w:rFonts w:hint="eastAsia" w:ascii="仿宋" w:hAnsi="仿宋" w:eastAsia="仿宋" w:cs="仿宋"/>
          <w:color w:val="000000"/>
          <w:spacing w:val="-6"/>
          <w:sz w:val="32"/>
          <w:szCs w:val="32"/>
          <w:shd w:val="clear" w:color="auto" w:fill="FFFFFF"/>
        </w:rPr>
        <w:t>力达瓦达斡尔族自治旗国土空间总体规划（2021—2035年）》、</w:t>
      </w:r>
      <w:r>
        <w:rPr>
          <w:rFonts w:hint="eastAsia" w:ascii="仿宋" w:hAnsi="仿宋" w:eastAsia="仿宋" w:cs="仿宋"/>
          <w:color w:val="000000"/>
          <w:sz w:val="32"/>
          <w:szCs w:val="32"/>
          <w:shd w:val="clear" w:color="auto" w:fill="FFFFFF"/>
        </w:rPr>
        <w:t>《呼伦贝尔市鄂伦春自治旗国土空间总体规划（2021—2035年）》、《呼伦贝尔市鄂温克族自治旗国土空间总体规划（2021—2035年）》、《呼伦贝尔市陈巴尔虎旗国土空间总体规划（2021—2035年）》、《呼伦贝尔市新巴尔虎左旗国土空间总体规划（2021—</w:t>
      </w:r>
      <w:r>
        <w:rPr>
          <w:rFonts w:hint="eastAsia" w:ascii="仿宋" w:hAnsi="仿宋" w:eastAsia="仿宋" w:cs="仿宋"/>
          <w:color w:val="000000"/>
          <w:spacing w:val="-11"/>
          <w:sz w:val="32"/>
          <w:szCs w:val="32"/>
          <w:shd w:val="clear" w:color="auto" w:fill="FFFFFF"/>
        </w:rPr>
        <w:t>2035年）》、《呼伦贝尔市新巴尔虎右旗国土空间总体规划（2021—</w:t>
      </w:r>
      <w:r>
        <w:rPr>
          <w:rFonts w:hint="eastAsia" w:ascii="仿宋" w:hAnsi="仿宋" w:eastAsia="仿宋" w:cs="仿宋"/>
          <w:color w:val="000000"/>
          <w:sz w:val="32"/>
          <w:szCs w:val="32"/>
          <w:shd w:val="clear" w:color="auto" w:fill="FFFFFF"/>
        </w:rPr>
        <w:t>2035年）》</w:t>
      </w:r>
      <w:r>
        <w:rPr>
          <w:rFonts w:hint="eastAsia" w:ascii="仿宋" w:hAnsi="仿宋" w:eastAsia="仿宋" w:cs="仿宋"/>
          <w:color w:val="000000"/>
          <w:sz w:val="32"/>
          <w:szCs w:val="32"/>
          <w:shd w:val="clear" w:color="auto" w:fill="FFFFFF"/>
          <w:lang w:eastAsia="zh-CN"/>
        </w:rPr>
        <w:t>（以下统称《规划》）</w:t>
      </w:r>
      <w:r>
        <w:rPr>
          <w:rFonts w:hint="eastAsia" w:ascii="仿宋" w:hAnsi="仿宋" w:eastAsia="仿宋" w:cs="仿宋"/>
          <w:color w:val="000000"/>
          <w:sz w:val="32"/>
          <w:szCs w:val="32"/>
          <w:shd w:val="clear" w:color="auto" w:fill="FFFFFF"/>
        </w:rPr>
        <w:t>。你市要指导各</w:t>
      </w:r>
      <w:r>
        <w:rPr>
          <w:rFonts w:hint="eastAsia" w:ascii="仿宋" w:hAnsi="仿宋" w:eastAsia="仿宋" w:cs="仿宋"/>
          <w:color w:val="000000"/>
          <w:sz w:val="32"/>
          <w:szCs w:val="32"/>
          <w:shd w:val="clear" w:color="auto" w:fill="FFFFFF"/>
          <w:lang w:eastAsia="zh-CN"/>
        </w:rPr>
        <w:t>旗（市）</w:t>
      </w:r>
      <w:r>
        <w:rPr>
          <w:rFonts w:hint="eastAsia" w:ascii="仿宋" w:hAnsi="仿宋" w:eastAsia="仿宋" w:cs="仿宋"/>
          <w:color w:val="000000"/>
          <w:sz w:val="32"/>
          <w:szCs w:val="32"/>
          <w:shd w:val="clear" w:color="auto" w:fill="FFFFFF"/>
        </w:rPr>
        <w:t>认真</w:t>
      </w:r>
      <w:r>
        <w:rPr>
          <w:rFonts w:hint="eastAsia" w:ascii="仿宋" w:hAnsi="仿宋" w:eastAsia="仿宋" w:cs="仿宋"/>
          <w:color w:val="000000"/>
          <w:spacing w:val="6"/>
          <w:sz w:val="32"/>
          <w:szCs w:val="32"/>
          <w:shd w:val="clear" w:color="auto" w:fill="FFFFFF"/>
        </w:rPr>
        <w:t>组织实施，坚持以习近平新时代中国特色社会主义思想为指导，</w:t>
      </w:r>
      <w:r>
        <w:rPr>
          <w:rFonts w:hint="eastAsia" w:ascii="仿宋" w:hAnsi="仿宋" w:eastAsia="仿宋" w:cs="仿宋"/>
          <w:color w:val="000000"/>
          <w:sz w:val="32"/>
          <w:szCs w:val="32"/>
          <w:shd w:val="clear" w:color="auto" w:fill="FFFFFF"/>
        </w:rPr>
        <w:t>全面贯彻落实党的二十大精神，深入贯彻习近平总书记对内蒙古的重要指示精神，认真落实自治区党委和政府各项决策部署，完整、准确、全面贯彻新发展理念，坚持以人民为中心，统筹发展和安全，促进人与自然和谐共生，</w:t>
      </w:r>
      <w:r>
        <w:rPr>
          <w:rFonts w:hint="eastAsia" w:ascii="仿宋" w:hAnsi="仿宋" w:eastAsia="仿宋" w:cs="仿宋"/>
          <w:color w:val="000000"/>
          <w:sz w:val="32"/>
          <w:szCs w:val="32"/>
          <w:shd w:val="clear" w:color="auto" w:fill="FFFFFF"/>
          <w:lang w:eastAsia="zh-CN"/>
        </w:rPr>
        <w:t>牢牢把握</w:t>
      </w:r>
      <w:r>
        <w:rPr>
          <w:rFonts w:hint="eastAsia" w:ascii="仿宋" w:hAnsi="仿宋" w:eastAsia="仿宋" w:cs="仿宋"/>
          <w:color w:val="000000"/>
          <w:sz w:val="32"/>
          <w:szCs w:val="32"/>
          <w:shd w:val="clear" w:color="auto" w:fill="FFFFFF"/>
        </w:rPr>
        <w:t>铸牢中华民族共同体意识</w:t>
      </w:r>
      <w:r>
        <w:rPr>
          <w:rFonts w:hint="eastAsia" w:ascii="仿宋" w:hAnsi="仿宋" w:eastAsia="仿宋" w:cs="仿宋"/>
          <w:color w:val="000000"/>
          <w:sz w:val="32"/>
          <w:szCs w:val="32"/>
          <w:shd w:val="clear" w:color="auto" w:fill="FFFFFF"/>
          <w:lang w:eastAsia="zh-CN"/>
        </w:rPr>
        <w:t>工作主线</w:t>
      </w:r>
      <w:r>
        <w:rPr>
          <w:rFonts w:hint="eastAsia" w:ascii="仿宋" w:hAnsi="仿宋" w:eastAsia="仿宋" w:cs="仿宋"/>
          <w:color w:val="000000"/>
          <w:sz w:val="32"/>
          <w:szCs w:val="32"/>
          <w:shd w:val="clear" w:color="auto" w:fill="FFFFFF"/>
        </w:rPr>
        <w:t>，深化实施国家和自治区重大发展战略，着力将牙克石市建成国家马铃薯良种繁育基地</w:t>
      </w:r>
      <w:r>
        <w:rPr>
          <w:rFonts w:hint="eastAsia" w:ascii="仿宋" w:hAnsi="仿宋" w:eastAsia="仿宋" w:cs="仿宋"/>
          <w:color w:val="000000"/>
          <w:sz w:val="32"/>
          <w:szCs w:val="32"/>
          <w:shd w:val="clear" w:color="auto" w:fill="FFFFFF"/>
          <w:lang w:eastAsia="zh-CN"/>
        </w:rPr>
        <w:t>及高寒汽车测试基地</w:t>
      </w:r>
      <w:r>
        <w:rPr>
          <w:rFonts w:hint="eastAsia" w:ascii="仿宋" w:hAnsi="仿宋" w:eastAsia="仿宋" w:cs="仿宋"/>
          <w:color w:val="000000"/>
          <w:sz w:val="32"/>
          <w:szCs w:val="32"/>
          <w:shd w:val="clear" w:color="auto" w:fill="FFFFFF"/>
        </w:rPr>
        <w:t>、冰雪旅游目的地，扎兰屯市建成自治区东部重要农畜林产品生产加工输出基地，额尔古纳市建成呼伦贝尔市重要的边境贸易城市及特色边境旅游城市，根河市建成“中国冷极”森林旅游及特色体验目的地，阿荣旗建成自治区绿色优质农畜林产品生产加工输出基地，莫力达瓦达斡尔族自治旗建成重要的商品粮生产基地和特色旅游体验目的地，鄂伦春自治旗建成大兴安岭东部地区农牧林产品供给基地，鄂温克族自治旗建成自治区东部重要的煤电能源基地，陈巴尔虎旗建成国内知名草原风情旅游目的地，新巴尔虎左旗建成呼伦贝尔市绿色畜产品生产加工输出基地、草原生态旅游边境城市，新巴尔虎右旗建成呼伦贝尔市绿色畜产品生产基地。</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二、筑牢安全发展的空间基础。到2035年，牙克石市耕地保有量不低于260.6785万亩，其中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永久基本农田保护面积不低于207.6889万亩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生态保护红线面积不低于20208.7174平方千米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城镇开发边界扩展倍数控制在基于2020年城镇建设用地规模的1.2649倍以内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扎兰屯市耕地保有量不低于395.4496万亩，其中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永久基本农田保护面积不低于314.8708万亩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生态保护红线面积不低于8164.0915平方千米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城镇开发边界扩展倍数控制在基于2020年城镇建设用地规模的1.2209倍以内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额尔古纳市耕地保有量不低于281.4304万亩，其中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永久基本农田保护面积不低于226.1632万亩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生态保护红线面积不低于19688.3906平方千米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城镇开发边界扩展倍数控制在基于2020年城镇建设用地规模的1.2751倍以内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根河市耕地保有量不低于3.5113万亩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生态保护红线面积不低于17068.1910平方千米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城镇开发边界扩展倍数控制在基于2020年城镇建设用地规模的1.2380倍以内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阿荣旗耕地保有量不低于512.7017万亩，其中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永久基本农田保护面积不低于413.0603万亩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生态保护红线面积不低于4801.4440平方千米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城镇开发边界扩展倍数控制在基于2020年城镇建设用地规模的1.2917倍以内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莫力达瓦达斡尔族自治旗耕地保有量不低于851.7529万亩，其中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永久基本农田保护面积不低于665.1413万亩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生态保护红线面积不低于1152.7684平方千米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城镇开发边界扩展倍数控制在基于2020年城镇建设用地规模的1.2698倍以内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鄂伦春自治旗耕地保有量不低于481.2164万亩，其中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永久基本农田保护面积不低于308.3340万亩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生态保护红线面积不低于39513.7449平方千米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城镇开发边界扩展倍数控制在基于2020年城镇建设用地规模的1.2649倍以内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鄂温克族自治旗耕地保有量不低于92.4256万亩，其中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永久基本农田保护面积不低于10.5740万亩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生态保护红线面积不低于11539.0983平方千米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城镇开发边界扩展倍数控制在基于2020年城镇建设用地规模的1.2203倍以内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陈巴尔虎旗耕地保有量不低于154.6390万亩，其中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永久基本农田保护面积不低于112.5341万亩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生态保护红线面积不低于10306.3006平方千米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城镇开发边界扩展倍数控制在基于2020年城镇建设用地规模的1.3498倍以内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新巴尔虎左旗耕地保有量不低于69.1504万亩，其中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永久基本农田保护面积不低于38.5128万亩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生态保护红线面积不低于13369.3560平方千米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城镇开发边界扩展倍数控制在基于2020年城镇建设用地规模的1.2854倍以内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新巴尔虎右旗耕地保有量不低于3.3474万亩，其中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永久基本农田保护面积不低于0.5055万亩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生态保护红线面积不低于19696.5930平方千米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城镇开发边界扩展倍数控制在基于2020年城镇建设用地规模的1.3870倍以内。以上旗（市）用水总量不超过呼伦贝尔市下达指标，基本草原面积不低于本地区划定面积。</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优化国土空间开发保护格局。促进农牧空间结构优化，推动农牧业安全、绿色、高效发展，严格保护耕地和永久基本农田，保障粮食和重要农畜产品安全供给。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四、提升城乡空间品质。优化中心城区空间结构和用地布局，统筹安排教育、文化、体育、医疗、养老等公共服务设施，合理</w:t>
      </w:r>
      <w:r>
        <w:rPr>
          <w:rFonts w:hint="eastAsia" w:ascii="仿宋" w:hAnsi="仿宋" w:eastAsia="仿宋" w:cs="仿宋"/>
          <w:color w:val="000000"/>
          <w:spacing w:val="6"/>
          <w:sz w:val="32"/>
          <w:szCs w:val="32"/>
          <w:shd w:val="clear" w:color="auto" w:fill="FFFFFF"/>
        </w:rPr>
        <w:t>安排居住用地，推进社区生活圈建设，提升城乡人居环境品质。</w:t>
      </w:r>
      <w:r>
        <w:rPr>
          <w:rFonts w:hint="eastAsia" w:ascii="仿宋" w:hAnsi="仿宋" w:eastAsia="仿宋" w:cs="仿宋"/>
          <w:color w:val="000000"/>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六、维护规划严肃性权威性。坚决贯彻党中央、国务院关于“多规合一”改革的决策部署，不在国土空间规划体系之外另设其他空间规划。严格执行</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，任何部门和个人不得随意修改、违规变更。坚持一张蓝图干到底，切实提高规划、建设、治理水平。在符合“三区三线”管控要求的前提下，严格管理</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重点项目。科学编制详细规划、相关专项规划，强化对专项规划的指导约束。建立健全国土空间规划动态监测评估预警和实施监管机制。做好</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印发和公开，强化社会监督。</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实施中的重大事项要及时请示报告。</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tabs>
          <w:tab w:val="left" w:pos="7560"/>
        </w:tabs>
        <w:kinsoku/>
        <w:wordWrap/>
        <w:overflowPunct/>
        <w:topLinePunct/>
        <w:autoSpaceDE/>
        <w:autoSpaceDN/>
        <w:bidi w:val="0"/>
        <w:adjustRightInd/>
        <w:snapToGrid/>
        <w:spacing w:before="0" w:beforeAutospacing="0" w:after="0" w:afterAutospacing="0" w:line="580" w:lineRule="exact"/>
        <w:ind w:left="0" w:leftChars="0" w:firstLine="5120" w:firstLineChars="16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日</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olor w:val="000000"/>
          <w:sz w:val="32"/>
          <w:szCs w:val="32"/>
          <w:shd w:val="clear" w:color="auto" w:fill="FFFFFF"/>
        </w:rPr>
      </w:pPr>
      <w:r>
        <w:rPr>
          <w:rFonts w:hint="eastAsia" w:ascii="仿宋" w:hAnsi="仿宋" w:eastAsia="仿宋" w:cs="仿宋"/>
          <w:color w:val="000000"/>
          <w:sz w:val="32"/>
          <w:szCs w:val="32"/>
          <w:shd w:val="clear" w:color="auto" w:fill="FFFFFF"/>
        </w:rPr>
        <w:t>（此件公开发布）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rPr>
      </w:pPr>
    </w:p>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rPr>
      </w:pPr>
    </w:p>
    <w:bookmarkEnd w:id="1"/>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rPr>
      </w:pPr>
    </w:p>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rPr>
      </w:pPr>
    </w:p>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rPr>
      </w:pPr>
    </w:p>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eastAsia="仿宋_GB2312"/>
          <w:lang w:eastAsia="zh-CN"/>
        </w:rPr>
      </w:pPr>
    </w:p>
    <w:p>
      <w:pPr>
        <w:pStyle w:val="6"/>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rPr>
      </w:pPr>
    </w:p>
    <w:p>
      <w:pPr>
        <w:pStyle w:val="6"/>
        <w:keepNext w:val="0"/>
        <w:keepLines w:val="0"/>
        <w:pageBreakBefore w:val="0"/>
        <w:widowControl/>
        <w:kinsoku/>
        <w:wordWrap/>
        <w:overflowPunct/>
        <w:topLinePunct w:val="0"/>
        <w:autoSpaceDE/>
        <w:autoSpaceDN/>
        <w:bidi w:val="0"/>
        <w:adjustRightInd/>
        <w:snapToGrid/>
        <w:spacing w:line="580" w:lineRule="exact"/>
        <w:ind w:firstLine="0" w:firstLineChars="0"/>
        <w:jc w:val="both"/>
        <w:textAlignment w:val="auto"/>
        <w:rPr>
          <w:rFonts w:hint="eastAsia" w:ascii="仿宋_GB2312"/>
        </w:rPr>
      </w:pPr>
    </w:p>
    <w:p>
      <w:pPr>
        <w:keepNext w:val="0"/>
        <w:keepLines w:val="0"/>
        <w:pageBreakBefore w:val="0"/>
        <w:widowControl w:val="0"/>
        <w:kinsoku/>
        <w:wordWrap/>
        <w:overflowPunct/>
        <w:topLinePunct/>
        <w:autoSpaceDE/>
        <w:autoSpaceDN/>
        <w:bidi w:val="0"/>
        <w:adjustRightInd/>
        <w:snapToGrid/>
        <w:spacing w:line="400" w:lineRule="exact"/>
        <w:ind w:left="1155" w:leftChars="150" w:right="315" w:rightChars="15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53" w:leftChars="549" w:right="315" w:rightChars="150" w:firstLine="0" w:firstLineChars="0"/>
        <w:jc w:val="left"/>
        <w:textAlignment w:val="auto"/>
        <w:rPr>
          <w:rFonts w:hint="eastAsia" w:ascii="仿宋" w:hAnsi="仿宋" w:eastAsia="仿宋" w:cs="仿宋"/>
          <w:sz w:val="28"/>
          <w:szCs w:val="28"/>
        </w:rPr>
      </w:pPr>
      <w:r>
        <w:rPr>
          <w:rFonts w:hint="eastAsia" w:ascii="仿宋_GB2312" w:eastAsia="仿宋_GB2312"/>
          <w:lang w:eastAsia="zh-CN"/>
        </w:rPr>
        <w:drawing>
          <wp:anchor distT="0" distB="0" distL="114300" distR="114300" simplePos="0" relativeHeight="251659264" behindDoc="0" locked="0" layoutInCell="1" allowOverlap="1">
            <wp:simplePos x="0" y="0"/>
            <wp:positionH relativeFrom="column">
              <wp:posOffset>4033520</wp:posOffset>
            </wp:positionH>
            <wp:positionV relativeFrom="paragraph">
              <wp:posOffset>661035</wp:posOffset>
            </wp:positionV>
            <wp:extent cx="1485265" cy="441325"/>
            <wp:effectExtent l="0" t="0" r="635" b="15875"/>
            <wp:wrapSquare wrapText="bothSides"/>
            <wp:docPr id="1" name="图片 4" descr="NZZ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80"/>
                    <pic:cNvPicPr>
                      <a:picLocks noChangeAspect="1"/>
                    </pic:cNvPicPr>
                  </pic:nvPicPr>
                  <pic:blipFill>
                    <a:blip r:embed="rId6"/>
                    <a:stretch>
                      <a:fillRect/>
                    </a:stretch>
                  </pic:blipFill>
                  <pic:spPr>
                    <a:xfrm>
                      <a:off x="0" y="0"/>
                      <a:ext cx="1485265" cy="441325"/>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B3F532C"/>
    <w:rsid w:val="0E6F7A17"/>
    <w:rsid w:val="1BF4474B"/>
    <w:rsid w:val="217D23BA"/>
    <w:rsid w:val="27355263"/>
    <w:rsid w:val="27E04077"/>
    <w:rsid w:val="29255FCE"/>
    <w:rsid w:val="29FE3D75"/>
    <w:rsid w:val="36193767"/>
    <w:rsid w:val="3E8003A9"/>
    <w:rsid w:val="43CE25A7"/>
    <w:rsid w:val="4FD33F1F"/>
    <w:rsid w:val="56DFD71B"/>
    <w:rsid w:val="5A5B7C7B"/>
    <w:rsid w:val="5CDF4841"/>
    <w:rsid w:val="5EED9266"/>
    <w:rsid w:val="5FC47C57"/>
    <w:rsid w:val="604307FB"/>
    <w:rsid w:val="612A5090"/>
    <w:rsid w:val="67C742AE"/>
    <w:rsid w:val="68C13D1E"/>
    <w:rsid w:val="69AA7AA3"/>
    <w:rsid w:val="6ADE316A"/>
    <w:rsid w:val="76167F2F"/>
    <w:rsid w:val="76240541"/>
    <w:rsid w:val="7875259B"/>
    <w:rsid w:val="7C7734A3"/>
    <w:rsid w:val="7D1850A2"/>
    <w:rsid w:val="7EEC0BE9"/>
    <w:rsid w:val="DFEF5473"/>
    <w:rsid w:val="EE755238"/>
    <w:rsid w:val="F7A5FA2C"/>
    <w:rsid w:val="F9EE9FCE"/>
    <w:rsid w:val="FBF6D022"/>
    <w:rsid w:val="FEFF31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hd w:val="clear" w:color="auto" w:fill="FFFFFF"/>
      <w:ind w:firstLine="640" w:firstLineChars="200"/>
      <w:jc w:val="left"/>
    </w:pPr>
    <w:rPr>
      <w:rFonts w:ascii="Times New Roman" w:hAnsi="Times New Roman" w:eastAsia="仿宋_GB2312" w:cs="Times New Roman"/>
      <w:color w:val="000000"/>
      <w:kern w:val="0"/>
      <w:sz w:val="32"/>
      <w:szCs w:val="32"/>
      <w:shd w:val="clear" w:color="auto" w:fill="FFFFFF"/>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kern w:val="2"/>
      <w:sz w:val="32"/>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19</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2024-04-22T11:38:16Z</cp:lastPrinted>
  <dcterms:modified xsi:type="dcterms:W3CDTF">2024-04-30T02:42:04Z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