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center"/>
        <w:textAlignment w:val="auto"/>
        <w:rPr>
          <w:rFonts w:hint="eastAsia" w:ascii="仿宋" w:hAnsi="仿宋" w:eastAsia="仿宋" w:cs="仿宋"/>
          <w:sz w:val="32"/>
          <w:szCs w:val="32"/>
        </w:rPr>
      </w:pPr>
      <w:bookmarkStart w:id="0" w:name="缓急"/>
      <w:bookmarkEnd w:id="0"/>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内蒙古自治区人民政府</w:t>
      </w:r>
      <w:r>
        <w:rPr>
          <w:rFonts w:hint="eastAsia" w:ascii="方正小标宋_GBK" w:hAnsi="方正小标宋_GBK" w:eastAsia="方正小标宋_GBK" w:cs="方正小标宋_GBK"/>
          <w:sz w:val="44"/>
          <w:szCs w:val="44"/>
          <w:lang w:eastAsia="zh-CN"/>
        </w:rPr>
        <w:t>关于</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包头市</w:t>
      </w:r>
      <w:r>
        <w:rPr>
          <w:rFonts w:hint="eastAsia" w:ascii="方正小标宋_GBK" w:hAnsi="方正小标宋_GBK" w:eastAsia="方正小标宋_GBK" w:cs="方正小标宋_GBK"/>
          <w:sz w:val="44"/>
          <w:szCs w:val="44"/>
        </w:rPr>
        <w:t>石拐区</w:t>
      </w:r>
      <w:r>
        <w:rPr>
          <w:rFonts w:hint="eastAsia" w:ascii="方正小标宋_GBK" w:hAnsi="方正小标宋_GBK" w:eastAsia="方正小标宋_GBK" w:cs="方正小标宋_GBK"/>
          <w:sz w:val="44"/>
          <w:szCs w:val="44"/>
          <w:lang w:eastAsia="zh-CN"/>
        </w:rPr>
        <w:t>等旗县（区）</w:t>
      </w:r>
      <w:r>
        <w:rPr>
          <w:rFonts w:hint="eastAsia" w:ascii="方正小标宋_GBK" w:hAnsi="方正小标宋_GBK" w:eastAsia="方正小标宋_GBK" w:cs="方正小标宋_GBK"/>
          <w:sz w:val="44"/>
          <w:szCs w:val="44"/>
        </w:rPr>
        <w:t>国土</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空间总体规划（2021—2035年）的批复</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right="0" w:rightChars="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jc w:val="center"/>
        <w:textAlignment w:val="auto"/>
        <w:rPr>
          <w:rFonts w:hint="eastAsia" w:ascii="仿宋" w:hAnsi="仿宋" w:eastAsia="仿宋" w:cs="仿宋"/>
          <w:sz w:val="32"/>
          <w:szCs w:val="32"/>
        </w:rPr>
      </w:pPr>
      <w:r>
        <w:rPr>
          <w:rFonts w:hint="eastAsia" w:ascii="仿宋" w:hAnsi="仿宋" w:eastAsia="仿宋" w:cs="仿宋"/>
          <w:sz w:val="32"/>
          <w:szCs w:val="32"/>
        </w:rPr>
        <w:t>内政字〔202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79</w:t>
      </w:r>
      <w:r>
        <w:rPr>
          <w:rFonts w:hint="eastAsia" w:ascii="仿宋" w:hAnsi="仿宋" w:eastAsia="仿宋" w:cs="仿宋"/>
          <w:sz w:val="32"/>
          <w:szCs w:val="32"/>
        </w:rPr>
        <w:t>号</w:t>
      </w:r>
    </w:p>
    <w:p>
      <w:pPr>
        <w:keepNext w:val="0"/>
        <w:keepLines w:val="0"/>
        <w:pageBreakBefore w:val="0"/>
        <w:widowControl w:val="0"/>
        <w:kinsoku/>
        <w:wordWrap/>
        <w:overflowPunct/>
        <w:topLinePunct/>
        <w:autoSpaceDE/>
        <w:autoSpaceDN/>
        <w:bidi w:val="0"/>
        <w:adjustRightInd w:val="0"/>
        <w:snapToGrid w:val="0"/>
        <w:spacing w:beforeAutospacing="0" w:afterAutospacing="0" w:line="580" w:lineRule="exact"/>
        <w:ind w:left="0" w:leftChars="0" w:right="0" w:rightChars="0"/>
        <w:jc w:val="center"/>
        <w:textAlignment w:val="auto"/>
        <w:rPr>
          <w:rFonts w:hint="eastAsia" w:ascii="方正小标宋_GBK" w:hAnsi="方正小标宋_GBK" w:eastAsia="方正小标宋_GBK" w:cs="方正小标宋_GBK"/>
          <w:sz w:val="44"/>
          <w:szCs w:val="44"/>
        </w:rPr>
      </w:pP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0" w:firstLineChars="0"/>
        <w:textAlignment w:val="auto"/>
        <w:rPr>
          <w:rFonts w:hint="eastAsia" w:ascii="仿宋" w:hAnsi="仿宋" w:eastAsia="仿宋" w:cs="仿宋"/>
          <w:color w:val="000000"/>
          <w:sz w:val="32"/>
          <w:szCs w:val="32"/>
        </w:rPr>
      </w:pPr>
      <w:bookmarkStart w:id="1" w:name="_GoBack"/>
      <w:bookmarkEnd w:id="1"/>
      <w:r>
        <w:rPr>
          <w:rFonts w:hint="eastAsia" w:ascii="仿宋" w:hAnsi="仿宋" w:eastAsia="仿宋" w:cs="仿宋"/>
          <w:color w:val="000000"/>
          <w:sz w:val="32"/>
          <w:szCs w:val="32"/>
          <w:shd w:val="clear" w:color="auto" w:fill="FFFFFF"/>
        </w:rPr>
        <w:t>包头市人民政府：</w:t>
      </w: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4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你市《关于提请自治区人民政府审批石拐区等五个旗县区国土空间总体规划（2021—2035年）的请示》（包府报〔2023〕79号）收悉。现批复如下：</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textAlignment w:val="auto"/>
        <w:rPr>
          <w:rFonts w:hint="eastAsia" w:ascii="仿宋" w:hAnsi="仿宋" w:eastAsia="仿宋" w:cs="仿宋"/>
          <w:b/>
          <w:bCs/>
          <w:sz w:val="32"/>
          <w:szCs w:val="32"/>
          <w:u w:val="single"/>
          <w:shd w:val="clear" w:color="auto" w:fill="FFFFFF"/>
        </w:rPr>
      </w:pPr>
      <w:r>
        <w:rPr>
          <w:rFonts w:hint="eastAsia" w:ascii="仿宋" w:hAnsi="仿宋" w:eastAsia="仿宋" w:cs="仿宋"/>
          <w:color w:val="000000"/>
          <w:sz w:val="32"/>
          <w:szCs w:val="32"/>
          <w:shd w:val="clear" w:color="auto" w:fill="FFFFFF"/>
        </w:rPr>
        <w:t>一、原则同意自治区有关部门联合审查通过的《包头市石拐区国土空间总体规划（2021—2035年）》、《包头市白云鄂博矿区国土空间总体规划（2021—2035年）》、《包头市土默特右旗国土空间总体规划（2021—2035年）》、《包头市达尔罕茂明安联合旗国土空间总体规划（2021—2035年）》、《包头市固阳县国土空间总体规划（2021—2035年）》</w:t>
      </w:r>
      <w:r>
        <w:rPr>
          <w:rFonts w:hint="eastAsia" w:ascii="仿宋" w:hAnsi="仿宋" w:eastAsia="仿宋" w:cs="仿宋"/>
          <w:color w:val="000000"/>
          <w:sz w:val="32"/>
          <w:szCs w:val="32"/>
          <w:shd w:val="clear" w:color="auto" w:fill="FFFFFF"/>
          <w:lang w:eastAsia="zh-CN"/>
        </w:rPr>
        <w:t>（以下统称《规划》）</w:t>
      </w:r>
      <w:r>
        <w:rPr>
          <w:rFonts w:hint="eastAsia" w:ascii="仿宋" w:hAnsi="仿宋" w:eastAsia="仿宋" w:cs="仿宋"/>
          <w:color w:val="000000"/>
          <w:sz w:val="32"/>
          <w:szCs w:val="32"/>
          <w:shd w:val="clear" w:color="auto" w:fill="FFFFFF"/>
        </w:rPr>
        <w:t>。你市</w:t>
      </w:r>
      <w:r>
        <w:rPr>
          <w:rFonts w:hint="eastAsia" w:ascii="仿宋" w:hAnsi="仿宋" w:eastAsia="仿宋" w:cs="仿宋"/>
          <w:sz w:val="32"/>
          <w:szCs w:val="32"/>
          <w:shd w:val="clear" w:color="auto" w:fill="FFFFFF"/>
        </w:rPr>
        <w:t>要指导各</w:t>
      </w:r>
      <w:r>
        <w:rPr>
          <w:rFonts w:hint="eastAsia" w:ascii="仿宋" w:hAnsi="仿宋" w:eastAsia="仿宋" w:cs="仿宋"/>
          <w:sz w:val="32"/>
          <w:szCs w:val="32"/>
          <w:shd w:val="clear" w:color="auto" w:fill="FFFFFF"/>
          <w:lang w:eastAsia="zh-CN"/>
        </w:rPr>
        <w:t>旗县（区）</w:t>
      </w:r>
      <w:r>
        <w:rPr>
          <w:rFonts w:hint="eastAsia" w:ascii="仿宋" w:hAnsi="仿宋" w:eastAsia="仿宋" w:cs="仿宋"/>
          <w:sz w:val="32"/>
          <w:szCs w:val="32"/>
          <w:shd w:val="clear" w:color="auto" w:fill="FFFFFF"/>
        </w:rPr>
        <w:t>认真组织实施，</w:t>
      </w:r>
      <w:r>
        <w:rPr>
          <w:rFonts w:hint="eastAsia" w:ascii="仿宋" w:hAnsi="仿宋" w:eastAsia="仿宋" w:cs="仿宋"/>
          <w:color w:val="000000"/>
          <w:sz w:val="32"/>
          <w:szCs w:val="32"/>
          <w:shd w:val="clear" w:color="auto" w:fill="FFFFFF"/>
        </w:rPr>
        <w:t>坚持以习近平新时代中国特色社会主义思想为指导，全面贯彻落实党的二十大精神，深入贯彻习近平总书记对内蒙古的重要指示精神，认真落实自治区党委和政府各项决策部署，完整、准确、全面贯彻新发展理念，坚持以人民为中心，统筹发展和安全，促进人与自然和谐共生，</w:t>
      </w:r>
      <w:r>
        <w:rPr>
          <w:rFonts w:hint="eastAsia" w:ascii="仿宋" w:hAnsi="仿宋" w:eastAsia="仿宋" w:cs="仿宋"/>
          <w:color w:val="000000"/>
          <w:sz w:val="32"/>
          <w:szCs w:val="32"/>
          <w:shd w:val="clear" w:color="auto" w:fill="FFFFFF"/>
          <w:lang w:eastAsia="zh-CN"/>
        </w:rPr>
        <w:t>牢牢把握</w:t>
      </w:r>
      <w:r>
        <w:rPr>
          <w:rFonts w:hint="eastAsia" w:ascii="仿宋" w:hAnsi="仿宋" w:eastAsia="仿宋" w:cs="仿宋"/>
          <w:color w:val="000000"/>
          <w:sz w:val="32"/>
          <w:szCs w:val="32"/>
          <w:shd w:val="clear" w:color="auto" w:fill="FFFFFF"/>
        </w:rPr>
        <w:t>铸牢中华民族共同体意识</w:t>
      </w:r>
      <w:r>
        <w:rPr>
          <w:rFonts w:hint="eastAsia" w:ascii="仿宋" w:hAnsi="仿宋" w:eastAsia="仿宋" w:cs="仿宋"/>
          <w:color w:val="000000"/>
          <w:sz w:val="32"/>
          <w:szCs w:val="32"/>
          <w:shd w:val="clear" w:color="auto" w:fill="FFFFFF"/>
          <w:lang w:eastAsia="zh-CN"/>
        </w:rPr>
        <w:t>工作主线</w:t>
      </w:r>
      <w:r>
        <w:rPr>
          <w:rFonts w:hint="eastAsia" w:ascii="仿宋" w:hAnsi="仿宋" w:eastAsia="仿宋" w:cs="仿宋"/>
          <w:color w:val="000000"/>
          <w:sz w:val="32"/>
          <w:szCs w:val="32"/>
          <w:shd w:val="clear" w:color="auto" w:fill="FFFFFF"/>
        </w:rPr>
        <w:t>，</w:t>
      </w:r>
      <w:r>
        <w:rPr>
          <w:rFonts w:hint="eastAsia" w:ascii="仿宋" w:hAnsi="仿宋" w:eastAsia="仿宋" w:cs="仿宋"/>
          <w:sz w:val="32"/>
          <w:szCs w:val="32"/>
          <w:shd w:val="clear" w:color="auto" w:fill="FFFFFF"/>
        </w:rPr>
        <w:t>深化实施国家和自治区重大发展战略，着力将石拐区建成包头市绿色低碳高质量转型发展先行</w:t>
      </w:r>
      <w:r>
        <w:rPr>
          <w:rFonts w:hint="eastAsia" w:ascii="仿宋" w:hAnsi="仿宋" w:eastAsia="仿宋" w:cs="仿宋"/>
          <w:spacing w:val="-6"/>
          <w:sz w:val="32"/>
          <w:szCs w:val="32"/>
          <w:shd w:val="clear" w:color="auto" w:fill="FFFFFF"/>
        </w:rPr>
        <w:t>区，白云鄂博矿区建成国家战略性稀土等矿产资源综合利用基地，土默特右旗建成包头市副中心城市和文旅康养目的地</w:t>
      </w:r>
      <w:r>
        <w:rPr>
          <w:rFonts w:hint="eastAsia" w:ascii="仿宋" w:hAnsi="仿宋" w:eastAsia="仿宋" w:cs="仿宋"/>
          <w:spacing w:val="-6"/>
          <w:sz w:val="32"/>
          <w:szCs w:val="32"/>
        </w:rPr>
        <w:t>，</w:t>
      </w:r>
      <w:r>
        <w:rPr>
          <w:rFonts w:hint="eastAsia" w:ascii="仿宋" w:hAnsi="仿宋" w:eastAsia="仿宋" w:cs="仿宋"/>
          <w:spacing w:val="-6"/>
          <w:sz w:val="32"/>
          <w:szCs w:val="32"/>
          <w:shd w:val="clear" w:color="auto" w:fill="FFFFFF"/>
        </w:rPr>
        <w:t>达尔罕茂明安联合旗建成包头市新材料新能源和绿色有机农畜产品输出基地，固阳县建成包头市重要的金属冶炼深加工及低碳产业承接地。</w:t>
      </w: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40"/>
        <w:jc w:val="both"/>
        <w:textAlignment w:val="auto"/>
        <w:rPr>
          <w:rFonts w:hint="eastAsia" w:ascii="仿宋" w:hAnsi="仿宋" w:eastAsia="仿宋" w:cs="仿宋"/>
          <w:color w:val="FF0000"/>
          <w:sz w:val="32"/>
          <w:szCs w:val="32"/>
          <w:shd w:val="clear" w:color="auto" w:fill="FFFFFF"/>
        </w:rPr>
      </w:pPr>
      <w:r>
        <w:rPr>
          <w:rFonts w:hint="eastAsia" w:ascii="仿宋" w:hAnsi="仿宋" w:eastAsia="仿宋" w:cs="仿宋"/>
          <w:color w:val="000000"/>
          <w:sz w:val="32"/>
          <w:szCs w:val="32"/>
          <w:shd w:val="clear" w:color="auto" w:fill="FFFFFF"/>
        </w:rPr>
        <w:t>二、筑牢安全发展的空间基础。到2035年，石拐区耕地保有量不低于4.6332万亩，其中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永久基本农田保护面积不低于2.7406万亩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生态保护红线面积不低于426.2470平方千米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城镇开发边界扩展倍数控制在基于2020年城镇建设用地规模的1.6996倍以内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白云鄂博矿区生态保护红线面积不低于0.0718平方千米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城镇开发边界扩展倍数控制在基于2020年城镇建设用地规模的1.4997倍以内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土默特右旗耕地保有量不低于173.7904万亩，其中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永久基本农田保护面积不低于139.4186万亩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生态保护红线面积不低于556.6923平方千米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城镇开发边界扩展倍数控制在基于2020年城镇建设用地规模的1.3498倍</w:t>
      </w:r>
      <w:r>
        <w:rPr>
          <w:rFonts w:hint="eastAsia" w:ascii="仿宋" w:hAnsi="仿宋" w:eastAsia="仿宋" w:cs="仿宋"/>
          <w:color w:val="000000"/>
          <w:spacing w:val="6"/>
          <w:sz w:val="32"/>
          <w:szCs w:val="32"/>
          <w:shd w:val="clear" w:color="auto" w:fill="FFFFFF"/>
        </w:rPr>
        <w:t>以内</w:t>
      </w:r>
      <w:r>
        <w:rPr>
          <w:rFonts w:hint="eastAsia" w:ascii="仿宋" w:hAnsi="仿宋" w:eastAsia="仿宋" w:cs="仿宋"/>
          <w:color w:val="000000"/>
          <w:spacing w:val="6"/>
          <w:sz w:val="32"/>
          <w:szCs w:val="32"/>
          <w:shd w:val="clear" w:color="auto" w:fill="FFFFFF"/>
          <w:lang w:eastAsia="zh-CN"/>
        </w:rPr>
        <w:t>。</w:t>
      </w:r>
      <w:r>
        <w:rPr>
          <w:rFonts w:hint="eastAsia" w:ascii="仿宋" w:hAnsi="仿宋" w:eastAsia="仿宋" w:cs="仿宋"/>
          <w:color w:val="000000"/>
          <w:spacing w:val="6"/>
          <w:sz w:val="32"/>
          <w:szCs w:val="32"/>
          <w:shd w:val="clear" w:color="auto" w:fill="FFFFFF"/>
        </w:rPr>
        <w:t>达尔罕茂明安联合旗耕地保有量不低于132.8417万亩，</w:t>
      </w:r>
      <w:r>
        <w:rPr>
          <w:rFonts w:hint="eastAsia" w:ascii="仿宋" w:hAnsi="仿宋" w:eastAsia="仿宋" w:cs="仿宋"/>
          <w:color w:val="000000"/>
          <w:sz w:val="32"/>
          <w:szCs w:val="32"/>
          <w:shd w:val="clear" w:color="auto" w:fill="FFFFFF"/>
        </w:rPr>
        <w:t>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永久基本农田保护面积不低于97.2517万亩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生态保护红线面积不低于5628.9891平方千米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城镇开发边界扩展倍数控制在基于2020年城镇建设用地规模的1.4444倍以内</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固阳县耕地保有量不低于271.3717万亩，其中</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永久基本农田保护面积不低于238.5042万亩</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生态保护红线面积不低于339.7773平方千米</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城镇开发边界扩展倍数控制在基于2020年城镇建设用地规模</w:t>
      </w:r>
      <w:r>
        <w:rPr>
          <w:rFonts w:hint="eastAsia" w:ascii="仿宋" w:hAnsi="仿宋" w:eastAsia="仿宋" w:cs="仿宋"/>
          <w:color w:val="000000"/>
          <w:sz w:val="32"/>
          <w:szCs w:val="32"/>
          <w:shd w:val="clear" w:color="auto" w:fill="FFFFFF"/>
          <w:lang w:eastAsia="zh-CN"/>
        </w:rPr>
        <w:t>的</w:t>
      </w:r>
      <w:r>
        <w:rPr>
          <w:rFonts w:hint="eastAsia" w:ascii="仿宋" w:hAnsi="仿宋" w:eastAsia="仿宋" w:cs="仿宋"/>
          <w:color w:val="000000"/>
          <w:sz w:val="32"/>
          <w:szCs w:val="32"/>
          <w:shd w:val="clear" w:color="auto" w:fill="FFFFFF"/>
        </w:rPr>
        <w:t>1.5496倍以内。以上旗县（区）用水总量不超过包头市下达指标，基本草原面积不低于本地区划定面积。</w:t>
      </w: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4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三、</w:t>
      </w:r>
      <w:r>
        <w:rPr>
          <w:rFonts w:hint="eastAsia" w:ascii="仿宋" w:hAnsi="仿宋" w:eastAsia="仿宋" w:cs="仿宋"/>
          <w:color w:val="000000"/>
          <w:spacing w:val="6"/>
          <w:sz w:val="32"/>
          <w:szCs w:val="32"/>
          <w:shd w:val="clear" w:color="auto" w:fill="FFFFFF"/>
        </w:rPr>
        <w:t>优化国土空间开发保护格局。促进农牧空间结构优化，</w:t>
      </w:r>
      <w:r>
        <w:rPr>
          <w:rFonts w:hint="eastAsia" w:ascii="仿宋" w:hAnsi="仿宋" w:eastAsia="仿宋" w:cs="仿宋"/>
          <w:color w:val="000000"/>
          <w:sz w:val="32"/>
          <w:szCs w:val="32"/>
          <w:shd w:val="clear" w:color="auto" w:fill="FFFFFF"/>
        </w:rPr>
        <w:t>推动农牧业安全、绿色、高效发展，严格保护耕地和永久基本农田，保障粮食和重要农畜产品安全供给。加强生态空间的保护和管控，开展生态修复，持续推进生态文明建设。加强城乡融合发展，优化镇村布局，推进宜居宜业和美乡村建设。严守城镇开发边界，严控新增城镇建设用地，做好分阶段时序管控。加大城乡存量用地挖潜力度，引导土地复合利用，提高土地节约集约利用水平，促进城镇内涵式集约发展。</w:t>
      </w:r>
    </w:p>
    <w:p>
      <w:pPr>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四、提升城乡空间品质。优化中心城区空间结构和用地布局，统筹安排教育、文化、体育、医疗、养老等公共服务设施，合理</w:t>
      </w:r>
      <w:r>
        <w:rPr>
          <w:rFonts w:hint="eastAsia" w:ascii="仿宋" w:hAnsi="仿宋" w:eastAsia="仿宋" w:cs="仿宋"/>
          <w:color w:val="000000"/>
          <w:spacing w:val="6"/>
          <w:sz w:val="32"/>
          <w:szCs w:val="32"/>
          <w:shd w:val="clear" w:color="auto" w:fill="FFFFFF"/>
        </w:rPr>
        <w:t>安排居住用地，推进社区生活圈建设，提升城乡人居环境品质。</w:t>
      </w:r>
      <w:r>
        <w:rPr>
          <w:rFonts w:hint="eastAsia" w:ascii="仿宋" w:hAnsi="仿宋" w:eastAsia="仿宋" w:cs="仿宋"/>
          <w:color w:val="000000"/>
          <w:sz w:val="32"/>
          <w:szCs w:val="32"/>
          <w:shd w:val="clear" w:color="auto" w:fill="FFFFFF"/>
        </w:rPr>
        <w:t>严格城市“四线”管控，系统建设公共开敞空间，稳步推进城市更新。落实历史文化保护线管理要求，保护好各级文物保护单位及周围环境，保护和传承非物质文化遗产。强化城市设计、村庄设计，优化城乡空间形态，彰显富有地域特色的城乡风貌。</w:t>
      </w: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4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五、构建现代化基础设施体系。完善城乡各类基础设施建设，提升基础设施保障能力和服务水平。强化与区域重要城市的交通联系，构建各种交通方式相协调的综合交通体系。健全公共安全和综合防灾体系，保障城市生命线稳定运行，提高城市安全韧性。</w:t>
      </w: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4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六、维护规划严肃性权威性。坚决贯彻党中央、国务院关于“多规合一”改革的决策部署，不在国土空间规划体系之外另设其他空间规划。严格执行</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，任何部门和个人不得随意修改、违规变更。坚持一张蓝图干到底，切实提高规划、建设、治理水平。在符合“三区三线”管控要求的前提下，严格管理</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重点项目。科学编制详细规划、相关专项规划，强化对专项规划的指导约束。建立健全国土空间规划动态监测评估预警和实施监管机制。做好</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印发和公开，强化社会监督。</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规划</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实施中的重大事项要及时请示报告。</w:t>
      </w: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40"/>
        <w:jc w:val="both"/>
        <w:textAlignment w:val="auto"/>
        <w:rPr>
          <w:rFonts w:hint="eastAsia" w:ascii="仿宋" w:hAnsi="仿宋" w:eastAsia="仿宋" w:cs="仿宋"/>
          <w:color w:val="000000"/>
          <w:sz w:val="32"/>
          <w:szCs w:val="32"/>
          <w:shd w:val="clear" w:color="auto" w:fill="FFFFFF"/>
          <w:lang w:eastAsia="zh-CN"/>
        </w:rPr>
      </w:pP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40"/>
        <w:jc w:val="both"/>
        <w:textAlignment w:val="auto"/>
        <w:rPr>
          <w:rFonts w:hint="eastAsia" w:ascii="仿宋" w:hAnsi="仿宋" w:eastAsia="仿宋" w:cs="仿宋"/>
          <w:color w:val="000000"/>
          <w:sz w:val="32"/>
          <w:szCs w:val="32"/>
          <w:shd w:val="clear" w:color="auto" w:fill="FFFFFF"/>
        </w:rPr>
      </w:pPr>
    </w:p>
    <w:p>
      <w:pPr>
        <w:pStyle w:val="6"/>
        <w:keepNext w:val="0"/>
        <w:keepLines w:val="0"/>
        <w:pageBreakBefore w:val="0"/>
        <w:widowControl w:val="0"/>
        <w:shd w:val="clear" w:color="auto" w:fill="FFFFFF"/>
        <w:tabs>
          <w:tab w:val="left" w:pos="7560"/>
        </w:tabs>
        <w:kinsoku/>
        <w:wordWrap/>
        <w:overflowPunct/>
        <w:topLinePunct/>
        <w:autoSpaceDE/>
        <w:autoSpaceDN/>
        <w:bidi w:val="0"/>
        <w:spacing w:before="0" w:beforeAutospacing="0" w:after="0" w:afterAutospacing="0" w:line="580" w:lineRule="exact"/>
        <w:ind w:left="0" w:leftChars="0" w:right="0" w:rightChars="0" w:firstLine="5120" w:firstLineChars="16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2024年</w:t>
      </w: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18</w:t>
      </w:r>
      <w:r>
        <w:rPr>
          <w:rFonts w:hint="eastAsia" w:ascii="仿宋" w:hAnsi="仿宋" w:eastAsia="仿宋" w:cs="仿宋"/>
          <w:color w:val="000000"/>
          <w:sz w:val="32"/>
          <w:szCs w:val="32"/>
          <w:shd w:val="clear" w:color="auto" w:fill="FFFFFF"/>
        </w:rPr>
        <w:t>日</w:t>
      </w: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（此件公开发布）</w:t>
      </w:r>
    </w:p>
    <w:p>
      <w:pPr>
        <w:pStyle w:val="6"/>
        <w:keepNext w:val="0"/>
        <w:keepLines w:val="0"/>
        <w:pageBreakBefore w:val="0"/>
        <w:widowControl w:val="0"/>
        <w:shd w:val="clear" w:color="auto" w:fill="FFFFFF"/>
        <w:kinsoku/>
        <w:wordWrap/>
        <w:overflowPunct/>
        <w:topLinePunct/>
        <w:autoSpaceDE/>
        <w:autoSpaceDN/>
        <w:bidi w:val="0"/>
        <w:spacing w:before="0" w:beforeAutospacing="0" w:after="0" w:afterAutospacing="0" w:line="580" w:lineRule="exact"/>
        <w:ind w:left="0" w:leftChars="0" w:right="0" w:rightChars="0" w:firstLine="0" w:firstLineChars="0"/>
        <w:jc w:val="both"/>
        <w:textAlignment w:val="auto"/>
        <w:rPr>
          <w:rFonts w:hint="eastAsia" w:ascii="仿宋" w:hAnsi="仿宋" w:eastAsia="仿宋" w:cs="仿宋"/>
          <w:color w:val="000000"/>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1155" w:leftChars="150" w:right="315" w:rightChars="150" w:hanging="840" w:hangingChars="300"/>
        <w:jc w:val="left"/>
        <w:textAlignment w:val="auto"/>
        <w:rPr>
          <w:rFonts w:hint="eastAsia" w:ascii="仿宋" w:hAnsi="仿宋" w:eastAsia="仿宋" w:cs="仿宋"/>
          <w:kern w:val="0"/>
          <w:sz w:val="28"/>
          <w:szCs w:val="28"/>
        </w:rPr>
      </w:pPr>
      <w:r>
        <w:rPr>
          <w:rFonts w:hint="eastAsia" w:ascii="仿宋" w:hAnsi="仿宋" w:eastAsia="仿宋" w:cs="仿宋"/>
          <w:sz w:val="28"/>
          <w:szCs w:val="28"/>
        </w:rPr>
        <w:t>抄送：</w:t>
      </w:r>
      <w:r>
        <w:rPr>
          <w:rFonts w:hint="eastAsia" w:ascii="仿宋" w:hAnsi="仿宋" w:eastAsia="仿宋" w:cs="仿宋"/>
          <w:spacing w:val="-6"/>
          <w:kern w:val="0"/>
          <w:sz w:val="28"/>
          <w:szCs w:val="28"/>
        </w:rPr>
        <w:t>各盟行政公署、市人民政府，自治区各委、办、</w:t>
      </w:r>
      <w:r>
        <w:rPr>
          <w:rFonts w:hint="eastAsia" w:ascii="仿宋" w:hAnsi="仿宋" w:eastAsia="仿宋" w:cs="仿宋"/>
          <w:kern w:val="0"/>
          <w:sz w:val="28"/>
          <w:szCs w:val="28"/>
        </w:rPr>
        <w:t>厅、局，各大企业、事业单位。</w:t>
      </w:r>
    </w:p>
    <w:p>
      <w:pPr>
        <w:keepNext w:val="0"/>
        <w:keepLines w:val="0"/>
        <w:pageBreakBefore w:val="0"/>
        <w:widowControl w:val="0"/>
        <w:kinsoku/>
        <w:wordWrap/>
        <w:overflowPunct/>
        <w:topLinePunct/>
        <w:autoSpaceDE/>
        <w:autoSpaceDN/>
        <w:bidi w:val="0"/>
        <w:adjustRightInd/>
        <w:snapToGrid/>
        <w:spacing w:beforeAutospacing="0" w:afterAutospacing="0" w:line="400" w:lineRule="exact"/>
        <w:ind w:left="315" w:leftChars="150" w:right="315" w:rightChars="150" w:firstLine="840" w:firstLineChars="3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自治区党委各部门，内蒙古军区，武警内蒙古总队。</w:t>
      </w:r>
    </w:p>
    <w:p>
      <w:pPr>
        <w:keepNext w:val="0"/>
        <w:keepLines w:val="0"/>
        <w:pageBreakBefore w:val="0"/>
        <w:widowControl w:val="0"/>
        <w:kinsoku/>
        <w:wordWrap/>
        <w:overflowPunct/>
        <w:autoSpaceDE/>
        <w:autoSpaceDN/>
        <w:bidi w:val="0"/>
        <w:adjustRightInd/>
        <w:snapToGrid/>
        <w:spacing w:line="400" w:lineRule="exact"/>
        <w:ind w:left="1153" w:leftChars="549" w:right="315" w:rightChars="150" w:firstLine="0" w:firstLineChars="0"/>
        <w:textAlignment w:val="auto"/>
        <w:rPr>
          <w:rFonts w:hint="eastAsia" w:ascii="仿宋" w:hAnsi="仿宋" w:eastAsia="仿宋" w:cs="仿宋"/>
          <w:sz w:val="28"/>
          <w:szCs w:val="28"/>
        </w:rPr>
      </w:pPr>
      <w:r>
        <w:rPr>
          <w:rFonts w:hint="eastAsia" w:ascii="仿宋" w:hAnsi="仿宋" w:eastAsia="仿宋" w:cs="仿宋"/>
          <w:color w:val="000000"/>
          <w:sz w:val="32"/>
          <w:szCs w:val="32"/>
          <w:shd w:val="clear" w:color="auto" w:fill="FFFFFF"/>
          <w:lang w:eastAsia="zh-CN"/>
        </w:rPr>
        <w:drawing>
          <wp:anchor distT="0" distB="0" distL="114300" distR="114300" simplePos="0" relativeHeight="251659264" behindDoc="0" locked="0" layoutInCell="1" allowOverlap="1">
            <wp:simplePos x="0" y="0"/>
            <wp:positionH relativeFrom="column">
              <wp:posOffset>3921125</wp:posOffset>
            </wp:positionH>
            <wp:positionV relativeFrom="paragraph">
              <wp:posOffset>654050</wp:posOffset>
            </wp:positionV>
            <wp:extent cx="1536700" cy="457200"/>
            <wp:effectExtent l="0" t="0" r="6350" b="0"/>
            <wp:wrapSquare wrapText="bothSides"/>
            <wp:docPr id="1" name="图片 4" descr="NZZ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79"/>
                    <pic:cNvPicPr>
                      <a:picLocks noChangeAspect="1"/>
                    </pic:cNvPicPr>
                  </pic:nvPicPr>
                  <pic:blipFill>
                    <a:blip r:embed="rId6"/>
                    <a:stretch>
                      <a:fillRect/>
                    </a:stretch>
                  </pic:blipFill>
                  <pic:spPr>
                    <a:xfrm>
                      <a:off x="0" y="0"/>
                      <a:ext cx="1536700" cy="457200"/>
                    </a:xfrm>
                    <a:prstGeom prst="rect">
                      <a:avLst/>
                    </a:prstGeom>
                    <a:noFill/>
                    <a:ln>
                      <a:noFill/>
                    </a:ln>
                  </pic:spPr>
                </pic:pic>
              </a:graphicData>
            </a:graphic>
          </wp:anchor>
        </w:drawing>
      </w:r>
      <w:r>
        <w:rPr>
          <w:rFonts w:hint="eastAsia" w:ascii="仿宋" w:hAnsi="仿宋" w:eastAsia="仿宋" w:cs="仿宋"/>
          <w:spacing w:val="6"/>
          <w:kern w:val="0"/>
          <w:sz w:val="28"/>
          <w:szCs w:val="28"/>
        </w:rPr>
        <w:t>自治区人大常委会办公厅、政协办公厅，自治区监委，</w:t>
      </w:r>
      <w:r>
        <w:rPr>
          <w:rFonts w:hint="eastAsia" w:ascii="仿宋" w:hAnsi="仿宋" w:eastAsia="仿宋" w:cs="仿宋"/>
          <w:kern w:val="0"/>
          <w:sz w:val="28"/>
          <w:szCs w:val="28"/>
        </w:rPr>
        <w:t>自治区高级人民法院，检察院。</w: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73259F4"/>
    <w:rsid w:val="0ABAB8CF"/>
    <w:rsid w:val="126F6268"/>
    <w:rsid w:val="185C49EC"/>
    <w:rsid w:val="1BF4474B"/>
    <w:rsid w:val="1F758A32"/>
    <w:rsid w:val="1FDE0A63"/>
    <w:rsid w:val="1FFF9882"/>
    <w:rsid w:val="217D23BA"/>
    <w:rsid w:val="244D4359"/>
    <w:rsid w:val="27355263"/>
    <w:rsid w:val="27E04077"/>
    <w:rsid w:val="29255FCE"/>
    <w:rsid w:val="36193767"/>
    <w:rsid w:val="3850503A"/>
    <w:rsid w:val="3E8003A9"/>
    <w:rsid w:val="43CE25A7"/>
    <w:rsid w:val="4AF3A291"/>
    <w:rsid w:val="4DF58A68"/>
    <w:rsid w:val="4FD33F1F"/>
    <w:rsid w:val="5CEF9BBD"/>
    <w:rsid w:val="5F7ECE16"/>
    <w:rsid w:val="5FC47C57"/>
    <w:rsid w:val="5FF7114B"/>
    <w:rsid w:val="604307FB"/>
    <w:rsid w:val="612A5090"/>
    <w:rsid w:val="646131FD"/>
    <w:rsid w:val="67C742AE"/>
    <w:rsid w:val="67F1070C"/>
    <w:rsid w:val="68212B42"/>
    <w:rsid w:val="68C13D1E"/>
    <w:rsid w:val="69AA7AA3"/>
    <w:rsid w:val="6ADE316A"/>
    <w:rsid w:val="6AFF2FFE"/>
    <w:rsid w:val="6BF5B199"/>
    <w:rsid w:val="6BFD45ED"/>
    <w:rsid w:val="6D33E832"/>
    <w:rsid w:val="6FBF8CA5"/>
    <w:rsid w:val="6FDB38B1"/>
    <w:rsid w:val="73F7A524"/>
    <w:rsid w:val="75D3AC9F"/>
    <w:rsid w:val="76167F2F"/>
    <w:rsid w:val="76240541"/>
    <w:rsid w:val="777B3C13"/>
    <w:rsid w:val="77F38418"/>
    <w:rsid w:val="7BB79824"/>
    <w:rsid w:val="7C7734A3"/>
    <w:rsid w:val="7CFB2965"/>
    <w:rsid w:val="7D1850A2"/>
    <w:rsid w:val="7D3F5B2B"/>
    <w:rsid w:val="7D7D3875"/>
    <w:rsid w:val="7EF89065"/>
    <w:rsid w:val="B7FF673B"/>
    <w:rsid w:val="BF6726B8"/>
    <w:rsid w:val="BFD30D09"/>
    <w:rsid w:val="BFFFAC4B"/>
    <w:rsid w:val="CD5BB5CB"/>
    <w:rsid w:val="DE53F6FE"/>
    <w:rsid w:val="DFF61D2C"/>
    <w:rsid w:val="E6EB0AA4"/>
    <w:rsid w:val="EE5FFAC9"/>
    <w:rsid w:val="F7E99DD8"/>
    <w:rsid w:val="F7EF5A74"/>
    <w:rsid w:val="F7FE3D57"/>
    <w:rsid w:val="F7FF3086"/>
    <w:rsid w:val="FAFB6802"/>
    <w:rsid w:val="FE3F2283"/>
    <w:rsid w:val="FE890CD9"/>
    <w:rsid w:val="FEEFCC03"/>
    <w:rsid w:val="FF376624"/>
    <w:rsid w:val="FFEE58F0"/>
    <w:rsid w:val="FFFF090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rPr>
      <w:rFonts w:ascii="仿宋_GB2312" w:hAnsi="Times New Roman" w:eastAsia="仿宋_GB2312" w:cs="Times New Roman"/>
      <w:sz w:val="32"/>
      <w:szCs w:val="24"/>
    </w:rPr>
  </w:style>
  <w:style w:type="paragraph" w:styleId="3">
    <w:name w:val="Balloon Text"/>
    <w:basedOn w:val="1"/>
    <w:link w:val="12"/>
    <w:unhideWhenUsed/>
    <w:qFormat/>
    <w:uiPriority w:val="99"/>
    <w:rPr>
      <w:rFonts w:ascii="Times New Roman" w:hAnsi="Times New Roman" w:eastAsia="宋体" w:cs="Times New Roman"/>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line="600" w:lineRule="exact"/>
      <w:ind w:firstLine="200" w:firstLineChars="200"/>
      <w:jc w:val="left"/>
    </w:pPr>
    <w:rPr>
      <w:rFonts w:ascii="Times New Roman" w:hAnsi="Times New Roman" w:eastAsia="宋体" w:cs="Times New Roman"/>
      <w:kern w:val="0"/>
      <w:sz w:val="24"/>
      <w:szCs w:val="24"/>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日期 Char"/>
    <w:basedOn w:val="9"/>
    <w:link w:val="2"/>
    <w:qFormat/>
    <w:uiPriority w:val="0"/>
    <w:rPr>
      <w:rFonts w:ascii="仿宋_GB2312" w:hAnsi="Calibri" w:eastAsia="仿宋_GB2312" w:cs="Times New Roman"/>
      <w:kern w:val="2"/>
      <w:sz w:val="32"/>
      <w:szCs w:val="22"/>
      <w:lang w:val="en-US" w:eastAsia="zh-CN" w:bidi="ar-SA"/>
    </w:rPr>
  </w:style>
  <w:style w:type="character" w:customStyle="1" w:styleId="12">
    <w:name w:val="批注框文本 Char"/>
    <w:basedOn w:val="9"/>
    <w:link w:val="3"/>
    <w:semiHidden/>
    <w:qFormat/>
    <w:uiPriority w:val="99"/>
    <w:rPr>
      <w:rFonts w:ascii="Calibri" w:hAnsi="Calibri" w:eastAsia="宋体" w:cs="Times New Roman"/>
      <w:kern w:val="2"/>
      <w:sz w:val="18"/>
      <w:szCs w:val="18"/>
      <w:lang w:val="en-US" w:eastAsia="zh-CN" w:bidi="ar-SA"/>
    </w:rPr>
  </w:style>
  <w:style w:type="character" w:customStyle="1" w:styleId="13">
    <w:name w:val="页脚 Char"/>
    <w:basedOn w:val="9"/>
    <w:link w:val="4"/>
    <w:uiPriority w:val="99"/>
    <w:rPr>
      <w:rFonts w:ascii="Calibri" w:hAnsi="Calibri" w:eastAsia="宋体" w:cs="Times New Roman"/>
      <w:kern w:val="2"/>
      <w:sz w:val="18"/>
      <w:szCs w:val="18"/>
    </w:rPr>
  </w:style>
  <w:style w:type="character" w:customStyle="1" w:styleId="14">
    <w:name w:val="页眉 Char"/>
    <w:basedOn w:val="9"/>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4</Pages>
  <Words>1907</Words>
  <Characters>2089</Characters>
  <Lines>1</Lines>
  <Paragraphs>1</Paragraphs>
  <TotalTime>12</TotalTime>
  <ScaleCrop>false</ScaleCrop>
  <LinksUpToDate>false</LinksUpToDate>
  <CharactersWithSpaces>2089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cp:lastModifiedBy>
  <cp:lastPrinted>2024-04-22T09:24:55Z</cp:lastPrinted>
  <dcterms:modified xsi:type="dcterms:W3CDTF">2024-04-30T02:20:45Z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