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480" w:lineRule="exact"/>
        <w:ind w:firstLine="160" w:firstLineChars="50"/>
        <w:jc w:val="left"/>
        <w:rPr>
          <w:rFonts w:hint="eastAsia" w:ascii="仿宋_GB2312" w:hAnsi="华文仿宋" w:eastAsia="仿宋_GB2312"/>
          <w:sz w:val="32"/>
        </w:rPr>
      </w:pPr>
      <w:bookmarkStart w:id="0" w:name="文号"/>
      <w:bookmarkEnd w:id="0"/>
    </w:p>
    <w:p>
      <w:pPr>
        <w:keepNext w:val="0"/>
        <w:keepLines w:val="0"/>
        <w:pageBreakBefore w:val="0"/>
        <w:widowControl w:val="0"/>
        <w:kinsoku/>
        <w:wordWrap/>
        <w:overflowPunct/>
        <w:topLinePunct/>
        <w:autoSpaceDE/>
        <w:autoSpaceDN/>
        <w:bidi w:val="0"/>
        <w:adjustRightInd/>
        <w:snapToGrid/>
        <w:spacing w:line="580" w:lineRule="exact"/>
        <w:ind w:right="0" w:rightChars="0"/>
        <w:jc w:val="center"/>
        <w:textAlignment w:val="auto"/>
        <w:outlineLvl w:val="9"/>
        <w:rPr>
          <w:rFonts w:hint="eastAsia" w:ascii="方正小标宋_GBK" w:hAnsi="方正小标宋_GBK" w:eastAsia="方正小标宋_GBK" w:cs="方正小标宋_GBK"/>
          <w:sz w:val="44"/>
          <w:szCs w:val="44"/>
          <w:lang w:eastAsia="zh-CN"/>
        </w:rPr>
      </w:pPr>
      <w:bookmarkStart w:id="1" w:name="标题"/>
      <w:bookmarkEnd w:id="1"/>
      <w:bookmarkStart w:id="2" w:name="_Toc68798253"/>
      <w:bookmarkStart w:id="3" w:name="_Toc75855861"/>
      <w:bookmarkStart w:id="4" w:name="_Toc76650108"/>
      <w:bookmarkStart w:id="5" w:name="_Toc76321608"/>
      <w:bookmarkStart w:id="6" w:name="_Toc59715833"/>
      <w:bookmarkStart w:id="7" w:name="_Toc79152737"/>
      <w:bookmarkStart w:id="8" w:name="_Toc75813287"/>
      <w:bookmarkStart w:id="9" w:name="_Toc79152799"/>
      <w:bookmarkStart w:id="10" w:name="_Toc17390"/>
      <w:bookmarkStart w:id="11" w:name="_Toc78808501"/>
      <w:bookmarkStart w:id="12" w:name="_Toc21717"/>
      <w:bookmarkStart w:id="13" w:name="_Toc68854974"/>
      <w:bookmarkStart w:id="14" w:name="_Toc68093712"/>
      <w:bookmarkStart w:id="15" w:name="_Toc76318173"/>
      <w:r>
        <w:rPr>
          <w:rFonts w:hint="eastAsia" w:ascii="方正小标宋_GBK" w:hAnsi="方正小标宋_GBK" w:eastAsia="方正小标宋_GBK" w:cs="方正小标宋_GBK"/>
          <w:sz w:val="44"/>
          <w:szCs w:val="44"/>
          <w:lang w:eastAsia="zh-CN"/>
        </w:rPr>
        <w:t>内蒙古自治区人民政府办公厅关于</w:t>
      </w:r>
    </w:p>
    <w:p>
      <w:pPr>
        <w:keepNext w:val="0"/>
        <w:keepLines w:val="0"/>
        <w:pageBreakBefore w:val="0"/>
        <w:widowControl w:val="0"/>
        <w:kinsoku/>
        <w:wordWrap/>
        <w:overflowPunct/>
        <w:topLinePunct/>
        <w:autoSpaceDE/>
        <w:autoSpaceDN/>
        <w:bidi w:val="0"/>
        <w:adjustRightInd/>
        <w:snapToGrid/>
        <w:spacing w:line="580" w:lineRule="exact"/>
        <w:ind w:right="0" w:rightChars="0"/>
        <w:jc w:val="center"/>
        <w:textAlignment w:val="auto"/>
        <w:outlineLvl w:val="9"/>
        <w:rPr>
          <w:rFonts w:hint="eastAsia" w:ascii="方正小标宋_GBK" w:hAnsi="方正小标宋_GBK" w:eastAsia="方正小标宋_GBK" w:cs="方正小标宋_GBK"/>
          <w:sz w:val="44"/>
          <w:szCs w:val="44"/>
          <w:lang w:eastAsia="zh-CN"/>
        </w:rPr>
      </w:pPr>
      <w:r>
        <w:rPr>
          <w:rFonts w:hint="eastAsia" w:ascii="方正小标宋_GBK" w:hAnsi="方正小标宋_GBK" w:eastAsia="方正小标宋_GBK" w:cs="方正小标宋_GBK"/>
          <w:sz w:val="44"/>
          <w:szCs w:val="44"/>
          <w:lang w:eastAsia="zh-CN"/>
        </w:rPr>
        <w:t>印发自治区“十四五”口岸发展规划的通知</w:t>
      </w: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val="0"/>
        <w:snapToGrid w:val="0"/>
        <w:spacing w:line="580" w:lineRule="exact"/>
        <w:ind w:left="0" w:leftChars="0" w:right="0" w:rightChars="0" w:firstLine="160" w:firstLineChars="50"/>
        <w:jc w:val="center"/>
        <w:textAlignment w:val="auto"/>
        <w:outlineLvl w:val="9"/>
        <w:rPr>
          <w:rFonts w:hint="eastAsia" w:ascii="仿宋_GB2312" w:hAnsi="华文仿宋" w:eastAsia="仿宋_GB2312"/>
          <w:sz w:val="32"/>
        </w:rPr>
      </w:pPr>
      <w:r>
        <w:rPr>
          <w:rFonts w:hint="eastAsia" w:ascii="仿宋_GB2312" w:hAnsi="华文仿宋" w:eastAsia="仿宋_GB2312"/>
          <w:sz w:val="32"/>
          <w:lang w:eastAsia="zh-CN"/>
        </w:rPr>
        <w:t>内政办发〔2021〕84号</w:t>
      </w:r>
    </w:p>
    <w:p>
      <w:pPr>
        <w:keepNext w:val="0"/>
        <w:keepLines w:val="0"/>
        <w:pageBreakBefore w:val="0"/>
        <w:widowControl w:val="0"/>
        <w:kinsoku/>
        <w:wordWrap/>
        <w:overflowPunct/>
        <w:topLinePunct/>
        <w:autoSpaceDE/>
        <w:autoSpaceDN/>
        <w:bidi w:val="0"/>
        <w:adjustRightInd/>
        <w:snapToGrid/>
        <w:spacing w:line="360" w:lineRule="exact"/>
        <w:ind w:left="0" w:leftChars="0" w:right="0" w:rightChars="0" w:firstLine="640" w:firstLineChars="200"/>
        <w:jc w:val="both"/>
        <w:textAlignment w:val="auto"/>
        <w:outlineLvl w:val="9"/>
        <w:rPr>
          <w:rFonts w:hint="eastAsia" w:ascii="仿宋" w:hAnsi="仿宋" w:eastAsia="仿宋" w:cs="仿宋"/>
          <w:sz w:val="32"/>
          <w:szCs w:val="32"/>
          <w:lang w:val="en-US" w:eastAsia="zh-CN"/>
        </w:rPr>
      </w:pPr>
    </w:p>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both"/>
        <w:textAlignment w:val="auto"/>
        <w:outlineLvl w:val="9"/>
        <w:rPr>
          <w:rFonts w:hint="eastAsia" w:ascii="楷体" w:hAnsi="楷体" w:eastAsia="楷体" w:cs="楷体"/>
          <w:sz w:val="32"/>
          <w:szCs w:val="32"/>
        </w:rPr>
      </w:pPr>
      <w:r>
        <w:rPr>
          <w:rFonts w:hint="eastAsia" w:ascii="楷体" w:hAnsi="楷体" w:eastAsia="楷体" w:cs="楷体"/>
          <w:sz w:val="32"/>
          <w:szCs w:val="32"/>
        </w:rPr>
        <w:t>各盟行政公署、市人民政府，自治区各委、办、厅、局，各大企业、事业单位：</w:t>
      </w:r>
    </w:p>
    <w:p>
      <w:pPr>
        <w:keepNext w:val="0"/>
        <w:keepLines w:val="0"/>
        <w:pageBreakBefore w:val="0"/>
        <w:widowControl w:val="0"/>
        <w:kinsoku/>
        <w:wordWrap/>
        <w:overflowPunct/>
        <w:topLinePunct/>
        <w:autoSpaceDE/>
        <w:autoSpaceDN/>
        <w:bidi w:val="0"/>
        <w:adjustRightInd/>
        <w:snapToGrid/>
        <w:spacing w:line="360" w:lineRule="exact"/>
        <w:ind w:left="0" w:leftChars="0" w:right="0" w:rightChars="0" w:firstLine="640" w:firstLineChars="200"/>
        <w:jc w:val="both"/>
        <w:textAlignment w:val="auto"/>
        <w:outlineLvl w:val="9"/>
        <w:rPr>
          <w:rFonts w:hint="eastAsia" w:ascii="楷体" w:hAnsi="楷体" w:eastAsia="楷体" w:cs="楷体"/>
          <w:sz w:val="32"/>
          <w:szCs w:val="32"/>
          <w:lang w:val="en-US" w:eastAsia="zh-CN"/>
        </w:rPr>
      </w:pPr>
      <w:r>
        <w:rPr>
          <w:rFonts w:hint="eastAsia" w:ascii="楷体" w:hAnsi="楷体" w:eastAsia="楷体" w:cs="楷体"/>
          <w:sz w:val="32"/>
          <w:szCs w:val="32"/>
          <w:lang w:eastAsia="zh-CN"/>
        </w:rPr>
        <w:t>经自治区人民政府同意，</w:t>
      </w:r>
      <w:r>
        <w:rPr>
          <w:rFonts w:hint="eastAsia" w:ascii="楷体" w:hAnsi="楷体" w:eastAsia="楷体" w:cs="楷体"/>
          <w:sz w:val="32"/>
          <w:szCs w:val="32"/>
        </w:rPr>
        <w:t>现将《内蒙古自治区</w:t>
      </w:r>
      <w:r>
        <w:rPr>
          <w:rFonts w:hint="eastAsia" w:ascii="楷体" w:hAnsi="楷体" w:eastAsia="楷体" w:cs="楷体"/>
          <w:sz w:val="32"/>
          <w:szCs w:val="32"/>
          <w:lang w:val="zh-CN" w:eastAsia="zh-CN"/>
        </w:rPr>
        <w:t>“十四五”口岸发展规划</w:t>
      </w:r>
      <w:r>
        <w:rPr>
          <w:rFonts w:hint="eastAsia" w:ascii="楷体" w:hAnsi="楷体" w:eastAsia="楷体" w:cs="楷体"/>
          <w:sz w:val="32"/>
          <w:szCs w:val="32"/>
        </w:rPr>
        <w:t>》印发给你们，请结合实际，认真贯彻落实。</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楷体" w:hAnsi="楷体" w:eastAsia="楷体" w:cs="楷体"/>
          <w:sz w:val="32"/>
          <w:szCs w:val="32"/>
          <w:lang w:val="en-US" w:eastAsia="zh-CN"/>
        </w:rPr>
      </w:pP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楷体" w:hAnsi="楷体" w:eastAsia="楷体" w:cs="楷体"/>
          <w:sz w:val="32"/>
          <w:szCs w:val="32"/>
          <w:lang w:val="en-US" w:eastAsia="zh-CN"/>
        </w:rPr>
      </w:pP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楷体" w:hAnsi="楷体" w:eastAsia="楷体" w:cs="楷体"/>
          <w:sz w:val="32"/>
          <w:szCs w:val="32"/>
          <w:lang w:val="en-US" w:eastAsia="zh-CN"/>
        </w:rPr>
      </w:pP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楷体" w:hAnsi="楷体" w:eastAsia="楷体" w:cs="楷体"/>
          <w:sz w:val="32"/>
          <w:szCs w:val="32"/>
          <w:lang w:val="en-US" w:eastAsia="zh-CN"/>
        </w:rPr>
      </w:pPr>
    </w:p>
    <w:p>
      <w:pPr>
        <w:keepNext w:val="0"/>
        <w:keepLines w:val="0"/>
        <w:pageBreakBefore w:val="0"/>
        <w:widowControl w:val="0"/>
        <w:tabs>
          <w:tab w:val="left" w:pos="7560"/>
        </w:tabs>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 xml:space="preserve">                           2021年12月24日</w:t>
      </w:r>
    </w:p>
    <w:p>
      <w:pPr>
        <w:keepNext w:val="0"/>
        <w:keepLines w:val="0"/>
        <w:pageBreakBefore w:val="0"/>
        <w:widowControl w:val="0"/>
        <w:kinsoku/>
        <w:wordWrap/>
        <w:overflowPunct/>
        <w:topLinePunct/>
        <w:autoSpaceDE/>
        <w:autoSpaceDN/>
        <w:bidi w:val="0"/>
        <w:adjustRightInd/>
        <w:snapToGrid/>
        <w:spacing w:line="580" w:lineRule="exact"/>
        <w:ind w:right="0" w:rightChars="0" w:firstLine="640" w:firstLineChars="200"/>
        <w:jc w:val="both"/>
        <w:textAlignment w:val="auto"/>
        <w:outlineLvl w:val="9"/>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（此件公开发布）</w:t>
      </w:r>
    </w:p>
    <w:p>
      <w:pPr>
        <w:pStyle w:val="2"/>
        <w:rPr>
          <w:rFonts w:hint="eastAsia" w:ascii="楷体" w:hAnsi="楷体" w:eastAsia="楷体" w:cs="楷体"/>
          <w:sz w:val="32"/>
          <w:szCs w:val="32"/>
          <w:lang w:val="en-US" w:eastAsia="zh-CN"/>
        </w:rPr>
      </w:pPr>
    </w:p>
    <w:p>
      <w:pPr>
        <w:pStyle w:val="2"/>
        <w:rPr>
          <w:rFonts w:hint="eastAsia" w:ascii="楷体" w:hAnsi="楷体" w:eastAsia="楷体" w:cs="楷体"/>
          <w:sz w:val="32"/>
          <w:szCs w:val="32"/>
          <w:lang w:val="en-US" w:eastAsia="zh-CN"/>
        </w:rPr>
      </w:pPr>
    </w:p>
    <w:p>
      <w:pPr>
        <w:pStyle w:val="2"/>
        <w:rPr>
          <w:rFonts w:hint="eastAsia" w:ascii="楷体" w:hAnsi="楷体" w:eastAsia="楷体" w:cs="楷体"/>
          <w:sz w:val="32"/>
          <w:szCs w:val="32"/>
          <w:lang w:val="en-US" w:eastAsia="zh-CN"/>
        </w:rPr>
      </w:pPr>
    </w:p>
    <w:p>
      <w:pPr>
        <w:pStyle w:val="2"/>
        <w:rPr>
          <w:rFonts w:hint="eastAsia" w:ascii="楷体" w:hAnsi="楷体" w:eastAsia="楷体" w:cs="楷体"/>
          <w:sz w:val="32"/>
          <w:szCs w:val="32"/>
          <w:lang w:val="en-US" w:eastAsia="zh-CN"/>
        </w:rPr>
      </w:pPr>
    </w:p>
    <w:p>
      <w:pPr>
        <w:pStyle w:val="2"/>
        <w:rPr>
          <w:rFonts w:hint="eastAsia" w:ascii="楷体" w:hAnsi="楷体" w:eastAsia="楷体" w:cs="楷体"/>
          <w:sz w:val="32"/>
          <w:szCs w:val="32"/>
          <w:lang w:val="en-US" w:eastAsia="zh-CN"/>
        </w:rPr>
      </w:pP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lang w:val="en-US" w:eastAsia="zh-CN"/>
        </w:rPr>
      </w:pPr>
    </w:p>
    <w:p>
      <w:pPr>
        <w:keepNext w:val="0"/>
        <w:keepLines w:val="0"/>
        <w:pageBreakBefore w:val="0"/>
        <w:widowControl w:val="0"/>
        <w:kinsoku/>
        <w:wordWrap/>
        <w:overflowPunct/>
        <w:topLinePunct/>
        <w:autoSpaceDE/>
        <w:autoSpaceDN/>
        <w:bidi w:val="0"/>
        <w:adjustRightInd/>
        <w:snapToGrid/>
        <w:spacing w:line="580" w:lineRule="exact"/>
        <w:ind w:right="0" w:rightChars="0"/>
        <w:jc w:val="center"/>
        <w:textAlignment w:val="auto"/>
        <w:outlineLvl w:val="9"/>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内蒙古自治区“十四五”口岸发展规划</w:t>
      </w: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lang w:eastAsia="zh-CN"/>
        </w:rPr>
      </w:pPr>
    </w:p>
    <w:p>
      <w:pPr>
        <w:keepNext w:val="0"/>
        <w:keepLines w:val="0"/>
        <w:pageBreakBefore w:val="0"/>
        <w:widowControl w:val="0"/>
        <w:kinsoku/>
        <w:wordWrap/>
        <w:overflowPunct/>
        <w:topLinePunct/>
        <w:autoSpaceDE/>
        <w:autoSpaceDN/>
        <w:bidi w:val="0"/>
        <w:adjustRightInd/>
        <w:snapToGrid/>
        <w:spacing w:line="580" w:lineRule="exact"/>
        <w:ind w:right="0" w:rightChars="0"/>
        <w:jc w:val="center"/>
        <w:textAlignment w:val="auto"/>
        <w:outlineLvl w:val="9"/>
        <w:rPr>
          <w:rFonts w:hint="eastAsia" w:ascii="黑体" w:hAnsi="黑体" w:eastAsia="黑体" w:cs="黑体"/>
          <w:sz w:val="32"/>
          <w:szCs w:val="32"/>
          <w:lang w:eastAsia="zh-CN"/>
        </w:rPr>
      </w:pPr>
      <w:r>
        <w:rPr>
          <w:rFonts w:hint="eastAsia" w:ascii="黑体" w:hAnsi="黑体" w:eastAsia="黑体" w:cs="黑体"/>
          <w:sz w:val="32"/>
          <w:szCs w:val="32"/>
          <w:lang w:eastAsia="zh-CN"/>
        </w:rPr>
        <w:t>目</w:t>
      </w:r>
      <w:r>
        <w:rPr>
          <w:rFonts w:hint="eastAsia" w:ascii="黑体" w:hAnsi="黑体" w:eastAsia="黑体" w:cs="黑体"/>
          <w:sz w:val="32"/>
          <w:szCs w:val="32"/>
          <w:lang w:val="en-US" w:eastAsia="zh-CN"/>
        </w:rPr>
        <w:t xml:space="preserve">    </w:t>
      </w:r>
      <w:r>
        <w:rPr>
          <w:rFonts w:hint="eastAsia" w:ascii="黑体" w:hAnsi="黑体" w:eastAsia="黑体" w:cs="黑体"/>
          <w:sz w:val="32"/>
          <w:szCs w:val="32"/>
          <w:lang w:eastAsia="zh-CN"/>
        </w:rPr>
        <w:t>录</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序言</w:t>
      </w: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第一章</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发展基础</w:t>
      </w: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第二章</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“十四五”时期口岸发展环境</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第一节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面临机遇</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第二节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面临挑战</w:t>
      </w: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第三章</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“十四五”时期口岸发展总体要求</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第一节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指导思想</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第二节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基本原则</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第三节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发展目标</w:t>
      </w: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第四章</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“十四五”时期口岸发展主要任务</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第一节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优化口岸功能布局</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第二节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完善口岸基础设施建设</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第三节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加强区内外口岸地区协同发展</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第四节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提升口岸经济发展质量</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第五节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扩展对外开放平台功能</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第六节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持续优化口岸营商环境</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第七节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健全口岸安全防控体系</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第八节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完善口岸疫情防控设施和制度建设</w:t>
      </w: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第五章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保障机制</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第一节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强化工作推进机制</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第二节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实施分类指导管理</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第三节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加强内外协调机制</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第四节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建立绩效管理机制</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第五节</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 加大资金扶持力度</w:t>
      </w:r>
    </w:p>
    <w:p>
      <w:pPr>
        <w:keepNext w:val="0"/>
        <w:keepLines w:val="0"/>
        <w:pageBreakBefore w:val="0"/>
        <w:widowControl w:val="0"/>
        <w:kinsoku/>
        <w:wordWrap/>
        <w:overflowPunct/>
        <w:topLinePunct/>
        <w:autoSpaceDE/>
        <w:autoSpaceDN/>
        <w:bidi w:val="0"/>
        <w:adjustRightInd/>
        <w:snapToGrid/>
        <w:spacing w:line="580" w:lineRule="exact"/>
        <w:ind w:right="0" w:rightChars="0" w:firstLine="320" w:firstLineChars="1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 xml:space="preserve">第六节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强化政策支持力度</w:t>
      </w: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right="0" w:rightChars="0"/>
        <w:jc w:val="both"/>
        <w:textAlignment w:val="auto"/>
        <w:outlineLvl w:val="9"/>
        <w:rPr>
          <w:rFonts w:hint="eastAsia" w:ascii="仿宋" w:hAnsi="仿宋" w:eastAsia="仿宋" w:cs="仿宋"/>
          <w:sz w:val="32"/>
          <w:szCs w:val="32"/>
        </w:rPr>
      </w:pPr>
    </w:p>
    <w:p>
      <w:pPr>
        <w:pStyle w:val="2"/>
        <w:rPr>
          <w:rFonts w:hint="eastAsia" w:ascii="仿宋" w:hAnsi="仿宋" w:eastAsia="仿宋" w:cs="仿宋"/>
          <w:sz w:val="32"/>
          <w:szCs w:val="32"/>
        </w:rPr>
      </w:pPr>
    </w:p>
    <w:p>
      <w:pPr>
        <w:pStyle w:val="2"/>
        <w:rPr>
          <w:rFonts w:hint="eastAsia" w:ascii="仿宋" w:hAnsi="仿宋" w:eastAsia="仿宋" w:cs="仿宋"/>
          <w:sz w:val="32"/>
          <w:szCs w:val="32"/>
        </w:rPr>
      </w:pPr>
    </w:p>
    <w:p>
      <w:pPr>
        <w:pStyle w:val="2"/>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jc w:val="both"/>
        <w:textAlignment w:val="auto"/>
        <w:outlineLvl w:val="9"/>
        <w:rPr>
          <w:rFonts w:hint="eastAsia" w:ascii="仿宋" w:hAnsi="仿宋" w:eastAsia="仿宋" w:cs="仿宋"/>
          <w:sz w:val="32"/>
          <w:szCs w:val="32"/>
        </w:rPr>
      </w:pP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jc w:val="center"/>
        <w:textAlignment w:val="auto"/>
        <w:outlineLvl w:val="9"/>
        <w:rPr>
          <w:rFonts w:hint="eastAsia" w:ascii="黑体" w:hAnsi="黑体" w:eastAsia="黑体" w:cs="黑体"/>
          <w:sz w:val="32"/>
          <w:szCs w:val="32"/>
        </w:rPr>
      </w:pPr>
      <w:r>
        <w:rPr>
          <w:rFonts w:hint="eastAsia" w:ascii="黑体" w:hAnsi="黑体" w:eastAsia="黑体" w:cs="黑体"/>
          <w:sz w:val="32"/>
          <w:szCs w:val="32"/>
        </w:rPr>
        <w:t>序</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言</w:t>
      </w:r>
    </w:p>
    <w:p>
      <w:pPr>
        <w:pStyle w:val="2"/>
        <w:keepNext w:val="0"/>
        <w:keepLines w:val="0"/>
        <w:pageBreakBefore w:val="0"/>
        <w:widowControl w:val="0"/>
        <w:kinsoku/>
        <w:wordWrap/>
        <w:overflowPunct/>
        <w:autoSpaceDE/>
        <w:autoSpaceDN/>
        <w:bidi w:val="0"/>
        <w:adjustRightInd/>
        <w:snapToGrid/>
        <w:spacing w:after="0" w:line="580" w:lineRule="exact"/>
        <w:ind w:left="0" w:leftChars="0" w:right="0" w:rightChars="0"/>
        <w:textAlignment w:val="auto"/>
        <w:outlineLvl w:val="9"/>
        <w:rPr>
          <w:rFonts w:hint="eastAsia"/>
        </w:rPr>
      </w:pPr>
    </w:p>
    <w:p>
      <w:pPr>
        <w:topLinePunct/>
        <w:spacing w:line="580" w:lineRule="exact"/>
        <w:ind w:firstLine="640" w:firstLineChars="200"/>
        <w:jc w:val="both"/>
        <w:rPr>
          <w:rFonts w:hint="eastAsia" w:ascii="仿宋" w:hAnsi="仿宋" w:eastAsia="仿宋" w:cs="仿宋"/>
          <w:sz w:val="32"/>
          <w:szCs w:val="32"/>
          <w:lang w:eastAsia="zh-CN"/>
        </w:rPr>
      </w:pPr>
      <w:r>
        <w:rPr>
          <w:rFonts w:hint="eastAsia" w:ascii="仿宋" w:hAnsi="仿宋" w:eastAsia="仿宋" w:cs="仿宋"/>
          <w:sz w:val="32"/>
          <w:szCs w:val="32"/>
        </w:rPr>
        <w:t>“十四五”时期是我国全面建成小康社会、实现第一个百年奋斗目标之后，乘势而上开启全面建设社会主义现代化国家新征程、向第二个百年奋斗目标进军的第一个五年，也是内蒙古走好以生态优先、绿色发展为导向的高质量发展新路子，实现新的更大发展的关键时期。口岸作为国家对外开放的门户与重要支撑，既是对外交往和经贸合作的桥梁，又是国家安全的重要屏障，承载着新时期内蒙古构建全面对外开放新格局的重要使命，是自治区外向型经济发展的平台。建设安全、高效、绿色、智能型的现代化口岸，是维护祖国北疆安全稳定屏障的重要基础。本规划依据《国家“十四五”口岸发展规划》《内蒙古自治区国民经济和社会发展第十四个五年规划和二〇三五年远景目标纲要》编制，主要明确全区口岸发展思路、发展目标、发展主要任务和相关举措，是指导未来五年自治区口岸发展工作的行动指南</w:t>
      </w:r>
      <w:r>
        <w:rPr>
          <w:rFonts w:hint="eastAsia" w:ascii="仿宋" w:hAnsi="仿宋" w:eastAsia="仿宋" w:cs="仿宋"/>
          <w:sz w:val="32"/>
          <w:szCs w:val="32"/>
          <w:lang w:eastAsia="zh-CN"/>
        </w:rPr>
        <w:t>。</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黑体" w:hAnsi="黑体" w:eastAsia="黑体" w:cs="黑体"/>
          <w:b w:val="0"/>
          <w:bCs w:val="0"/>
          <w:sz w:val="32"/>
          <w:szCs w:val="32"/>
        </w:rPr>
      </w:pPr>
      <w:r>
        <w:rPr>
          <w:rFonts w:hint="eastAsia" w:ascii="黑体" w:hAnsi="黑体" w:eastAsia="黑体" w:cs="黑体"/>
          <w:b w:val="0"/>
          <w:bCs w:val="0"/>
          <w:sz w:val="32"/>
          <w:szCs w:val="32"/>
          <w:lang w:eastAsia="zh-CN"/>
        </w:rPr>
        <w:t>第一章</w:t>
      </w:r>
      <w:r>
        <w:rPr>
          <w:rFonts w:hint="eastAsia" w:ascii="黑体" w:hAnsi="黑体" w:eastAsia="黑体" w:cs="黑体"/>
          <w:b w:val="0"/>
          <w:bCs w:val="0"/>
          <w:sz w:val="32"/>
          <w:szCs w:val="32"/>
          <w:lang w:val="en-US" w:eastAsia="zh-CN"/>
        </w:rPr>
        <w:t xml:space="preserve">  </w:t>
      </w:r>
      <w:r>
        <w:rPr>
          <w:rFonts w:hint="eastAsia" w:ascii="黑体" w:hAnsi="黑体" w:eastAsia="黑体" w:cs="黑体"/>
          <w:b w:val="0"/>
          <w:bCs w:val="0"/>
          <w:sz w:val="32"/>
          <w:szCs w:val="32"/>
        </w:rPr>
        <w:t>发展基础</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十三五”时期，全区口岸总体运行良好，口岸大通关建设成效明显，通关效率显著提升，口岸管理服务水平不断提高，口岸进出境货物累计达到4.15亿吨，人员2343万人次，交通工具784万列（辆、架次）。前四年，上述三项指标年均增速分别为8.4%、8.8%、7.3%；2020年，受新冠肺炎疫情影响，全区口岸各项指标有不同程度下降。“十三五”规划目标基本实现，为建设我国向北开放重要桥头堡作出了应有的贡献。</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口岸布局不断优化。“十三五”时期，自治区新开鄂尔多斯、包头航空口岸和乌力吉公路口岸，全区现有经国务院批准的对外开放口岸20个，其中，铁路口岸2个、公路口岸12个、航空口岸6个，形成多方位、立体化的口岸开放格局。</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口岸功能不断丰富。满洲里、鄂尔多斯、呼和浩特3个综合保税区先后封关运营，赤峰启动申建综合保税区。包头、赤峰、乌兰察布、巴彦淖尔保税物流中心（B型）封关运营，通辽保税物流中心（B型）设立评估工作已经启动。鄂尔多斯机场在全区率先获批进境水果、食用水生动物和冰鲜水产品指定监管场地，满都拉口岸、策克口岸进口肉类指定监管场地顺利通过验收。</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口岸基础设施建设得到加强。“十三五”时期，全区口岸累计投入口岸基础设施建设资金约74亿元，不断加大对原有口岸基础设施和配套设施改造升级力度，重点加强口岸一体化通关建设、口岸智能管控系统建设、联检部门智能化管理系统建设，完成呼和浩特海关和满洲里海关关区11个公路口岸货运通道智能卡口建设。自治区本级投入约8200万元，先后建成内蒙古电子口岸平台、内蒙古口岸视频监控指挥中心和内蒙古国际贸易“单一窗口”，实现国家标准版与内蒙古电子口岸平台的对接，国际贸易“单一窗口”标准版主要功能的推广应用率达到100%。</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口岸营商环境显著改善。“十三五”时期，出台了《内蒙古自治区人民政府关于优化口岸营商环境促进跨境贸易便利化的实施意见》，进一步清理规范口岸经营服务性收费，重新核定口岸收费项目52项，建立收费公示动态管理制度，全面实施口岸阳光收费，每年可为企业减负约4.19亿元。“三互”大通关建设成效明显，口岸跨部门共建、共管、共享机制进一步加强。提前完成压缩整体通关时间1/2的任务，2020年12月，全区口岸进口整体通关时间为31.21小时</w:t>
      </w:r>
      <w:r>
        <w:rPr>
          <w:rFonts w:hint="eastAsia" w:ascii="仿宋" w:hAnsi="仿宋" w:eastAsia="仿宋" w:cs="仿宋"/>
          <w:sz w:val="32"/>
          <w:szCs w:val="32"/>
          <w:lang w:val="en-US" w:eastAsia="zh-CN"/>
        </w:rPr>
        <w:t>（</w:t>
      </w:r>
      <w:r>
        <w:rPr>
          <w:rFonts w:hint="eastAsia" w:ascii="仿宋" w:hAnsi="仿宋" w:eastAsia="仿宋" w:cs="仿宋"/>
          <w:sz w:val="32"/>
          <w:szCs w:val="32"/>
        </w:rPr>
        <w:t>压缩69.22%</w:t>
      </w:r>
      <w:r>
        <w:rPr>
          <w:rFonts w:hint="eastAsia" w:ascii="仿宋" w:hAnsi="仿宋" w:eastAsia="仿宋" w:cs="仿宋"/>
          <w:sz w:val="32"/>
          <w:szCs w:val="32"/>
          <w:lang w:val="en-US" w:eastAsia="zh-CN"/>
        </w:rPr>
        <w:t>）</w:t>
      </w:r>
      <w:r>
        <w:rPr>
          <w:rFonts w:hint="eastAsia" w:ascii="仿宋" w:hAnsi="仿宋" w:eastAsia="仿宋" w:cs="仿宋"/>
          <w:sz w:val="32"/>
          <w:szCs w:val="32"/>
        </w:rPr>
        <w:t>，出口整体通关时间为0.32小时</w:t>
      </w:r>
      <w:r>
        <w:rPr>
          <w:rFonts w:hint="eastAsia" w:ascii="仿宋" w:hAnsi="仿宋" w:eastAsia="仿宋" w:cs="仿宋"/>
          <w:sz w:val="32"/>
          <w:szCs w:val="32"/>
          <w:lang w:eastAsia="zh-CN"/>
        </w:rPr>
        <w:t>（</w:t>
      </w:r>
      <w:r>
        <w:rPr>
          <w:rFonts w:hint="eastAsia" w:ascii="仿宋" w:hAnsi="仿宋" w:eastAsia="仿宋" w:cs="仿宋"/>
          <w:sz w:val="32"/>
          <w:szCs w:val="32"/>
        </w:rPr>
        <w:t>压缩85.72%</w:t>
      </w:r>
      <w:r>
        <w:rPr>
          <w:rFonts w:hint="eastAsia" w:ascii="仿宋" w:hAnsi="仿宋" w:eastAsia="仿宋" w:cs="仿宋"/>
          <w:sz w:val="32"/>
          <w:szCs w:val="32"/>
          <w:lang w:eastAsia="zh-CN"/>
        </w:rPr>
        <w:t>）</w:t>
      </w:r>
      <w:r>
        <w:rPr>
          <w:rFonts w:hint="eastAsia" w:ascii="仿宋" w:hAnsi="仿宋" w:eastAsia="仿宋" w:cs="仿宋"/>
          <w:sz w:val="32"/>
          <w:szCs w:val="32"/>
        </w:rPr>
        <w:t>，通关便利化水平不断提高。</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口岸对外对内协调合作机制更加完善。积极参加中俄总理定期会晤运输分委会口岸工作组会议，进一步巩固中俄口岸合作领域的成果。认真履行中蒙常设协商工作组办公室职责，利用《中蒙边境口岸及其管理制度协定》执行情况司局级会晤，与蒙方磋商口岸开放、运行和管理中的有关问题。在国家会晤机制框架下，分别与俄联邦边界建设署西伯利亚局、蒙古国海关总局签署合作协议，建立了定期会晤机制。积极构建与沿边省</w:t>
      </w:r>
      <w:r>
        <w:rPr>
          <w:rFonts w:hint="eastAsia" w:ascii="仿宋" w:hAnsi="仿宋" w:eastAsia="仿宋" w:cs="仿宋"/>
          <w:sz w:val="32"/>
          <w:szCs w:val="32"/>
          <w:lang w:eastAsia="zh-CN"/>
        </w:rPr>
        <w:t>（</w:t>
      </w:r>
      <w:r>
        <w:rPr>
          <w:rFonts w:hint="eastAsia" w:ascii="仿宋" w:hAnsi="仿宋" w:eastAsia="仿宋" w:cs="仿宋"/>
          <w:sz w:val="32"/>
          <w:szCs w:val="32"/>
        </w:rPr>
        <w:t>区、市</w:t>
      </w:r>
      <w:r>
        <w:rPr>
          <w:rFonts w:hint="eastAsia" w:ascii="仿宋" w:hAnsi="仿宋" w:eastAsia="仿宋" w:cs="仿宋"/>
          <w:sz w:val="32"/>
          <w:szCs w:val="32"/>
          <w:lang w:eastAsia="zh-CN"/>
        </w:rPr>
        <w:t>）</w:t>
      </w:r>
      <w:r>
        <w:rPr>
          <w:rFonts w:hint="eastAsia" w:ascii="仿宋" w:hAnsi="仿宋" w:eastAsia="仿宋" w:cs="仿宋"/>
          <w:sz w:val="32"/>
          <w:szCs w:val="32"/>
        </w:rPr>
        <w:t>口岸协调机制，与广西、重庆等省</w:t>
      </w:r>
      <w:r>
        <w:rPr>
          <w:rFonts w:hint="eastAsia" w:ascii="仿宋" w:hAnsi="仿宋" w:eastAsia="仿宋" w:cs="仿宋"/>
          <w:sz w:val="32"/>
          <w:szCs w:val="32"/>
          <w:lang w:eastAsia="zh-CN"/>
        </w:rPr>
        <w:t>（</w:t>
      </w:r>
      <w:r>
        <w:rPr>
          <w:rFonts w:hint="eastAsia" w:ascii="仿宋" w:hAnsi="仿宋" w:eastAsia="仿宋" w:cs="仿宋"/>
          <w:sz w:val="32"/>
          <w:szCs w:val="32"/>
        </w:rPr>
        <w:t>区、市</w:t>
      </w:r>
      <w:r>
        <w:rPr>
          <w:rFonts w:hint="eastAsia" w:ascii="仿宋" w:hAnsi="仿宋" w:eastAsia="仿宋" w:cs="仿宋"/>
          <w:sz w:val="32"/>
          <w:szCs w:val="32"/>
          <w:lang w:eastAsia="zh-CN"/>
        </w:rPr>
        <w:t>）</w:t>
      </w:r>
      <w:r>
        <w:rPr>
          <w:rFonts w:hint="eastAsia" w:ascii="仿宋" w:hAnsi="仿宋" w:eastAsia="仿宋" w:cs="仿宋"/>
          <w:sz w:val="32"/>
          <w:szCs w:val="32"/>
        </w:rPr>
        <w:t>对接，参加“西部陆海新通道”合作共建，推动与沿边口岸、沿海港口通关一体化协作。充分发挥中欧班列满洲里东通道、二连浩特中通道的作用，2020年，满洲里口岸进出境中欧班列3054列，同比增长40.9%；二连浩特口岸进出境中欧班列2394列，同比增长60%。</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内蒙古口岸在“十三五”时期虽然取得了长足进步，但与发达地区口岸相比，对标高质量发展新要求，还存在口岸同质化竞争、产业基础薄弱、辐射带动能力不强、投融资机制不健全、管理机制体制不完善等问题。</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黑体" w:hAnsi="黑体" w:eastAsia="黑体" w:cs="黑体"/>
          <w:b w:val="0"/>
          <w:bCs w:val="0"/>
          <w:sz w:val="32"/>
          <w:szCs w:val="32"/>
          <w:lang w:eastAsia="zh-CN"/>
        </w:rPr>
      </w:pPr>
      <w:r>
        <w:rPr>
          <w:rFonts w:hint="eastAsia" w:ascii="黑体" w:hAnsi="黑体" w:eastAsia="黑体" w:cs="黑体"/>
          <w:b w:val="0"/>
          <w:bCs w:val="0"/>
          <w:sz w:val="32"/>
          <w:szCs w:val="32"/>
          <w:lang w:eastAsia="zh-CN"/>
        </w:rPr>
        <w:t>第二章</w:t>
      </w:r>
      <w:r>
        <w:rPr>
          <w:rFonts w:hint="eastAsia" w:ascii="黑体" w:hAnsi="黑体" w:eastAsia="黑体" w:cs="黑体"/>
          <w:b w:val="0"/>
          <w:bCs w:val="0"/>
          <w:sz w:val="32"/>
          <w:szCs w:val="32"/>
          <w:lang w:val="en-US" w:eastAsia="zh-CN"/>
        </w:rPr>
        <w:t xml:space="preserve">  </w:t>
      </w:r>
      <w:r>
        <w:rPr>
          <w:rFonts w:hint="eastAsia" w:ascii="黑体" w:hAnsi="黑体" w:eastAsia="黑体" w:cs="黑体"/>
          <w:b w:val="0"/>
          <w:bCs w:val="0"/>
          <w:sz w:val="32"/>
          <w:szCs w:val="32"/>
          <w:lang w:eastAsia="zh-CN"/>
        </w:rPr>
        <w:t>“十四五”时期口岸发展环境</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十四五”时期，世界处于百年未有之大变局，我国处于全面开启社会主义现代化新征程开局阶段，发展处于重要战略机遇期，内蒙古口岸在建设“两个基地、两个屏障、一个桥头堡”的重大战略定位背景下，既面临重大发展机遇，也面临前所未有的挑战。
</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楷体" w:hAnsi="楷体" w:eastAsia="楷体" w:cs="楷体"/>
          <w:b w:val="0"/>
          <w:bCs w:val="0"/>
          <w:sz w:val="32"/>
          <w:szCs w:val="32"/>
          <w:lang w:eastAsia="zh-CN"/>
        </w:rPr>
      </w:pPr>
      <w:r>
        <w:rPr>
          <w:rFonts w:hint="eastAsia" w:ascii="楷体" w:hAnsi="楷体" w:eastAsia="楷体" w:cs="楷体"/>
          <w:b w:val="0"/>
          <w:bCs w:val="0"/>
          <w:sz w:val="32"/>
          <w:szCs w:val="32"/>
          <w:lang w:eastAsia="zh-CN"/>
        </w:rPr>
        <w:t>第一节</w:t>
      </w:r>
      <w:r>
        <w:rPr>
          <w:rFonts w:hint="eastAsia" w:ascii="楷体" w:hAnsi="楷体" w:eastAsia="楷体" w:cs="楷体"/>
          <w:b w:val="0"/>
          <w:bCs w:val="0"/>
          <w:sz w:val="32"/>
          <w:szCs w:val="32"/>
          <w:lang w:val="en-US" w:eastAsia="zh-CN"/>
        </w:rPr>
        <w:t xml:space="preserve">  </w:t>
      </w:r>
      <w:r>
        <w:rPr>
          <w:rFonts w:hint="eastAsia" w:ascii="楷体" w:hAnsi="楷体" w:eastAsia="楷体" w:cs="楷体"/>
          <w:b w:val="0"/>
          <w:bCs w:val="0"/>
          <w:sz w:val="32"/>
          <w:szCs w:val="32"/>
          <w:lang w:eastAsia="zh-CN"/>
        </w:rPr>
        <w:t>面临机遇</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共建“一带一路”倡议和中蒙俄经济走廊建设走实走深，为加快推进内蒙古开放发展提供重要机遇。“十四五”时期，我国将更加履行“共担时代责任、共促全球发展”的新发展使命，形成“创新、协同、公正、惠普”的增长模式、合作模式、治理模式、发展模式；积极参与RCEP（区域全面经济伙伴关系协定）、CPTPP（全面与进步跨太平洋伙伴关系协定）等通关便利化领域的国际交流合作，共建“一带一路”将进入高质量发展阶段。从开放政策来看，中国将坚持实施更大范围、更宽领域、更深层次对外开放，依托大市场优势，促进国际合作，实现互利共赢。从开放措施来看，中国为世界各国更好共享“中国市场”不断优化环境提供多个平台，持续提高贸易便利化水平，不断下调部分商品进口关税，大幅削减进口环节制度性成本，持续优化营商环境，推进“一带一路”沿线国家基础设施互联互通。中蒙俄经济走廊作为重点建设的六大经济走廊之一，合作基础较好，将形成三国边境—腹地—沿海联系的国际经济走廊发展格局，是加强我国与欧亚经济联系的重要载体，有利于我国形成向北开放的经济发展重要增长极。在此背景下，内蒙古作为向北开放重要桥头堡，立足俄蒙、放眼欧亚的开放发展优势将不断显现，口岸在中蒙俄陆海联运通道中的枢纽作用将逐步增强，与东北亚、中亚和欧洲多层次经贸往来将进一步深化。</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国家加快构建新发展新格局，为内蒙古口岸借力借势发展提供重要机遇。构建以国内大循环为主体，国内国际双循环相互促进的新发展格局，是适应我国经济发展阶段变化的主动选择，是应对错综复杂的国际环境变化的战略举措。有利于内蒙古口岸充分发挥平台作用，积极对接国际国内两个市场，促进口岸对接国际市场商品流通、贸易往来、互利共赢，全面提升开放型经济发展水平；有利于内蒙古口岸产业嵌入国内消费链，带动重大领域投资和新型基础设施建设；有利于边境旅游、进口产品加工等特色优质产品有效需求规模持续扩大；有利于内蒙古口岸精准有效补齐短板，推动供给与需求相互促进、投资与消费良性互动，扩大市场发展新空间。</w:t>
      </w:r>
    </w:p>
    <w:p>
      <w:pPr>
        <w:keepNext w:val="0"/>
        <w:keepLines w:val="0"/>
        <w:pageBreakBefore w:val="0"/>
        <w:widowControl w:val="0"/>
        <w:kinsoku/>
        <w:wordWrap/>
        <w:overflowPunct/>
        <w:topLinePunct/>
        <w:autoSpaceDE/>
        <w:autoSpaceDN/>
        <w:bidi w:val="0"/>
        <w:adjustRightInd/>
        <w:snapToGrid/>
        <w:spacing w:line="580" w:lineRule="exact"/>
        <w:ind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国家加快推进区域发展战略，为内蒙古口岸在区域协同联动发展中提供重要机遇。国家加快推进“一带一路”、中蒙俄经济走廊建设，实施西部大开发、东北等老工业基地振兴、黄河流域生态保护和高质量发展等区域发展战略，推动实施一系列重大战略和重大举措，为内蒙古口岸实现区域联动发展提供了新的重大机遇。国家推动新一轮东北振兴，为内蒙古东部口岸借势东北振兴战略、提升开放合作能力提供新契机。京津冀协同发展与内蒙古中部口岸连接，为自治区加强与京津冀地区创新联动，共享创新资源、创新平台，承接产业转移与更好对接市场创造新条件。呼包鄂银榆经济区，为内蒙古西部口岸深化与周边地区共建能源输送大通道、提升能源产业链跨区域分工协作等创造新基础，</w:t>
      </w:r>
      <w:r>
        <w:rPr>
          <w:rFonts w:hint="eastAsia" w:ascii="仿宋" w:hAnsi="仿宋" w:eastAsia="仿宋" w:cs="仿宋"/>
          <w:sz w:val="32"/>
          <w:szCs w:val="32"/>
          <w:lang w:eastAsia="zh-CN"/>
        </w:rPr>
        <w:t>“</w:t>
      </w:r>
      <w:r>
        <w:rPr>
          <w:rFonts w:hint="eastAsia" w:ascii="仿宋" w:hAnsi="仿宋" w:eastAsia="仿宋" w:cs="仿宋"/>
          <w:sz w:val="32"/>
          <w:szCs w:val="32"/>
        </w:rPr>
        <w:t>五纵三横</w:t>
      </w:r>
      <w:r>
        <w:rPr>
          <w:rFonts w:hint="eastAsia" w:ascii="仿宋" w:hAnsi="仿宋" w:eastAsia="仿宋" w:cs="仿宋"/>
          <w:sz w:val="32"/>
          <w:szCs w:val="32"/>
          <w:lang w:eastAsia="zh-CN"/>
        </w:rPr>
        <w:t>”（</w:t>
      </w:r>
      <w:r>
        <w:rPr>
          <w:rFonts w:hint="eastAsia" w:ascii="仿宋" w:hAnsi="仿宋" w:eastAsia="仿宋" w:cs="仿宋"/>
          <w:sz w:val="32"/>
          <w:szCs w:val="32"/>
        </w:rPr>
        <w:t>“五纵”分别为黑河至港澳、二连浩特至湛江、包头至防城港、临河至磨憨、额济纳至广州</w:t>
      </w:r>
      <w:r>
        <w:rPr>
          <w:rFonts w:hint="eastAsia" w:ascii="仿宋" w:hAnsi="仿宋" w:eastAsia="仿宋" w:cs="仿宋"/>
          <w:sz w:val="32"/>
          <w:szCs w:val="32"/>
          <w:lang w:eastAsia="zh-CN"/>
        </w:rPr>
        <w:t>，</w:t>
      </w:r>
      <w:r>
        <w:rPr>
          <w:rFonts w:hint="eastAsia" w:ascii="仿宋" w:hAnsi="仿宋" w:eastAsia="仿宋" w:cs="仿宋"/>
          <w:sz w:val="32"/>
          <w:szCs w:val="32"/>
        </w:rPr>
        <w:t>“三横”分别为绥芬河至满洲里、珲春至二连浩特、西北北部运输通道</w:t>
      </w:r>
      <w:r>
        <w:rPr>
          <w:rFonts w:hint="eastAsia" w:ascii="仿宋" w:hAnsi="仿宋" w:eastAsia="仿宋" w:cs="仿宋"/>
          <w:sz w:val="32"/>
          <w:szCs w:val="32"/>
          <w:lang w:eastAsia="zh-CN"/>
        </w:rPr>
        <w:t>）</w:t>
      </w:r>
      <w:r>
        <w:rPr>
          <w:rFonts w:hint="eastAsia" w:ascii="仿宋" w:hAnsi="仿宋" w:eastAsia="仿宋" w:cs="仿宋"/>
          <w:sz w:val="32"/>
          <w:szCs w:val="32"/>
        </w:rPr>
        <w:t>国家综合运输大通道建设和对外综合交通体系不断完善，大幅压缩内蒙古口岸与东北、华北、西北的时空距离，将为自治区发挥向北开放重要桥头堡提供互联互通支撑作用。</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楷体" w:hAnsi="楷体" w:eastAsia="楷体" w:cs="楷体"/>
          <w:b w:val="0"/>
          <w:bCs w:val="0"/>
          <w:sz w:val="32"/>
          <w:szCs w:val="32"/>
          <w:lang w:eastAsia="zh-CN"/>
        </w:rPr>
      </w:pPr>
      <w:r>
        <w:rPr>
          <w:rFonts w:hint="eastAsia" w:ascii="楷体" w:hAnsi="楷体" w:eastAsia="楷体" w:cs="楷体"/>
          <w:b w:val="0"/>
          <w:bCs w:val="0"/>
          <w:sz w:val="32"/>
          <w:szCs w:val="32"/>
          <w:lang w:eastAsia="zh-CN"/>
        </w:rPr>
        <w:t>第二节</w:t>
      </w:r>
      <w:r>
        <w:rPr>
          <w:rFonts w:hint="eastAsia" w:ascii="楷体" w:hAnsi="楷体" w:eastAsia="楷体" w:cs="楷体"/>
          <w:b w:val="0"/>
          <w:bCs w:val="0"/>
          <w:sz w:val="32"/>
          <w:szCs w:val="32"/>
          <w:lang w:val="en-US" w:eastAsia="zh-CN"/>
        </w:rPr>
        <w:t xml:space="preserve">  </w:t>
      </w:r>
      <w:r>
        <w:rPr>
          <w:rFonts w:hint="eastAsia" w:ascii="楷体" w:hAnsi="楷体" w:eastAsia="楷体" w:cs="楷体"/>
          <w:b w:val="0"/>
          <w:bCs w:val="0"/>
          <w:sz w:val="32"/>
          <w:szCs w:val="32"/>
          <w:lang w:eastAsia="zh-CN"/>
        </w:rPr>
        <w:t>面临挑战</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国际经贸格局发生深刻变化，对内蒙古口岸高质量发展提出新挑战。当今世界正经历百年未有之大变局，国际形势呈现竞争优势重塑、经贸规则重建、力量格局重构的叠加态势，全球经济的传统增长动能逐步减弱。特别是新冠肺炎疫情对全球经济的影响，导致世界经济延续低速增长态势。我国对发达经济体出口面临的替代和挤出压力加大，中美两国将不可避免的进入全面竞争阶段；部分发展中国家与我国在国际市场、资源和国际流动资本的竞争将更趋激烈，势必影响到我国外向型经济的发展，也直接影响到我区口岸的发展。从世界能源格局变化看，能源需求将进一步放缓，将引发全球能源生产和消费方式的深刻变革，加之俄蒙等毗邻国家能源进出口政策存在不确定性。国内能源结构正朝着高效、清洁、多元化、智能化方向转型发展，煤炭、石油等传统能源消费量总体呈下降态势，以煤炭等为主要进口种类的内蒙古口岸，保持运量平稳增长的难度显著增加。因此，口岸能源进出口可能面临供应端与消费端的变化，客观上增加了口岸发展的不稳定性与发展难度。</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我国进入新的发展阶段，资源环境约束趋紧，对内蒙古口岸发展提出更高要求。深入贯彻落实习近平总书记对内蒙古重要讲话重要指示批示精神，坚定不移走以生态优先、绿色发展为导向的高质量发展新路子，凸显内蒙古在国家生态文明建设中的重要地位和作用，客观上要求持续加大生态环境保护力度。自治区面临的生态保护红线约束比较大，西部口岸地处生态脆弱区。随着资源环境红线约束增强，水资源、土地资源瓶颈制约加剧。在碳达峰、碳中和的发展背景下，节能减排压力不断加大，依靠资源要素投入的粗放发展方式已经不能适应当下的要求，推进口岸产业结构多元化发展面临更大困难。</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黑体" w:hAnsi="黑体" w:eastAsia="黑体" w:cs="黑体"/>
          <w:b w:val="0"/>
          <w:bCs w:val="0"/>
          <w:sz w:val="32"/>
          <w:szCs w:val="32"/>
          <w:lang w:eastAsia="zh-CN"/>
        </w:rPr>
      </w:pPr>
      <w:r>
        <w:rPr>
          <w:rFonts w:hint="eastAsia" w:ascii="黑体" w:hAnsi="黑体" w:eastAsia="黑体" w:cs="黑体"/>
          <w:b w:val="0"/>
          <w:bCs w:val="0"/>
          <w:sz w:val="32"/>
          <w:szCs w:val="32"/>
          <w:lang w:eastAsia="zh-CN"/>
        </w:rPr>
        <w:t>第三章</w:t>
      </w:r>
      <w:r>
        <w:rPr>
          <w:rFonts w:hint="eastAsia" w:ascii="黑体" w:hAnsi="黑体" w:eastAsia="黑体" w:cs="黑体"/>
          <w:b w:val="0"/>
          <w:bCs w:val="0"/>
          <w:sz w:val="32"/>
          <w:szCs w:val="32"/>
          <w:lang w:val="en-US" w:eastAsia="zh-CN"/>
        </w:rPr>
        <w:t xml:space="preserve">  </w:t>
      </w:r>
      <w:r>
        <w:rPr>
          <w:rFonts w:hint="eastAsia" w:ascii="黑体" w:hAnsi="黑体" w:eastAsia="黑体" w:cs="黑体"/>
          <w:b w:val="0"/>
          <w:bCs w:val="0"/>
          <w:sz w:val="32"/>
          <w:szCs w:val="32"/>
          <w:lang w:eastAsia="zh-CN"/>
        </w:rPr>
        <w:t>“十四五”时期口岸发展总体要求</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楷体" w:hAnsi="楷体" w:eastAsia="楷体" w:cs="楷体"/>
          <w:b w:val="0"/>
          <w:bCs w:val="0"/>
          <w:sz w:val="32"/>
          <w:szCs w:val="32"/>
          <w:lang w:eastAsia="zh-CN"/>
        </w:rPr>
      </w:pPr>
      <w:r>
        <w:rPr>
          <w:rFonts w:hint="eastAsia" w:ascii="楷体" w:hAnsi="楷体" w:eastAsia="楷体" w:cs="楷体"/>
          <w:b w:val="0"/>
          <w:bCs w:val="0"/>
          <w:sz w:val="32"/>
          <w:szCs w:val="32"/>
          <w:lang w:eastAsia="zh-CN"/>
        </w:rPr>
        <w:t>第一节</w:t>
      </w:r>
      <w:r>
        <w:rPr>
          <w:rFonts w:hint="eastAsia" w:ascii="楷体" w:hAnsi="楷体" w:eastAsia="楷体" w:cs="楷体"/>
          <w:b w:val="0"/>
          <w:bCs w:val="0"/>
          <w:sz w:val="32"/>
          <w:szCs w:val="32"/>
          <w:lang w:val="en-US" w:eastAsia="zh-CN"/>
        </w:rPr>
        <w:t xml:space="preserve">  </w:t>
      </w:r>
      <w:r>
        <w:rPr>
          <w:rFonts w:hint="eastAsia" w:ascii="楷体" w:hAnsi="楷体" w:eastAsia="楷体" w:cs="楷体"/>
          <w:b w:val="0"/>
          <w:bCs w:val="0"/>
          <w:sz w:val="32"/>
          <w:szCs w:val="32"/>
          <w:lang w:eastAsia="zh-CN"/>
        </w:rPr>
        <w:t>指导思想</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高举中国特色社会主义伟大旗帜，坚持以习近平新时代中国特色社会主义思想为指导，深入贯彻党的十九大和十九届</w:t>
      </w:r>
      <w:r>
        <w:rPr>
          <w:rFonts w:hint="eastAsia" w:ascii="仿宋" w:hAnsi="仿宋" w:eastAsia="仿宋" w:cs="仿宋"/>
          <w:sz w:val="32"/>
          <w:szCs w:val="32"/>
          <w:lang w:eastAsia="zh-CN"/>
        </w:rPr>
        <w:t>历次</w:t>
      </w:r>
      <w:r>
        <w:rPr>
          <w:rFonts w:hint="eastAsia" w:ascii="仿宋" w:hAnsi="仿宋" w:eastAsia="仿宋" w:cs="仿宋"/>
          <w:sz w:val="32"/>
          <w:szCs w:val="32"/>
        </w:rPr>
        <w:t>全会精神，全面落实习近平总书记对内蒙古重要讲话重要指示批示精神，立足“两个屏障”“两个基地”和“一个桥头堡”的战略定位，坚持党的全面领导，坚持以人民为中心，坚持稳中求进工作总基调</w:t>
      </w:r>
      <w:r>
        <w:rPr>
          <w:rFonts w:hint="eastAsia" w:ascii="仿宋" w:hAnsi="仿宋" w:eastAsia="仿宋" w:cs="仿宋"/>
          <w:sz w:val="32"/>
          <w:szCs w:val="32"/>
          <w:lang w:eastAsia="zh-CN"/>
        </w:rPr>
        <w:t>，</w:t>
      </w:r>
      <w:r>
        <w:rPr>
          <w:rFonts w:hint="eastAsia" w:ascii="仿宋" w:hAnsi="仿宋" w:eastAsia="仿宋" w:cs="仿宋"/>
          <w:sz w:val="32"/>
          <w:szCs w:val="32"/>
        </w:rPr>
        <w:t>坚持新发展理念，坚持深化改革开放，坚持系统观念</w:t>
      </w:r>
      <w:r>
        <w:rPr>
          <w:rFonts w:hint="eastAsia" w:ascii="仿宋" w:hAnsi="仿宋" w:eastAsia="仿宋" w:cs="仿宋"/>
          <w:sz w:val="32"/>
          <w:szCs w:val="32"/>
          <w:lang w:eastAsia="zh-CN"/>
        </w:rPr>
        <w:t>，</w:t>
      </w:r>
      <w:r>
        <w:rPr>
          <w:rFonts w:hint="eastAsia" w:ascii="仿宋" w:hAnsi="仿宋" w:eastAsia="仿宋" w:cs="仿宋"/>
          <w:spacing w:val="6"/>
          <w:sz w:val="32"/>
          <w:szCs w:val="32"/>
        </w:rPr>
        <w:t>坚定不移走以生态优先、绿色发展为导向的高质量发展新路子，</w:t>
      </w:r>
      <w:r>
        <w:rPr>
          <w:rFonts w:hint="eastAsia" w:ascii="仿宋" w:hAnsi="仿宋" w:eastAsia="仿宋" w:cs="仿宋"/>
          <w:sz w:val="32"/>
          <w:szCs w:val="32"/>
        </w:rPr>
        <w:t>深度融入共建“一带一路”，全面参与中蒙俄经济走廊建设，服务和融入新发展格局，充分发挥自治区立足俄蒙</w:t>
      </w:r>
      <w:r>
        <w:rPr>
          <w:rFonts w:hint="eastAsia" w:ascii="仿宋" w:hAnsi="仿宋" w:eastAsia="仿宋" w:cs="仿宋"/>
          <w:sz w:val="32"/>
          <w:szCs w:val="32"/>
          <w:lang w:eastAsia="zh-CN"/>
        </w:rPr>
        <w:t>、</w:t>
      </w:r>
      <w:r>
        <w:rPr>
          <w:rFonts w:hint="eastAsia" w:ascii="仿宋" w:hAnsi="仿宋" w:eastAsia="仿宋" w:cs="仿宋"/>
          <w:sz w:val="32"/>
          <w:szCs w:val="32"/>
        </w:rPr>
        <w:t>放眼欧亚的开放优势，统筹发展与安全，以推动高质量发展为主题，以安全、高效、绿色、智能为发展导向，以深化供给侧结构性改革为主线，以改革创新为根本动力，以满足人民日益增长的美好生活需要为根本目的，以优化口岸功能布局、完善口岸基础设施建设、加快区内外口岸地区协同发展、提升口岸经济发展质量、扩展对外开放平台功能、持续优化营商环境、健全口岸安全防控体系为主要任务，构建自治区口岸新发展格局，为建设我国向北开放重要桥头堡作出应有贡献。</w:t>
      </w:r>
    </w:p>
    <w:p>
      <w:pPr>
        <w:pStyle w:val="2"/>
        <w:rPr>
          <w:rFonts w:hint="eastAsia"/>
        </w:rPr>
      </w:pP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楷体" w:hAnsi="楷体" w:eastAsia="楷体" w:cs="楷体"/>
          <w:b w:val="0"/>
          <w:bCs w:val="0"/>
          <w:sz w:val="32"/>
          <w:szCs w:val="32"/>
          <w:lang w:eastAsia="zh-CN"/>
        </w:rPr>
      </w:pPr>
      <w:r>
        <w:rPr>
          <w:rFonts w:hint="eastAsia" w:ascii="楷体" w:hAnsi="楷体" w:eastAsia="楷体" w:cs="楷体"/>
          <w:b w:val="0"/>
          <w:bCs w:val="0"/>
          <w:sz w:val="32"/>
          <w:szCs w:val="32"/>
          <w:lang w:eastAsia="zh-CN"/>
        </w:rPr>
        <w:t>第二节</w:t>
      </w:r>
      <w:r>
        <w:rPr>
          <w:rFonts w:hint="eastAsia" w:ascii="楷体" w:hAnsi="楷体" w:eastAsia="楷体" w:cs="楷体"/>
          <w:b w:val="0"/>
          <w:bCs w:val="0"/>
          <w:sz w:val="32"/>
          <w:szCs w:val="32"/>
          <w:lang w:val="en-US" w:eastAsia="zh-CN"/>
        </w:rPr>
        <w:t xml:space="preserve">  </w:t>
      </w:r>
      <w:r>
        <w:rPr>
          <w:rFonts w:hint="eastAsia" w:ascii="楷体" w:hAnsi="楷体" w:eastAsia="楷体" w:cs="楷体"/>
          <w:b w:val="0"/>
          <w:bCs w:val="0"/>
          <w:sz w:val="32"/>
          <w:szCs w:val="32"/>
          <w:lang w:eastAsia="zh-CN"/>
        </w:rPr>
        <w:t>基本原则</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优化口岸布局、实施分类管理。进一步明确口岸功能定位，完善口岸各类服务功能，对口岸实施分类管理，重点支持综合枢纽口岸和重点专业口岸优先发展。建立动态化口岸管理机制，构建定位明确、重点突出、功能互补的口岸发展格局。</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坚持边腹互动，协同有序发展。发挥口岸和腹地各自发展优势，沿边口岸做强做大口岸功能，腹地促进产业落地加工，通过物流带贸易、贸易带产业，实现口岸与腹地在功能与产业之间合作的协同发展，形成“口岸+腹地”的联动发展模式。</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坚持政府引领，推进市场化运作。发挥政府在政策制定、规划统筹、公共服务平台建设等方面的引领作用，为口岸发展营造健康良好政策环境。充分发挥市场配置资源的决定性作用，引进市场化投融资机制，鼓励各类企业充分竞争、积极参与口岸建设和运营。</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坚持生态优先，智能高效发展。贯彻生态保护与口岸高效发展的理念，在绿色环保的前提下，统筹生态环境保护和口岸高效便捷化发展的关系，健全口岸环保设施、智能化设施、生物安全设施等方面建设，推动口岸发展在量的稳步增长中实现质的有效提升，确保口岸绿色、高效、智能化发展。</w:t>
      </w:r>
    </w:p>
    <w:p>
      <w:pPr>
        <w:pStyle w:val="2"/>
        <w:rPr>
          <w:rFonts w:hint="eastAsia"/>
        </w:rPr>
      </w:pPr>
    </w:p>
    <w:p>
      <w:pPr>
        <w:pStyle w:val="2"/>
        <w:rPr>
          <w:rFonts w:hint="eastAsia"/>
        </w:rPr>
      </w:pP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楷体" w:hAnsi="楷体" w:eastAsia="楷体" w:cs="楷体"/>
          <w:b w:val="0"/>
          <w:bCs w:val="0"/>
          <w:sz w:val="32"/>
          <w:szCs w:val="32"/>
          <w:lang w:eastAsia="zh-CN"/>
        </w:rPr>
      </w:pPr>
      <w:r>
        <w:rPr>
          <w:rFonts w:hint="eastAsia" w:ascii="楷体" w:hAnsi="楷体" w:eastAsia="楷体" w:cs="楷体"/>
          <w:b w:val="0"/>
          <w:bCs w:val="0"/>
          <w:sz w:val="32"/>
          <w:szCs w:val="32"/>
          <w:lang w:eastAsia="zh-CN"/>
        </w:rPr>
        <w:t>第三节</w:t>
      </w:r>
      <w:r>
        <w:rPr>
          <w:rFonts w:hint="eastAsia" w:ascii="楷体" w:hAnsi="楷体" w:eastAsia="楷体" w:cs="楷体"/>
          <w:b w:val="0"/>
          <w:bCs w:val="0"/>
          <w:sz w:val="32"/>
          <w:szCs w:val="32"/>
          <w:lang w:val="en-US" w:eastAsia="zh-CN"/>
        </w:rPr>
        <w:t xml:space="preserve">  </w:t>
      </w:r>
      <w:r>
        <w:rPr>
          <w:rFonts w:hint="eastAsia" w:ascii="楷体" w:hAnsi="楷体" w:eastAsia="楷体" w:cs="楷体"/>
          <w:b w:val="0"/>
          <w:bCs w:val="0"/>
          <w:sz w:val="32"/>
          <w:szCs w:val="32"/>
          <w:lang w:eastAsia="zh-CN"/>
        </w:rPr>
        <w:t>发展目标</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借力国家政策与发展战略，建设我国向北开放重要桥头堡，形成国家向北开放综合枢纽。内蒙古口岸在国家对外开放战略部署中的层次和地位不断提升，综合枢纽口岸、重点专业口岸</w:t>
      </w:r>
      <w:r>
        <w:rPr>
          <w:rFonts w:hint="eastAsia" w:ascii="仿宋" w:hAnsi="仿宋" w:eastAsia="仿宋" w:cs="仿宋"/>
          <w:spacing w:val="-6"/>
          <w:sz w:val="32"/>
          <w:szCs w:val="32"/>
        </w:rPr>
        <w:t>的辐射带动能力显著提升，形成要素集聚和产业发展高地，为自治区外向型经济产业发展新动能提供空间优化和布局优化双向支撑。</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口岸基础设施显著改善，口岸通关便利化水平进一步提高，构建便捷型口岸。口岸基础设施在功能、产业、物流体系配套等方面有显著改善，与邻国口岸互联互通水平有明显提升。智能通关模式得到推广，口岸集疏运能力显著增强，实现国际贸易“单一窗口”标准版功能模</w:t>
      </w:r>
      <w:bookmarkStart w:id="17" w:name="_GoBack"/>
      <w:bookmarkEnd w:id="17"/>
      <w:r>
        <w:rPr>
          <w:rFonts w:hint="eastAsia" w:ascii="仿宋" w:hAnsi="仿宋" w:eastAsia="仿宋" w:cs="仿宋"/>
          <w:sz w:val="32"/>
          <w:szCs w:val="32"/>
        </w:rPr>
        <w:t>块全覆盖，整体通关时</w:t>
      </w:r>
      <w:r>
        <w:rPr>
          <w:rFonts w:hint="eastAsia" w:ascii="仿宋" w:hAnsi="仿宋" w:eastAsia="仿宋" w:cs="仿宋"/>
          <w:spacing w:val="-6"/>
          <w:sz w:val="32"/>
          <w:szCs w:val="32"/>
        </w:rPr>
        <w:t>间进一步压缩，</w:t>
      </w:r>
      <w:r>
        <w:rPr>
          <w:rFonts w:hint="eastAsia" w:ascii="仿宋" w:hAnsi="仿宋" w:eastAsia="仿宋" w:cs="仿宋"/>
          <w:sz w:val="32"/>
          <w:szCs w:val="32"/>
        </w:rPr>
        <w:t>口岸通关效率全面提升。</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口岸功能充分发挥、辐射能力进一步提升，构建效能型口岸。推动全区口岸与腹地盟市协同发展，与沿海、内陆重点省</w:t>
      </w:r>
      <w:r>
        <w:rPr>
          <w:rFonts w:hint="eastAsia" w:ascii="仿宋" w:hAnsi="仿宋" w:eastAsia="仿宋" w:cs="仿宋"/>
          <w:sz w:val="32"/>
          <w:szCs w:val="32"/>
          <w:lang w:eastAsia="zh-CN"/>
        </w:rPr>
        <w:t>（</w:t>
      </w:r>
      <w:r>
        <w:rPr>
          <w:rFonts w:hint="eastAsia" w:ascii="仿宋" w:hAnsi="仿宋" w:eastAsia="仿宋" w:cs="仿宋"/>
          <w:sz w:val="32"/>
          <w:szCs w:val="32"/>
        </w:rPr>
        <w:t>区、市</w:t>
      </w:r>
      <w:r>
        <w:rPr>
          <w:rFonts w:hint="eastAsia" w:ascii="仿宋" w:hAnsi="仿宋" w:eastAsia="仿宋" w:cs="仿宋"/>
          <w:sz w:val="32"/>
          <w:szCs w:val="32"/>
          <w:lang w:eastAsia="zh-CN"/>
        </w:rPr>
        <w:t>）</w:t>
      </w:r>
      <w:r>
        <w:rPr>
          <w:rFonts w:hint="eastAsia" w:ascii="仿宋" w:hAnsi="仿宋" w:eastAsia="仿宋" w:cs="仿宋"/>
          <w:sz w:val="32"/>
          <w:szCs w:val="32"/>
        </w:rPr>
        <w:t>口岸协作发展，构建自治区综合枢纽口岸与俄蒙及沿线国家重点口岸、物流枢纽城市合作新局面，实现口岸相关产业联动发展。力争到2025年，全区口岸进出境货运量超过1亿吨，客运量达到660万人，交通工具量达到187万列（辆、架次），中欧班列全国占比超过50%。</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黑体" w:hAnsi="黑体" w:eastAsia="黑体" w:cs="黑体"/>
          <w:sz w:val="32"/>
          <w:szCs w:val="32"/>
        </w:rPr>
        <w:t>——</w:t>
      </w:r>
      <w:r>
        <w:rPr>
          <w:rFonts w:hint="eastAsia" w:ascii="仿宋" w:hAnsi="仿宋" w:eastAsia="仿宋" w:cs="仿宋"/>
          <w:sz w:val="32"/>
          <w:szCs w:val="32"/>
        </w:rPr>
        <w:t>口岸治理能力和现代化水平取得实质性提升，构建安全型口岸。协调联检部门在创新监管模式、强化监管能力等方面取得明显进步。协同边防、安全等相关部门完善联防联控机制，口岸区域安全管控工作进一步加强，口岸疫情防控设施、设备进一步完善。依托强边固防和口岸反恐防范机制，推动口岸区域人防、技防、物防有机结合，稳步推进安全型口岸建设。</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黑体" w:hAnsi="黑体" w:eastAsia="黑体" w:cs="黑体"/>
          <w:sz w:val="32"/>
          <w:szCs w:val="32"/>
        </w:rPr>
      </w:pPr>
      <w:r>
        <w:rPr>
          <w:rFonts w:hint="eastAsia" w:ascii="黑体" w:hAnsi="黑体" w:eastAsia="黑体" w:cs="黑体"/>
          <w:sz w:val="32"/>
          <w:szCs w:val="32"/>
          <w:lang w:eastAsia="zh-CN"/>
        </w:rPr>
        <w:t>第四章</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“十四五”时期口岸发展主要任务</w:t>
      </w:r>
    </w:p>
    <w:p>
      <w:pPr>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楷体" w:hAnsi="楷体" w:eastAsia="楷体" w:cs="楷体"/>
          <w:b w:val="0"/>
          <w:bCs w:val="0"/>
          <w:sz w:val="32"/>
          <w:szCs w:val="32"/>
          <w:lang w:eastAsia="zh-CN"/>
        </w:rPr>
      </w:pPr>
      <w:r>
        <w:rPr>
          <w:rFonts w:hint="eastAsia" w:ascii="楷体" w:hAnsi="楷体" w:eastAsia="楷体" w:cs="楷体"/>
          <w:b w:val="0"/>
          <w:bCs w:val="0"/>
          <w:sz w:val="32"/>
          <w:szCs w:val="32"/>
          <w:lang w:eastAsia="zh-CN"/>
        </w:rPr>
        <w:t>第一节</w:t>
      </w:r>
      <w:r>
        <w:rPr>
          <w:rFonts w:hint="eastAsia" w:ascii="楷体" w:hAnsi="楷体" w:eastAsia="楷体" w:cs="楷体"/>
          <w:b w:val="0"/>
          <w:bCs w:val="0"/>
          <w:sz w:val="32"/>
          <w:szCs w:val="32"/>
          <w:lang w:val="en-US" w:eastAsia="zh-CN"/>
        </w:rPr>
        <w:t xml:space="preserve"> </w:t>
      </w:r>
      <w:r>
        <w:rPr>
          <w:rFonts w:hint="eastAsia" w:ascii="楷体" w:hAnsi="楷体" w:eastAsia="楷体" w:cs="楷体"/>
          <w:b w:val="0"/>
          <w:bCs w:val="0"/>
          <w:sz w:val="32"/>
          <w:szCs w:val="32"/>
          <w:lang w:eastAsia="zh-CN"/>
        </w:rPr>
        <w:t>优化口岸功能布局</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outlineLvl w:val="9"/>
        <w:rPr>
          <w:rFonts w:hint="eastAsia" w:ascii="仿宋" w:hAnsi="仿宋" w:eastAsia="仿宋" w:cs="仿宋"/>
          <w:sz w:val="32"/>
          <w:szCs w:val="32"/>
        </w:rPr>
      </w:pPr>
      <w:r>
        <w:rPr>
          <w:rFonts w:hint="eastAsia" w:ascii="仿宋" w:hAnsi="仿宋" w:eastAsia="仿宋" w:cs="仿宋"/>
          <w:sz w:val="32"/>
          <w:szCs w:val="32"/>
        </w:rPr>
        <w:t>1．构建重点突出、功能互补的口岸发展格局。全区口岸严格实施分类管理，避免低水平重复建设。根据口岸现有交通运输条件、口岸功能和贸易规模、产业类型和商品结构等比较优势，</w:t>
      </w:r>
      <w:r>
        <w:rPr>
          <w:rFonts w:hint="eastAsia" w:ascii="仿宋" w:hAnsi="仿宋" w:eastAsia="仿宋" w:cs="仿宋"/>
          <w:spacing w:val="-6"/>
          <w:sz w:val="32"/>
          <w:szCs w:val="32"/>
        </w:rPr>
        <w:t>将现有口岸分为综合枢纽口岸、重点专业口岸、普通口岸三种类型。</w:t>
      </w:r>
    </w:p>
    <w:p>
      <w:pPr>
        <w:pStyle w:val="2"/>
        <w:spacing w:after="0"/>
        <w:ind w:firstLine="0" w:firstLineChars="0"/>
        <w:jc w:val="center"/>
        <w:rPr>
          <w:rFonts w:hint="eastAsia" w:ascii="方正黑体_GBK" w:hAnsi="方正黑体_GBK" w:eastAsia="方正黑体_GBK" w:cs="方正黑体_GBK"/>
          <w:color w:val="000000"/>
        </w:rPr>
      </w:pPr>
      <w:r>
        <w:rPr>
          <w:rFonts w:hint="eastAsia" w:ascii="方正黑体_GBK" w:hAnsi="方正黑体_GBK" w:eastAsia="方正黑体_GBK" w:cs="方正黑体_GBK"/>
          <w:color w:val="000000"/>
          <w:sz w:val="28"/>
          <w:szCs w:val="28"/>
          <w:lang w:eastAsia="zh-CN"/>
        </w:rPr>
        <w:drawing>
          <wp:anchor distT="0" distB="0" distL="114300" distR="114300" simplePos="0" relativeHeight="251659264" behindDoc="0" locked="0" layoutInCell="1" allowOverlap="1">
            <wp:simplePos x="0" y="0"/>
            <wp:positionH relativeFrom="column">
              <wp:posOffset>224790</wp:posOffset>
            </wp:positionH>
            <wp:positionV relativeFrom="paragraph">
              <wp:posOffset>82550</wp:posOffset>
            </wp:positionV>
            <wp:extent cx="5253990" cy="3325495"/>
            <wp:effectExtent l="0" t="0" r="3810" b="8255"/>
            <wp:wrapSquare wrapText="bothSides"/>
            <wp:docPr id="1" name="图片 8" descr="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84-1"/>
                    <pic:cNvPicPr>
                      <a:picLocks noChangeAspect="1"/>
                    </pic:cNvPicPr>
                  </pic:nvPicPr>
                  <pic:blipFill>
                    <a:blip r:embed="rId8"/>
                    <a:stretch>
                      <a:fillRect/>
                    </a:stretch>
                  </pic:blipFill>
                  <pic:spPr>
                    <a:xfrm>
                      <a:off x="0" y="0"/>
                      <a:ext cx="5253990" cy="3325495"/>
                    </a:xfrm>
                    <a:prstGeom prst="rect">
                      <a:avLst/>
                    </a:prstGeom>
                    <a:noFill/>
                    <a:ln>
                      <a:noFill/>
                    </a:ln>
                  </pic:spPr>
                </pic:pic>
              </a:graphicData>
            </a:graphic>
          </wp:anchor>
        </w:drawing>
      </w:r>
      <w:r>
        <w:rPr>
          <w:rFonts w:hint="eastAsia" w:ascii="方正黑体_GBK" w:hAnsi="方正黑体_GBK" w:eastAsia="方正黑体_GBK" w:cs="方正黑体_GBK"/>
          <w:color w:val="000000"/>
          <w:sz w:val="28"/>
          <w:szCs w:val="28"/>
        </w:rPr>
        <w:t>图1</w:t>
      </w:r>
      <w:r>
        <w:rPr>
          <w:rFonts w:hint="eastAsia" w:ascii="方正黑体_GBK" w:hAnsi="方正黑体_GBK" w:eastAsia="方正黑体_GBK" w:cs="方正黑体_GBK"/>
          <w:color w:val="000000"/>
          <w:sz w:val="28"/>
          <w:szCs w:val="28"/>
          <w:lang w:val="en-US" w:eastAsia="zh-CN"/>
        </w:rPr>
        <w:t xml:space="preserve">  </w:t>
      </w:r>
      <w:r>
        <w:rPr>
          <w:rFonts w:hint="eastAsia" w:ascii="方正黑体_GBK" w:hAnsi="方正黑体_GBK" w:eastAsia="方正黑体_GBK" w:cs="方正黑体_GBK"/>
          <w:color w:val="000000"/>
          <w:sz w:val="28"/>
          <w:szCs w:val="28"/>
        </w:rPr>
        <w:t>口岸分类示意图</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优先打造满洲里、二连浩特综合枢纽口岸，形成以国际贸易、物流仓储、加工制造为主导的口岸发展格局，实现产业价值链升级和多元化服务功能，扩大口岸的国内外影响力。</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满洲里综合枢纽口岸依托地处中欧班列东通道的区位条件，辐射自治区东部盟市及周边地区，服务于东北振兴战略。推动满洲里综合枢纽口岸与俄罗斯、欧洲国际市场衔接，加快满洲里国家重点开发开放试验区、跨境电子商务综合试验区建设，以贸易带动落地加工；推动满洲里口岸与沿边腹地各类功能区相连接，形成跨境产业链、价值链与供应链，成为“双循环”的重要支撑点。发挥满洲里综合枢纽口岸作用，辐射带动自治区东部盟市其他口岸协同发展，形成以国际贸易、国际物流、商贸服务和跨境旅游为主导的口岸发展区域。</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0"/>
          <w:w w:val="100"/>
          <w:sz w:val="32"/>
          <w:szCs w:val="32"/>
        </w:rPr>
        <w:t>二连浩特综合枢纽口岸依托地处中欧班列中通道的区位条件，辐射自治区中部盟市及周边地区，积极服务于呼包鄂乌、京津冀和中原城市群协同发展。推动二连浩特综合枢纽口岸与蒙古、俄罗斯及欧洲等国际市场衔接，加快二连浩特国家重点开发开放试验区、二连浩特—扎门乌德经济合作区建设；推动二连浩特—乌兰察布国家物流枢纽建设，加快二连浩特—集宁两地协同一体化发展进程；以二连浩特综合枢纽口岸为核心，辐射带动自治区中部盟市其他口岸协同发展，打造国际贸易、国际物流、加工制造、商贸服务等功能于一体的口岸发展区域。</w:t>
      </w:r>
    </w:p>
    <w:p>
      <w:pPr>
        <w:pStyle w:val="2"/>
        <w:rPr>
          <w:rFonts w:hint="eastAsia" w:ascii="方正仿宋_GBK" w:hAnsi="方正仿宋_GBK" w:eastAsia="方正仿宋_GBK" w:cs="方正仿宋_GBK"/>
          <w:b w:val="0"/>
          <w:i w:val="0"/>
          <w:caps w:val="0"/>
          <w:color w:val="000000"/>
          <w:spacing w:val="0"/>
          <w:w w:val="100"/>
          <w:sz w:val="32"/>
          <w:szCs w:val="32"/>
        </w:rPr>
      </w:pPr>
    </w:p>
    <w:tbl>
      <w:tblPr>
        <w:tblStyle w:val="14"/>
        <w:tblW w:w="8984" w:type="dxa"/>
        <w:jc w:val="center"/>
        <w:tblInd w:w="-678"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22"/>
        <w:gridCol w:w="1437"/>
        <w:gridCol w:w="3056"/>
        <w:gridCol w:w="26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8984" w:type="dxa"/>
            <w:gridSpan w:val="4"/>
            <w:tcBorders>
              <w:tl2br w:val="nil"/>
              <w:tr2bl w:val="nil"/>
            </w:tcBorders>
            <w:noWrap w:val="0"/>
            <w:vAlign w:val="center"/>
          </w:tcPr>
          <w:p>
            <w:pPr>
              <w:pStyle w:val="21"/>
              <w:spacing w:line="240" w:lineRule="auto"/>
              <w:ind w:firstLine="0" w:firstLineChars="0"/>
              <w:jc w:val="center"/>
              <w:rPr>
                <w:rFonts w:hint="eastAsia" w:ascii="黑体" w:hAnsi="黑体" w:eastAsia="黑体" w:cs="黑体"/>
                <w:b/>
                <w:color w:val="000000"/>
                <w:sz w:val="24"/>
                <w:szCs w:val="24"/>
              </w:rPr>
            </w:pPr>
            <w:r>
              <w:rPr>
                <w:rFonts w:hint="eastAsia" w:ascii="黑体" w:hAnsi="黑体" w:eastAsia="黑体" w:cs="黑体"/>
                <w:b w:val="0"/>
                <w:bCs/>
                <w:color w:val="000000"/>
                <w:sz w:val="32"/>
                <w:szCs w:val="32"/>
              </w:rPr>
              <w:t>专栏4-1</w:t>
            </w:r>
            <w:r>
              <w:rPr>
                <w:rFonts w:hint="eastAsia" w:ascii="黑体" w:hAnsi="黑体" w:eastAsia="黑体" w:cs="黑体"/>
                <w:b w:val="0"/>
                <w:bCs/>
                <w:color w:val="000000"/>
                <w:sz w:val="32"/>
                <w:szCs w:val="32"/>
                <w:lang w:val="en-US" w:eastAsia="zh-CN"/>
              </w:rPr>
              <w:t xml:space="preserve">  </w:t>
            </w:r>
            <w:r>
              <w:rPr>
                <w:rFonts w:hint="eastAsia" w:ascii="黑体" w:hAnsi="黑体" w:eastAsia="黑体" w:cs="黑体"/>
                <w:b w:val="0"/>
                <w:bCs/>
                <w:color w:val="000000"/>
                <w:sz w:val="32"/>
                <w:szCs w:val="32"/>
              </w:rPr>
              <w:t>综合枢纽口岸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kern w:val="0"/>
                <w:sz w:val="24"/>
                <w:szCs w:val="24"/>
              </w:rPr>
              <w:t>口岸名称</w:t>
            </w:r>
          </w:p>
        </w:tc>
        <w:tc>
          <w:tcPr>
            <w:tcW w:w="143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kern w:val="0"/>
                <w:sz w:val="24"/>
                <w:szCs w:val="24"/>
              </w:rPr>
              <w:t>口岸类型</w:t>
            </w:r>
          </w:p>
        </w:tc>
        <w:tc>
          <w:tcPr>
            <w:tcW w:w="305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spacing w:val="23"/>
                <w:kern w:val="0"/>
                <w:sz w:val="24"/>
                <w:szCs w:val="24"/>
              </w:rPr>
              <w:t>基础和特</w:t>
            </w:r>
            <w:r>
              <w:rPr>
                <w:rFonts w:hint="eastAsia" w:ascii="黑体" w:hAnsi="黑体" w:eastAsia="黑体" w:cs="黑体"/>
                <w:b w:val="0"/>
                <w:bCs/>
                <w:color w:val="000000"/>
                <w:kern w:val="0"/>
                <w:sz w:val="24"/>
                <w:szCs w:val="24"/>
              </w:rPr>
              <w:t>色</w:t>
            </w:r>
          </w:p>
        </w:tc>
        <w:tc>
          <w:tcPr>
            <w:tcW w:w="26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kern w:val="0"/>
                <w:sz w:val="24"/>
                <w:szCs w:val="24"/>
              </w:rPr>
              <w:t>功</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能</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定</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475" w:hRule="atLeast"/>
          <w:jc w:val="center"/>
        </w:trPr>
        <w:tc>
          <w:tcPr>
            <w:tcW w:w="1822" w:type="dxa"/>
            <w:tcBorders>
              <w:tl2br w:val="nil"/>
              <w:tr2bl w:val="nil"/>
            </w:tcBorders>
            <w:noWrap w:val="0"/>
            <w:vAlign w:val="center"/>
          </w:tcPr>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满洲里口岸</w:t>
            </w:r>
          </w:p>
        </w:tc>
        <w:tc>
          <w:tcPr>
            <w:tcW w:w="1437" w:type="dxa"/>
            <w:tcBorders>
              <w:tl2br w:val="nil"/>
              <w:tr2bl w:val="nil"/>
            </w:tcBorders>
            <w:noWrap w:val="0"/>
            <w:vAlign w:val="center"/>
          </w:tcPr>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铁路</w:t>
            </w:r>
          </w:p>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航空</w:t>
            </w:r>
          </w:p>
        </w:tc>
        <w:tc>
          <w:tcPr>
            <w:tcW w:w="3056" w:type="dxa"/>
            <w:tcBorders>
              <w:tl2br w:val="nil"/>
              <w:tr2bl w:val="nil"/>
            </w:tcBorders>
            <w:noWrap w:val="0"/>
            <w:vAlign w:val="center"/>
          </w:tcPr>
          <w:p>
            <w:pPr>
              <w:widowControl/>
              <w:spacing w:line="300" w:lineRule="exact"/>
              <w:ind w:firstLine="0" w:firstLineChars="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对俄最大口岸，中欧班列东通道、国家重点开发开放试验区，自治区进口木材加工基地，跨境电商基地</w:t>
            </w:r>
          </w:p>
        </w:tc>
        <w:tc>
          <w:tcPr>
            <w:tcW w:w="2669" w:type="dxa"/>
            <w:tcBorders>
              <w:tl2br w:val="nil"/>
              <w:tr2bl w:val="nil"/>
            </w:tcBorders>
            <w:noWrap w:val="0"/>
            <w:vAlign w:val="center"/>
          </w:tcPr>
          <w:p>
            <w:pPr>
              <w:widowControl/>
              <w:spacing w:line="300" w:lineRule="exact"/>
              <w:ind w:firstLine="0" w:firstLineChars="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以进出口贸易、进口加工、国际物流、跨境旅游、现代服务业等为主的综合枢纽口岸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470" w:hRule="atLeast"/>
          <w:jc w:val="center"/>
        </w:trPr>
        <w:tc>
          <w:tcPr>
            <w:tcW w:w="1822" w:type="dxa"/>
            <w:tcBorders>
              <w:tl2br w:val="nil"/>
              <w:tr2bl w:val="nil"/>
            </w:tcBorders>
            <w:noWrap w:val="0"/>
            <w:vAlign w:val="center"/>
          </w:tcPr>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二连浩特</w:t>
            </w:r>
          </w:p>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437" w:type="dxa"/>
            <w:tcBorders>
              <w:tl2br w:val="nil"/>
              <w:tr2bl w:val="nil"/>
            </w:tcBorders>
            <w:noWrap w:val="0"/>
            <w:vAlign w:val="center"/>
          </w:tcPr>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铁路</w:t>
            </w:r>
          </w:p>
          <w:p>
            <w:pPr>
              <w:widowControl/>
              <w:spacing w:line="300" w:lineRule="exact"/>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航空</w:t>
            </w:r>
          </w:p>
        </w:tc>
        <w:tc>
          <w:tcPr>
            <w:tcW w:w="3056" w:type="dxa"/>
            <w:tcBorders>
              <w:tl2br w:val="nil"/>
              <w:tr2bl w:val="nil"/>
            </w:tcBorders>
            <w:noWrap w:val="0"/>
            <w:vAlign w:val="center"/>
          </w:tcPr>
          <w:p>
            <w:pPr>
              <w:widowControl/>
              <w:spacing w:line="300" w:lineRule="exact"/>
              <w:ind w:firstLine="0" w:firstLineChars="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对蒙最大综合性口岸，中欧班列中通道，国家重点开发开放试验区</w:t>
            </w:r>
          </w:p>
        </w:tc>
        <w:tc>
          <w:tcPr>
            <w:tcW w:w="2669" w:type="dxa"/>
            <w:tcBorders>
              <w:tl2br w:val="nil"/>
              <w:tr2bl w:val="nil"/>
            </w:tcBorders>
            <w:noWrap w:val="0"/>
            <w:vAlign w:val="center"/>
          </w:tcPr>
          <w:p>
            <w:pPr>
              <w:widowControl/>
              <w:spacing w:line="300" w:lineRule="exact"/>
              <w:ind w:firstLine="0" w:firstLineChars="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以国际贸易、国际物流、加工制造、商贸服务等功能为主的综合枢纽口岸</w:t>
            </w:r>
          </w:p>
        </w:tc>
      </w:tr>
    </w:tbl>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0"/>
          <w:w w:val="100"/>
          <w:sz w:val="32"/>
          <w:szCs w:val="32"/>
        </w:rPr>
        <w:t>大力支持甘其毛都、策克、满都拉重点专业口岸打造千万吨级境外大宗矿产资源进口专用通道。</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甘其毛都重点专业口岸依托地处自治区西部的区位条件，对内辐射包头市、巴彦淖尔市等自治区西部地区，对外面向蒙古国西部矿产资源较富集区，采取专业化发展策略，积极探索贸易与产业结构的多样化，不断提高进境矿产品落地加工比例，实现口岸发展模式从通道经济向落地经济转变。
</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策克重点专业口岸依托地处自治区西部的区位条件，辐射乌海市、阿拉善盟等自治区西部盟市及陕甘宁地区，联合后方陆域煤炭、有色金属等能源矿产品进口加工基地，成为西部重要的煤炭进口口岸和集散中心。</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满都拉重点专业口岸依托地处自治区中部的区位条件，服务包头工业基地，成为进口蒙古国矿产资源的重要通道。</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color w:val="000000"/>
          <w:sz w:val="32"/>
          <w:szCs w:val="32"/>
        </w:rPr>
      </w:pPr>
      <w:r>
        <w:rPr>
          <w:rFonts w:hint="eastAsia" w:ascii="仿宋" w:hAnsi="仿宋" w:eastAsia="仿宋" w:cs="仿宋"/>
          <w:color w:val="000000"/>
          <w:sz w:val="32"/>
          <w:szCs w:val="32"/>
        </w:rPr>
        <w:t>发挥重点专业口岸辐射带动作用，协同乌力吉口岸共同打造以高品质能源和矿产品进口和加工为主导的口岸发展区域。</w:t>
      </w:r>
    </w:p>
    <w:tbl>
      <w:tblPr>
        <w:tblStyle w:val="14"/>
        <w:tblW w:w="8969" w:type="dxa"/>
        <w:jc w:val="center"/>
        <w:tblInd w:w="-663"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1185"/>
        <w:gridCol w:w="3135"/>
        <w:gridCol w:w="28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79" w:hRule="atLeast"/>
          <w:jc w:val="center"/>
        </w:trPr>
        <w:tc>
          <w:tcPr>
            <w:tcW w:w="8969" w:type="dxa"/>
            <w:gridSpan w:val="4"/>
            <w:tcBorders>
              <w:tl2br w:val="nil"/>
              <w:tr2bl w:val="nil"/>
            </w:tcBorders>
            <w:noWrap w:val="0"/>
            <w:vAlign w:val="center"/>
          </w:tcPr>
          <w:p>
            <w:pPr>
              <w:pStyle w:val="21"/>
              <w:spacing w:line="240" w:lineRule="auto"/>
              <w:ind w:firstLine="0" w:firstLineChars="0"/>
              <w:jc w:val="center"/>
              <w:rPr>
                <w:rFonts w:eastAsia="楷体"/>
                <w:b/>
                <w:color w:val="000000"/>
                <w:sz w:val="22"/>
                <w:szCs w:val="22"/>
              </w:rPr>
            </w:pPr>
            <w:r>
              <w:rPr>
                <w:rFonts w:hint="eastAsia" w:ascii="黑体" w:hAnsi="黑体" w:eastAsia="黑体" w:cs="黑体"/>
                <w:b w:val="0"/>
                <w:bCs/>
                <w:color w:val="000000"/>
                <w:sz w:val="32"/>
                <w:szCs w:val="32"/>
              </w:rPr>
              <w:t>专栏4-2</w:t>
            </w:r>
            <w:r>
              <w:rPr>
                <w:rFonts w:hint="eastAsia" w:ascii="黑体" w:hAnsi="黑体" w:eastAsia="黑体" w:cs="黑体"/>
                <w:b w:val="0"/>
                <w:bCs/>
                <w:color w:val="000000"/>
                <w:sz w:val="32"/>
                <w:szCs w:val="32"/>
                <w:lang w:val="en-US" w:eastAsia="zh-CN"/>
              </w:rPr>
              <w:t xml:space="preserve">  </w:t>
            </w:r>
            <w:r>
              <w:rPr>
                <w:rFonts w:hint="eastAsia" w:ascii="黑体" w:hAnsi="黑体" w:eastAsia="黑体" w:cs="黑体"/>
                <w:b w:val="0"/>
                <w:bCs/>
                <w:color w:val="000000"/>
                <w:sz w:val="32"/>
                <w:szCs w:val="32"/>
              </w:rPr>
              <w:t>重点专业口岸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kern w:val="0"/>
                <w:sz w:val="24"/>
                <w:szCs w:val="24"/>
              </w:rPr>
              <w:t>口岸名称</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kern w:val="0"/>
                <w:sz w:val="24"/>
                <w:szCs w:val="24"/>
              </w:rPr>
              <w:t>口岸类型</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spacing w:val="23"/>
                <w:kern w:val="0"/>
                <w:sz w:val="24"/>
                <w:szCs w:val="24"/>
              </w:rPr>
              <w:t>基础和特</w:t>
            </w:r>
            <w:r>
              <w:rPr>
                <w:rFonts w:hint="eastAsia" w:ascii="黑体" w:hAnsi="黑体" w:eastAsia="黑体" w:cs="黑体"/>
                <w:b w:val="0"/>
                <w:bCs/>
                <w:color w:val="000000"/>
                <w:kern w:val="0"/>
                <w:sz w:val="24"/>
                <w:szCs w:val="24"/>
              </w:rPr>
              <w:t>色</w:t>
            </w:r>
          </w:p>
        </w:tc>
        <w:tc>
          <w:tcPr>
            <w:tcW w:w="283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黑体" w:hAnsi="黑体" w:eastAsia="黑体" w:cs="黑体"/>
                <w:b w:val="0"/>
                <w:bCs/>
                <w:color w:val="000000"/>
                <w:kern w:val="0"/>
                <w:sz w:val="24"/>
                <w:szCs w:val="24"/>
              </w:rPr>
            </w:pPr>
            <w:r>
              <w:rPr>
                <w:rFonts w:hint="eastAsia" w:ascii="黑体" w:hAnsi="黑体" w:eastAsia="黑体" w:cs="黑体"/>
                <w:b w:val="0"/>
                <w:bCs/>
                <w:color w:val="000000"/>
                <w:kern w:val="0"/>
                <w:sz w:val="24"/>
                <w:szCs w:val="24"/>
              </w:rPr>
              <w:t>功</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能</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定</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70" w:hRule="atLeast"/>
          <w:jc w:val="center"/>
        </w:trPr>
        <w:tc>
          <w:tcPr>
            <w:tcW w:w="18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甘其毛都</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铁路</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（规划）</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我国对蒙煤、铜贸易最大的口岸，辐射呼包鄂银榆城市群</w:t>
            </w:r>
          </w:p>
        </w:tc>
        <w:tc>
          <w:tcPr>
            <w:tcW w:w="283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以进口蒙古国煤、铜为主，成为贯通南北、横贯东西能源通道的重点专业口岸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5" w:hRule="atLeast"/>
          <w:jc w:val="center"/>
        </w:trPr>
        <w:tc>
          <w:tcPr>
            <w:tcW w:w="18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策克口岸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铁路</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（规划）</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西部重要的煤炭进口口岸，陕甘宁青四省区共有的唯一陆路口岸</w:t>
            </w:r>
          </w:p>
        </w:tc>
        <w:tc>
          <w:tcPr>
            <w:tcW w:w="283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以中国西部能源资源交易与物流为核心的重点专业口岸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50" w:hRule="atLeast"/>
          <w:jc w:val="center"/>
        </w:trPr>
        <w:tc>
          <w:tcPr>
            <w:tcW w:w="18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满</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都</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拉</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蒙古国矿产资源进口重要通道，服务包头工业基地</w:t>
            </w:r>
          </w:p>
        </w:tc>
        <w:tc>
          <w:tcPr>
            <w:tcW w:w="283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以煤炭、铁矿石等货物进口为主的重点专业口岸</w:t>
            </w:r>
          </w:p>
        </w:tc>
      </w:tr>
    </w:tbl>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641" w:firstLineChars="0"/>
        <w:jc w:val="both"/>
        <w:textAlignment w:val="auto"/>
        <w:outlineLvl w:val="9"/>
        <w:rPr>
          <w:rFonts w:hint="eastAsia" w:ascii="仿宋" w:hAnsi="仿宋" w:eastAsia="仿宋" w:cs="仿宋"/>
          <w:color w:val="000000"/>
          <w:sz w:val="32"/>
          <w:szCs w:val="32"/>
        </w:rPr>
      </w:pPr>
      <w:r>
        <w:rPr>
          <w:rFonts w:hint="eastAsia" w:ascii="仿宋" w:hAnsi="仿宋" w:eastAsia="仿宋" w:cs="仿宋"/>
          <w:color w:val="000000"/>
          <w:sz w:val="32"/>
          <w:szCs w:val="32"/>
        </w:rPr>
        <w:t>其</w:t>
      </w:r>
      <w:r>
        <w:rPr>
          <w:rFonts w:hint="eastAsia" w:ascii="仿宋" w:hAnsi="仿宋" w:eastAsia="仿宋" w:cs="仿宋"/>
          <w:color w:val="000000"/>
          <w:sz w:val="32"/>
          <w:szCs w:val="32"/>
          <w:lang w:eastAsia="zh-CN"/>
        </w:rPr>
        <w:t>他</w:t>
      </w:r>
      <w:r>
        <w:rPr>
          <w:rFonts w:hint="eastAsia" w:ascii="仿宋" w:hAnsi="仿宋" w:eastAsia="仿宋" w:cs="仿宋"/>
          <w:color w:val="000000"/>
          <w:sz w:val="32"/>
          <w:szCs w:val="32"/>
        </w:rPr>
        <w:t>为普通口岸，主要提供人员往来、货物贸易通关服务，重点补齐发展短板，做精做强口岸通道功能。</w:t>
      </w:r>
    </w:p>
    <w:tbl>
      <w:tblPr>
        <w:tblStyle w:val="14"/>
        <w:tblW w:w="9011" w:type="dxa"/>
        <w:jc w:val="center"/>
        <w:tblInd w:w="-79"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36"/>
        <w:gridCol w:w="1185"/>
        <w:gridCol w:w="3135"/>
        <w:gridCol w:w="285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74" w:hRule="atLeast"/>
          <w:jc w:val="center"/>
        </w:trPr>
        <w:tc>
          <w:tcPr>
            <w:tcW w:w="9011" w:type="dxa"/>
            <w:gridSpan w:val="4"/>
            <w:tcBorders>
              <w:tl2br w:val="nil"/>
              <w:tr2bl w:val="nil"/>
            </w:tcBorders>
            <w:noWrap w:val="0"/>
            <w:vAlign w:val="center"/>
          </w:tcPr>
          <w:p>
            <w:pPr>
              <w:pStyle w:val="21"/>
              <w:spacing w:line="340" w:lineRule="exact"/>
              <w:ind w:firstLine="0" w:firstLineChars="0"/>
              <w:jc w:val="center"/>
              <w:rPr>
                <w:rFonts w:eastAsia="楷体"/>
                <w:b/>
                <w:color w:val="000000"/>
                <w:sz w:val="21"/>
                <w:szCs w:val="21"/>
              </w:rPr>
            </w:pPr>
            <w:r>
              <w:rPr>
                <w:rFonts w:hint="eastAsia" w:ascii="黑体" w:hAnsi="黑体" w:eastAsia="黑体" w:cs="黑体"/>
                <w:b w:val="0"/>
                <w:bCs/>
                <w:color w:val="000000"/>
                <w:sz w:val="32"/>
                <w:szCs w:val="32"/>
              </w:rPr>
              <w:t>专栏4-3</w:t>
            </w:r>
            <w:r>
              <w:rPr>
                <w:rFonts w:hint="eastAsia" w:ascii="黑体" w:hAnsi="黑体" w:eastAsia="黑体" w:cs="黑体"/>
                <w:b w:val="0"/>
                <w:bCs/>
                <w:color w:val="000000"/>
                <w:sz w:val="32"/>
                <w:szCs w:val="32"/>
                <w:lang w:eastAsia="zh-CN"/>
              </w:rPr>
              <w:t xml:space="preserve"> </w:t>
            </w:r>
            <w:r>
              <w:rPr>
                <w:rFonts w:hint="eastAsia" w:ascii="黑体" w:hAnsi="黑体" w:eastAsia="黑体" w:cs="黑体"/>
                <w:b w:val="0"/>
                <w:bCs/>
                <w:color w:val="000000"/>
                <w:sz w:val="32"/>
                <w:szCs w:val="32"/>
                <w:lang w:val="en-US" w:eastAsia="zh-CN"/>
              </w:rPr>
              <w:t xml:space="preserve"> </w:t>
            </w:r>
            <w:r>
              <w:rPr>
                <w:rFonts w:hint="eastAsia" w:ascii="黑体" w:hAnsi="黑体" w:eastAsia="黑体" w:cs="黑体"/>
                <w:b w:val="0"/>
                <w:bCs/>
                <w:color w:val="000000"/>
                <w:sz w:val="32"/>
                <w:szCs w:val="32"/>
              </w:rPr>
              <w:t>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方正黑体_GBK" w:hAnsi="方正黑体_GBK" w:eastAsia="方正黑体_GBK" w:cs="方正黑体_GBK"/>
                <w:b w:val="0"/>
                <w:bCs/>
                <w:color w:val="000000"/>
                <w:kern w:val="0"/>
                <w:sz w:val="24"/>
                <w:szCs w:val="24"/>
              </w:rPr>
            </w:pPr>
            <w:r>
              <w:rPr>
                <w:rFonts w:hint="eastAsia" w:ascii="黑体" w:hAnsi="黑体" w:eastAsia="黑体" w:cs="黑体"/>
                <w:b w:val="0"/>
                <w:bCs/>
                <w:color w:val="000000"/>
                <w:kern w:val="0"/>
                <w:sz w:val="24"/>
                <w:szCs w:val="24"/>
              </w:rPr>
              <w:t>口岸名称</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方正黑体_GBK" w:hAnsi="方正黑体_GBK" w:eastAsia="方正黑体_GBK" w:cs="方正黑体_GBK"/>
                <w:b w:val="0"/>
                <w:bCs/>
                <w:color w:val="000000"/>
                <w:kern w:val="0"/>
                <w:sz w:val="24"/>
                <w:szCs w:val="24"/>
              </w:rPr>
            </w:pPr>
            <w:r>
              <w:rPr>
                <w:rFonts w:hint="eastAsia" w:ascii="黑体" w:hAnsi="黑体" w:eastAsia="黑体" w:cs="黑体"/>
                <w:b w:val="0"/>
                <w:bCs/>
                <w:color w:val="000000"/>
                <w:kern w:val="0"/>
                <w:sz w:val="24"/>
                <w:szCs w:val="24"/>
              </w:rPr>
              <w:t>口岸类型</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方正黑体_GBK" w:hAnsi="方正黑体_GBK" w:eastAsia="方正黑体_GBK" w:cs="方正黑体_GBK"/>
                <w:b w:val="0"/>
                <w:bCs/>
                <w:color w:val="000000"/>
                <w:kern w:val="0"/>
                <w:sz w:val="24"/>
                <w:szCs w:val="24"/>
              </w:rPr>
            </w:pPr>
            <w:r>
              <w:rPr>
                <w:rFonts w:hint="eastAsia" w:ascii="黑体" w:hAnsi="黑体" w:eastAsia="黑体" w:cs="黑体"/>
                <w:b w:val="0"/>
                <w:bCs/>
                <w:color w:val="000000"/>
                <w:spacing w:val="23"/>
                <w:kern w:val="0"/>
                <w:sz w:val="24"/>
                <w:szCs w:val="24"/>
              </w:rPr>
              <w:t>基础和特</w:t>
            </w:r>
            <w:r>
              <w:rPr>
                <w:rFonts w:hint="eastAsia" w:ascii="黑体" w:hAnsi="黑体" w:eastAsia="黑体" w:cs="黑体"/>
                <w:b w:val="0"/>
                <w:bCs/>
                <w:color w:val="000000"/>
                <w:kern w:val="0"/>
                <w:sz w:val="24"/>
                <w:szCs w:val="24"/>
              </w:rPr>
              <w:t>色</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方正黑体_GBK" w:hAnsi="方正黑体_GBK" w:eastAsia="方正黑体_GBK" w:cs="方正黑体_GBK"/>
                <w:b w:val="0"/>
                <w:bCs/>
                <w:color w:val="000000"/>
                <w:kern w:val="0"/>
                <w:sz w:val="24"/>
                <w:szCs w:val="24"/>
              </w:rPr>
            </w:pPr>
            <w:r>
              <w:rPr>
                <w:rFonts w:hint="eastAsia" w:ascii="黑体" w:hAnsi="黑体" w:eastAsia="黑体" w:cs="黑体"/>
                <w:b w:val="0"/>
                <w:bCs/>
                <w:color w:val="000000"/>
                <w:kern w:val="0"/>
                <w:sz w:val="24"/>
                <w:szCs w:val="24"/>
              </w:rPr>
              <w:t>功</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能</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定</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30"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室韦口岸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对俄公路口岸，进口为主，过货规模不大，口岸周边旅游资源丰富</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跨境旅游、边境贸易为主的普通口岸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70"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黑山头口岸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对俄公路口岸，进口为主，过货规模不大，口岸周边旅游资源丰富</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跨境旅游、边境贸易为主的普通口岸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00"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阿日哈沙特</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距蒙古国第二大城市乔巴山距离最近，客流为主、货流为辅</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对蒙人文交流和跨境旅游，对蒙生产生活物资出口为主的普通口岸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45"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额布都格</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口岸辐射的蒙古国东方省农畜资源丰富，粮食耕地面积400万亩</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边境贸易货物进出境、对蒙原油、煤炭进口为主的普通口岸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48"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阿</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尔</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山</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自然生态资源丰富，旅游资源丰富</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跨境旅游、人文交流为主的普通口岸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12"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珠恩嘎达布其</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铁路</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（规划）</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国际性陆路口岸，“锡赤通”向北开放的重要窗口</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主要以原油、饲草料进口为主的普通口岸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87"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黑体" w:hAnsi="黑体" w:eastAsia="黑体" w:cs="黑体"/>
                <w:b w:val="0"/>
                <w:bCs/>
                <w:color w:val="000000"/>
                <w:kern w:val="0"/>
                <w:sz w:val="24"/>
                <w:szCs w:val="24"/>
              </w:rPr>
              <w:t>口岸名称</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黑体" w:hAnsi="黑体" w:eastAsia="黑体" w:cs="黑体"/>
                <w:b w:val="0"/>
                <w:bCs/>
                <w:color w:val="000000"/>
                <w:kern w:val="0"/>
                <w:sz w:val="24"/>
                <w:szCs w:val="24"/>
              </w:rPr>
              <w:t>口岸类型</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黑体" w:hAnsi="黑体" w:eastAsia="黑体" w:cs="黑体"/>
                <w:b w:val="0"/>
                <w:bCs/>
                <w:color w:val="000000"/>
                <w:spacing w:val="23"/>
                <w:kern w:val="0"/>
                <w:sz w:val="24"/>
                <w:szCs w:val="24"/>
              </w:rPr>
              <w:t>基础和特</w:t>
            </w:r>
            <w:r>
              <w:rPr>
                <w:rFonts w:hint="eastAsia" w:ascii="黑体" w:hAnsi="黑体" w:eastAsia="黑体" w:cs="黑体"/>
                <w:b w:val="0"/>
                <w:bCs/>
                <w:color w:val="000000"/>
                <w:kern w:val="0"/>
                <w:sz w:val="24"/>
                <w:szCs w:val="24"/>
              </w:rPr>
              <w:t>色</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黑体" w:hAnsi="黑体" w:eastAsia="黑体" w:cs="黑体"/>
                <w:b w:val="0"/>
                <w:bCs/>
                <w:color w:val="000000"/>
                <w:kern w:val="0"/>
                <w:sz w:val="24"/>
                <w:szCs w:val="24"/>
              </w:rPr>
              <w:t>功</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能</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定</w:t>
            </w:r>
            <w:r>
              <w:rPr>
                <w:rFonts w:hint="eastAsia" w:ascii="黑体" w:hAnsi="黑体" w:eastAsia="黑体" w:cs="黑体"/>
                <w:b w:val="0"/>
                <w:bCs/>
                <w:color w:val="000000"/>
                <w:kern w:val="0"/>
                <w:sz w:val="24"/>
                <w:szCs w:val="24"/>
                <w:lang w:val="en-US" w:eastAsia="zh-CN"/>
              </w:rPr>
              <w:t xml:space="preserve"> </w:t>
            </w:r>
            <w:r>
              <w:rPr>
                <w:rFonts w:hint="eastAsia" w:ascii="黑体" w:hAnsi="黑体" w:eastAsia="黑体" w:cs="黑体"/>
                <w:b w:val="0"/>
                <w:bCs/>
                <w:color w:val="000000"/>
                <w:kern w:val="0"/>
                <w:sz w:val="24"/>
                <w:szCs w:val="24"/>
              </w:rPr>
              <w:t>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99"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乌</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力</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吉</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公路</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spacing w:val="-23"/>
                <w:kern w:val="0"/>
                <w:sz w:val="24"/>
                <w:szCs w:val="24"/>
              </w:rPr>
              <w:t>（建设中）</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对内辐射西北、西南等地区，服务国家西部陆海新通道</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以煤炭进口为主的普通口岸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549"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呼和浩特航空</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航空</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全区最大航空口岸，国际快件分拨中心，自治区航空枢纽，临空产业发展基地</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打造成我国向北开放重要国际航空枢纽口岸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81"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包头航空</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航空</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地处区内最大综合性工业城市</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联通华北和西北的区域性航空口岸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25"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鄂尔多斯航空</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航空</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口岸客运量增速较快，积极发展临空经济</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自治区航空重要节点，辐射带动蒙晋陕甘宁等西北地区发展的航空口岸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31" w:hRule="atLeast"/>
          <w:jc w:val="center"/>
        </w:trPr>
        <w:tc>
          <w:tcPr>
            <w:tcW w:w="18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海拉尔航空</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口</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岸</w:t>
            </w:r>
          </w:p>
        </w:tc>
        <w:tc>
          <w:tcPr>
            <w:tcW w:w="118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航空</w:t>
            </w:r>
          </w:p>
        </w:tc>
        <w:tc>
          <w:tcPr>
            <w:tcW w:w="313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交通便捷，面向俄蒙地区、连接东北亚的重要航空节点</w:t>
            </w:r>
          </w:p>
        </w:tc>
        <w:tc>
          <w:tcPr>
            <w:tcW w:w="2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以商贸旅游为主，持续发展客货运的航空口岸</w:t>
            </w:r>
          </w:p>
        </w:tc>
      </w:tr>
    </w:tbl>
    <w:p>
      <w:pPr>
        <w:keepNext w:val="0"/>
        <w:keepLines w:val="0"/>
        <w:pageBreakBefore w:val="0"/>
        <w:widowControl w:val="0"/>
        <w:kinsoku/>
        <w:wordWrap/>
        <w:overflowPunct/>
        <w:topLinePunct/>
        <w:autoSpaceDE/>
        <w:autoSpaceDN/>
        <w:bidi w:val="0"/>
        <w:adjustRightInd/>
        <w:snapToGrid/>
        <w:spacing w:line="580" w:lineRule="exact"/>
        <w:ind w:right="0" w:rightChars="0" w:firstLine="640" w:firstLineChars="200"/>
        <w:jc w:val="both"/>
        <w:textAlignment w:val="auto"/>
        <w:outlineLvl w:val="9"/>
        <w:rPr>
          <w:rFonts w:hint="eastAsia" w:ascii="仿宋" w:hAnsi="仿宋" w:eastAsia="仿宋" w:cs="仿宋"/>
          <w:bCs/>
          <w:color w:val="000000"/>
          <w:sz w:val="32"/>
          <w:szCs w:val="32"/>
        </w:rPr>
      </w:pPr>
      <w:r>
        <w:rPr>
          <w:rFonts w:hint="eastAsia" w:ascii="仿宋" w:hAnsi="仿宋" w:eastAsia="仿宋" w:cs="仿宋"/>
          <w:b w:val="0"/>
          <w:i w:val="0"/>
          <w:caps w:val="0"/>
          <w:color w:val="000000"/>
          <w:spacing w:val="0"/>
          <w:w w:val="100"/>
          <w:sz w:val="32"/>
          <w:szCs w:val="32"/>
        </w:rPr>
        <w:t>“十四五”时期，原则上不再申请开放对俄蒙的公路口岸，确因国家及自治区发展需要的，需进行充分论证。重点推动甘其毛都—嘎顺苏海图、策克—西伯库伦、珠恩嘎达布其—毕其格图三大铁路口岸建设，根据发展要求，积极为满都拉铁路口岸开放创造条件。实现阿尔山公路口岸常年开放，尽快完善乌力吉口岸基础设施建设，实现早日开放。</w:t>
      </w:r>
    </w:p>
    <w:p>
      <w:pPr>
        <w:pStyle w:val="2"/>
        <w:ind w:firstLine="0" w:firstLineChars="0"/>
        <w:jc w:val="both"/>
        <w:rPr>
          <w:rFonts w:hint="eastAsia" w:ascii="Times New Roman" w:hAnsi="Times New Roman" w:eastAsia="仿宋" w:cs="Times New Roman"/>
          <w:bCs/>
          <w:color w:val="000000"/>
          <w:szCs w:val="32"/>
          <w:lang w:eastAsia="zh-CN"/>
        </w:rPr>
      </w:pPr>
    </w:p>
    <w:p>
      <w:pPr>
        <w:pStyle w:val="2"/>
        <w:ind w:firstLine="0" w:firstLineChars="0"/>
        <w:jc w:val="both"/>
        <w:rPr>
          <w:rFonts w:hint="eastAsia" w:ascii="Times New Roman" w:hAnsi="Times New Roman" w:eastAsia="仿宋" w:cs="Times New Roman"/>
          <w:bCs/>
          <w:color w:val="000000"/>
          <w:szCs w:val="32"/>
          <w:lang w:eastAsia="zh-CN"/>
        </w:rPr>
      </w:pPr>
    </w:p>
    <w:p>
      <w:pPr>
        <w:pStyle w:val="2"/>
        <w:ind w:firstLine="0" w:firstLineChars="0"/>
        <w:jc w:val="both"/>
        <w:rPr>
          <w:rFonts w:hint="eastAsia" w:ascii="Times New Roman" w:hAnsi="Times New Roman" w:eastAsia="仿宋" w:cs="Times New Roman"/>
          <w:bCs/>
          <w:color w:val="000000"/>
          <w:szCs w:val="32"/>
          <w:lang w:eastAsia="zh-CN"/>
        </w:rPr>
      </w:pPr>
    </w:p>
    <w:p>
      <w:pPr>
        <w:pStyle w:val="2"/>
        <w:ind w:firstLine="0" w:firstLineChars="0"/>
        <w:jc w:val="both"/>
        <w:rPr>
          <w:rFonts w:hint="eastAsia" w:ascii="Times New Roman" w:hAnsi="Times New Roman" w:eastAsia="仿宋" w:cs="Times New Roman"/>
          <w:bCs/>
          <w:color w:val="000000"/>
          <w:szCs w:val="32"/>
          <w:lang w:eastAsia="zh-CN"/>
        </w:rPr>
      </w:pPr>
      <w:r>
        <w:rPr>
          <w:rFonts w:hint="eastAsia" w:ascii="Times New Roman" w:hAnsi="Times New Roman" w:eastAsia="仿宋" w:cs="Times New Roman"/>
          <w:bCs/>
          <w:color w:val="000000"/>
          <w:szCs w:val="32"/>
          <w:lang w:eastAsia="zh-CN"/>
        </w:rPr>
        <w:drawing>
          <wp:inline distT="0" distB="0" distL="114300" distR="114300">
            <wp:extent cx="5618480" cy="3846195"/>
            <wp:effectExtent l="0" t="0" r="1270" b="1905"/>
            <wp:docPr id="2" name="图片 7" descr="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84-2"/>
                    <pic:cNvPicPr>
                      <a:picLocks noChangeAspect="1"/>
                    </pic:cNvPicPr>
                  </pic:nvPicPr>
                  <pic:blipFill>
                    <a:blip r:embed="rId9"/>
                    <a:stretch>
                      <a:fillRect/>
                    </a:stretch>
                  </pic:blipFill>
                  <pic:spPr>
                    <a:xfrm>
                      <a:off x="0" y="0"/>
                      <a:ext cx="5618480" cy="3846195"/>
                    </a:xfrm>
                    <a:prstGeom prst="rect">
                      <a:avLst/>
                    </a:prstGeom>
                    <a:noFill/>
                    <a:ln>
                      <a:noFill/>
                    </a:ln>
                  </pic:spPr>
                </pic:pic>
              </a:graphicData>
            </a:graphic>
          </wp:inline>
        </w:drawing>
      </w:r>
    </w:p>
    <w:p>
      <w:pPr>
        <w:pStyle w:val="2"/>
        <w:keepNext w:val="0"/>
        <w:keepLines w:val="0"/>
        <w:pageBreakBefore w:val="0"/>
        <w:widowControl w:val="0"/>
        <w:kinsoku/>
        <w:wordWrap/>
        <w:overflowPunct/>
        <w:topLinePunct/>
        <w:autoSpaceDE/>
        <w:autoSpaceDN/>
        <w:bidi w:val="0"/>
        <w:adjustRightInd/>
        <w:snapToGrid/>
        <w:spacing w:after="0" w:line="580" w:lineRule="exact"/>
        <w:ind w:left="0" w:leftChars="0" w:right="0" w:rightChars="0" w:firstLine="0" w:firstLineChars="0"/>
        <w:jc w:val="center"/>
        <w:textAlignment w:val="auto"/>
        <w:rPr>
          <w:rFonts w:hint="eastAsia" w:ascii="黑体" w:hAnsi="黑体" w:eastAsia="黑体" w:cs="黑体"/>
          <w:bCs/>
          <w:color w:val="000000"/>
          <w:sz w:val="32"/>
          <w:szCs w:val="32"/>
        </w:rPr>
      </w:pPr>
      <w:r>
        <w:rPr>
          <w:rFonts w:hint="eastAsia" w:ascii="黑体" w:hAnsi="黑体" w:eastAsia="黑体" w:cs="黑体"/>
          <w:bCs/>
          <w:color w:val="000000"/>
          <w:sz w:val="32"/>
          <w:szCs w:val="32"/>
        </w:rPr>
        <w:t>图2</w:t>
      </w:r>
      <w:r>
        <w:rPr>
          <w:rFonts w:hint="eastAsia" w:ascii="黑体" w:hAnsi="黑体" w:eastAsia="黑体" w:cs="黑体"/>
          <w:bCs/>
          <w:color w:val="000000"/>
          <w:sz w:val="32"/>
          <w:szCs w:val="32"/>
          <w:lang w:val="en-US" w:eastAsia="zh-CN"/>
        </w:rPr>
        <w:t xml:space="preserve">  </w:t>
      </w:r>
      <w:r>
        <w:rPr>
          <w:rFonts w:hint="eastAsia" w:ascii="黑体" w:hAnsi="黑体" w:eastAsia="黑体" w:cs="黑体"/>
          <w:bCs/>
          <w:color w:val="000000"/>
          <w:sz w:val="32"/>
          <w:szCs w:val="32"/>
        </w:rPr>
        <w:t>拟新开口岸发展示意图</w:t>
      </w:r>
    </w:p>
    <w:p>
      <w:pPr>
        <w:pStyle w:val="4"/>
        <w:keepNext w:val="0"/>
        <w:keepLines w:val="0"/>
        <w:pageBreakBefore w:val="0"/>
        <w:widowControl w:val="0"/>
        <w:kinsoku/>
        <w:wordWrap/>
        <w:overflowPunct/>
        <w:topLinePunct/>
        <w:autoSpaceDE/>
        <w:autoSpaceDN/>
        <w:bidi w:val="0"/>
        <w:adjustRightInd/>
        <w:snapToGrid/>
        <w:spacing w:before="0" w:after="0" w:line="580" w:lineRule="exact"/>
        <w:ind w:left="0" w:leftChars="0" w:right="0" w:rightChars="0" w:firstLine="643"/>
        <w:textAlignment w:val="auto"/>
        <w:rPr>
          <w:rFonts w:hint="eastAsia" w:ascii="仿宋" w:hAnsi="仿宋" w:eastAsia="仿宋" w:cs="仿宋"/>
          <w:color w:val="FF0000"/>
          <w:sz w:val="32"/>
          <w:szCs w:val="32"/>
        </w:rPr>
      </w:pPr>
      <w:r>
        <w:rPr>
          <w:rFonts w:hint="eastAsia" w:ascii="仿宋" w:hAnsi="仿宋" w:eastAsia="仿宋" w:cs="仿宋"/>
          <w:b w:val="0"/>
          <w:i w:val="0"/>
          <w:caps w:val="0"/>
          <w:color w:val="000000"/>
          <w:spacing w:val="0"/>
          <w:w w:val="100"/>
          <w:sz w:val="32"/>
          <w:szCs w:val="32"/>
          <w:lang w:val="en-US" w:eastAsia="zh-CN"/>
        </w:rPr>
        <w:t>2</w:t>
      </w:r>
      <w:r>
        <w:rPr>
          <w:rFonts w:hint="eastAsia" w:ascii="仿宋" w:hAnsi="仿宋" w:eastAsia="仿宋" w:cs="仿宋"/>
          <w:b w:val="0"/>
          <w:i w:val="0"/>
          <w:caps w:val="0"/>
          <w:color w:val="000000"/>
          <w:spacing w:val="0"/>
          <w:w w:val="100"/>
          <w:sz w:val="32"/>
          <w:szCs w:val="32"/>
          <w:lang w:eastAsia="zh-CN"/>
        </w:rPr>
        <w:t>.</w:t>
      </w:r>
      <w:r>
        <w:rPr>
          <w:rFonts w:hint="eastAsia" w:ascii="仿宋" w:hAnsi="仿宋" w:eastAsia="仿宋" w:cs="仿宋"/>
          <w:b w:val="0"/>
          <w:i w:val="0"/>
          <w:caps w:val="0"/>
          <w:color w:val="000000"/>
          <w:spacing w:val="0"/>
          <w:w w:val="100"/>
          <w:sz w:val="32"/>
          <w:szCs w:val="32"/>
        </w:rPr>
        <w:t>以呼和浩特新机场建设为契机，建设北方国际航空枢纽。结合自治区临空经济规划建设及呼包鄂乌一体化发展，以呼和浩特新机场为枢纽，以鄂尔多斯航空口岸、包头航空口岸、二连浩特航空口岸为支点，进一步优化全区航空口岸布局。巩固拓展国际客运航线，开拓货运航线，扩展与其他国家航空领域合作。以发展国际航空货邮运输为突破，促进航空物流快速持续发展，吸引国内外加工制造企业落户临空经济区</w:t>
      </w:r>
      <w:r>
        <w:rPr>
          <w:rFonts w:hint="eastAsia" w:ascii="仿宋" w:hAnsi="仿宋" w:eastAsia="仿宋" w:cs="仿宋"/>
          <w:b w:val="0"/>
          <w:i w:val="0"/>
          <w:caps w:val="0"/>
          <w:color w:val="auto"/>
          <w:spacing w:val="0"/>
          <w:w w:val="100"/>
          <w:sz w:val="32"/>
          <w:szCs w:val="32"/>
        </w:rPr>
        <w:t>。打造面向蒙、俄和欧洲，联动区内机场、国内机场的国际航空枢纽，</w:t>
      </w:r>
      <w:r>
        <w:rPr>
          <w:rFonts w:hint="eastAsia" w:ascii="仿宋" w:hAnsi="仿宋" w:eastAsia="仿宋" w:cs="仿宋"/>
          <w:b w:val="0"/>
          <w:i w:val="0"/>
          <w:caps w:val="0"/>
          <w:color w:val="auto"/>
          <w:spacing w:val="0"/>
          <w:w w:val="100"/>
          <w:sz w:val="32"/>
          <w:szCs w:val="32"/>
          <w:lang w:eastAsia="zh-CN"/>
        </w:rPr>
        <w:t>发展</w:t>
      </w:r>
      <w:r>
        <w:rPr>
          <w:rFonts w:hint="eastAsia" w:ascii="仿宋" w:hAnsi="仿宋" w:eastAsia="仿宋" w:cs="仿宋"/>
          <w:b w:val="0"/>
          <w:i w:val="0"/>
          <w:caps w:val="0"/>
          <w:color w:val="auto"/>
          <w:spacing w:val="0"/>
          <w:w w:val="100"/>
          <w:sz w:val="32"/>
          <w:szCs w:val="32"/>
        </w:rPr>
        <w:t>成为我国北方区域性向北开放空中门户。</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rPr>
      </w:pPr>
      <w:r>
        <w:rPr>
          <w:rFonts w:hint="eastAsia" w:ascii="楷体" w:hAnsi="楷体" w:eastAsia="楷体" w:cs="楷体"/>
          <w:b w:val="0"/>
          <w:bCs w:val="0"/>
          <w:color w:val="000000"/>
          <w:sz w:val="32"/>
          <w:szCs w:val="32"/>
          <w:lang w:eastAsia="zh-CN"/>
        </w:rPr>
        <w:t>第二节</w:t>
      </w:r>
      <w:r>
        <w:rPr>
          <w:rFonts w:hint="eastAsia" w:ascii="楷体" w:hAnsi="楷体" w:eastAsia="楷体" w:cs="楷体"/>
          <w:b w:val="0"/>
          <w:bCs w:val="0"/>
          <w:color w:val="000000"/>
          <w:sz w:val="32"/>
          <w:szCs w:val="32"/>
          <w:lang w:val="en-US" w:eastAsia="zh-CN"/>
        </w:rPr>
        <w:t xml:space="preserve">  </w:t>
      </w:r>
      <w:r>
        <w:rPr>
          <w:rFonts w:hint="eastAsia" w:ascii="楷体" w:hAnsi="楷体" w:eastAsia="楷体" w:cs="楷体"/>
          <w:b w:val="0"/>
          <w:bCs w:val="0"/>
          <w:color w:val="000000"/>
          <w:sz w:val="32"/>
          <w:szCs w:val="32"/>
        </w:rPr>
        <w:t>完善口岸基础设施建设</w:t>
      </w:r>
    </w:p>
    <w:p>
      <w:pPr>
        <w:pStyle w:val="5"/>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textAlignment w:val="auto"/>
        <w:rPr>
          <w:rFonts w:hint="eastAsia" w:ascii="仿宋" w:hAnsi="仿宋" w:eastAsia="仿宋" w:cs="仿宋"/>
          <w:b w:val="0"/>
          <w:bCs w:val="0"/>
          <w:i w:val="0"/>
          <w:caps w:val="0"/>
          <w:color w:val="000000"/>
          <w:spacing w:val="0"/>
          <w:w w:val="100"/>
          <w:sz w:val="32"/>
          <w:szCs w:val="32"/>
          <w:lang w:bidi="mn-Mong-CN"/>
        </w:rPr>
      </w:pPr>
      <w:r>
        <w:rPr>
          <w:rFonts w:hint="eastAsia" w:ascii="仿宋" w:hAnsi="仿宋" w:eastAsia="仿宋" w:cs="仿宋"/>
          <w:b w:val="0"/>
          <w:bCs w:val="0"/>
          <w:i w:val="0"/>
          <w:caps w:val="0"/>
          <w:color w:val="000000"/>
          <w:spacing w:val="0"/>
          <w:w w:val="100"/>
          <w:sz w:val="32"/>
          <w:szCs w:val="32"/>
          <w:lang w:val="en-US" w:eastAsia="zh-CN" w:bidi="mn-Mong-CN"/>
        </w:rPr>
        <w:t>1.</w:t>
      </w:r>
      <w:r>
        <w:rPr>
          <w:rFonts w:hint="eastAsia" w:ascii="仿宋" w:hAnsi="仿宋" w:eastAsia="仿宋" w:cs="仿宋"/>
          <w:b w:val="0"/>
          <w:bCs w:val="0"/>
          <w:i w:val="0"/>
          <w:caps w:val="0"/>
          <w:color w:val="000000"/>
          <w:spacing w:val="0"/>
          <w:w w:val="100"/>
          <w:sz w:val="32"/>
          <w:szCs w:val="32"/>
          <w:lang w:bidi="mn-Mong-CN"/>
        </w:rPr>
        <w:t>提升口岸基础设施建设水平。紧抓国家推动“两重一新”建设的重大机遇，加快打通制约口岸高质量发展的基础设施瓶颈；严格按照《国家口岸查验基础设施建设标准》开展查验基础设施建设，根据发展需求对现有基础设施进行有序改善、统筹利用、升级改造。重点抓好公路、铁路、航空口岸功能、产业、物流体系配套基础设施建设。积极推进策克、甘其毛都、珠恩嘎达布其铁路口岸项目建设。推进呼和浩特新机场项目建设。推进满洲里口岸跨境电商边境仓、国际航空快件处理中心项目建设。不断增强口岸承载能力，推进二连浩特铁路口岸场站改造和中欧班列集装箱集拼集散中心项目、二连浩特智慧口岸功能提升项目建设。积极推动建设满洲里口岸、二连浩特口岸或集宁铁路枢纽建设进出口货物集拼集散中心。加快推进连接满洲里、二连浩特、甘其毛都口岸高等级公路项目建设进程。支持具备条件的口岸建设智能跨境空轨运输项目和推动公路口岸无人驾驶运输，创新跨境运输模式。推进国际快件监管中心和国际邮件互换局（交换站）建设。推动中国联通中蒙（二连浩特）、中国电信中俄（满洲里）跨境陆缆传输系统建设。积极对接俄蒙，共同推进边境口岸通关能力对等提升。</w:t>
      </w:r>
    </w:p>
    <w:p>
      <w:pPr>
        <w:rPr>
          <w:rFonts w:hint="eastAsia" w:ascii="仿宋" w:hAnsi="仿宋" w:eastAsia="仿宋" w:cs="仿宋"/>
          <w:b w:val="0"/>
          <w:bCs w:val="0"/>
          <w:i w:val="0"/>
          <w:caps w:val="0"/>
          <w:color w:val="000000"/>
          <w:spacing w:val="0"/>
          <w:w w:val="100"/>
          <w:sz w:val="32"/>
          <w:szCs w:val="32"/>
          <w:lang w:bidi="mn-Mong-CN"/>
        </w:rPr>
      </w:pPr>
    </w:p>
    <w:p>
      <w:pPr>
        <w:pStyle w:val="2"/>
        <w:rPr>
          <w:rFonts w:hint="eastAsia" w:ascii="仿宋" w:hAnsi="仿宋" w:eastAsia="仿宋" w:cs="仿宋"/>
          <w:b w:val="0"/>
          <w:bCs w:val="0"/>
          <w:i w:val="0"/>
          <w:caps w:val="0"/>
          <w:color w:val="000000"/>
          <w:spacing w:val="0"/>
          <w:w w:val="100"/>
          <w:sz w:val="32"/>
          <w:szCs w:val="32"/>
          <w:lang w:bidi="mn-Mong-CN"/>
        </w:rPr>
      </w:pPr>
    </w:p>
    <w:tbl>
      <w:tblPr>
        <w:tblStyle w:val="15"/>
        <w:tblW w:w="8911" w:type="dxa"/>
        <w:jc w:val="center"/>
        <w:tblInd w:w="-389"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61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911" w:type="dxa"/>
            <w:gridSpan w:val="2"/>
            <w:tcBorders>
              <w:tl2br w:val="nil"/>
              <w:tr2bl w:val="nil"/>
            </w:tcBorders>
            <w:noWrap w:val="0"/>
            <w:vAlign w:val="center"/>
          </w:tcPr>
          <w:p>
            <w:pPr>
              <w:spacing w:line="360" w:lineRule="auto"/>
              <w:ind w:firstLine="0" w:firstLineChars="0"/>
              <w:jc w:val="center"/>
              <w:rPr>
                <w:rFonts w:ascii="Times New Roman" w:hAnsi="Times New Roman" w:eastAsia="仿宋" w:cs="Times New Roman"/>
                <w:b/>
                <w:color w:val="000000"/>
                <w:sz w:val="32"/>
                <w:szCs w:val="21"/>
              </w:rPr>
            </w:pPr>
            <w:r>
              <w:rPr>
                <w:rFonts w:hint="eastAsia" w:ascii="黑体" w:hAnsi="黑体" w:eastAsia="黑体" w:cs="黑体"/>
                <w:b w:val="0"/>
                <w:bCs/>
                <w:snapToGrid w:val="0"/>
                <w:color w:val="000000"/>
                <w:kern w:val="0"/>
                <w:sz w:val="32"/>
                <w:szCs w:val="32"/>
              </w:rPr>
              <w:t>专栏4-4</w:t>
            </w:r>
            <w:r>
              <w:rPr>
                <w:rFonts w:hint="eastAsia" w:ascii="黑体" w:hAnsi="黑体" w:eastAsia="黑体" w:cs="黑体"/>
                <w:b w:val="0"/>
                <w:bCs/>
                <w:snapToGrid w:val="0"/>
                <w:color w:val="000000"/>
                <w:kern w:val="0"/>
                <w:sz w:val="32"/>
                <w:szCs w:val="32"/>
                <w:lang w:val="en-US" w:eastAsia="zh-CN"/>
              </w:rPr>
              <w:t xml:space="preserve">  </w:t>
            </w:r>
            <w:r>
              <w:rPr>
                <w:rFonts w:hint="eastAsia" w:ascii="黑体" w:hAnsi="黑体" w:eastAsia="黑体" w:cs="黑体"/>
                <w:b w:val="0"/>
                <w:bCs/>
                <w:snapToGrid w:val="0"/>
                <w:color w:val="000000"/>
                <w:kern w:val="0"/>
                <w:sz w:val="32"/>
                <w:szCs w:val="32"/>
              </w:rPr>
              <w:t>“十四五”口岸重点建设项目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911" w:type="dxa"/>
            <w:gridSpan w:val="2"/>
            <w:tcBorders>
              <w:tl2br w:val="nil"/>
              <w:tr2bl w:val="nil"/>
            </w:tcBorders>
            <w:noWrap w:val="0"/>
            <w:vAlign w:val="center"/>
          </w:tcPr>
          <w:p>
            <w:pPr>
              <w:spacing w:line="360" w:lineRule="auto"/>
              <w:ind w:firstLine="360" w:firstLineChars="150"/>
              <w:jc w:val="left"/>
              <w:rPr>
                <w:rFonts w:hint="eastAsia" w:ascii="宋体" w:hAnsi="宋体" w:eastAsia="宋体" w:cs="宋体"/>
                <w:b/>
                <w:snapToGrid w:val="0"/>
                <w:color w:val="000000"/>
                <w:kern w:val="0"/>
                <w:sz w:val="24"/>
                <w:szCs w:val="24"/>
              </w:rPr>
            </w:pPr>
            <w:r>
              <w:rPr>
                <w:rFonts w:hint="eastAsia" w:ascii="宋体" w:hAnsi="宋体" w:eastAsia="宋体" w:cs="宋体"/>
                <w:color w:val="000000"/>
                <w:sz w:val="24"/>
                <w:szCs w:val="24"/>
              </w:rPr>
              <w:t>“十四五”时期，全区口岸拟建13个重点项目，项目拟投资约需21亿元，其中综合枢纽口岸建设项目3项、重点专业口岸建设项目4项、普通口岸建设项目6项。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tcBorders>
              <w:tl2br w:val="nil"/>
              <w:tr2bl w:val="nil"/>
            </w:tcBorders>
            <w:noWrap w:val="0"/>
            <w:vAlign w:val="center"/>
          </w:tcPr>
          <w:p>
            <w:pPr>
              <w:spacing w:line="360" w:lineRule="auto"/>
              <w:ind w:firstLine="0" w:firstLineChars="0"/>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所在口岸</w:t>
            </w:r>
          </w:p>
        </w:tc>
        <w:tc>
          <w:tcPr>
            <w:tcW w:w="6146" w:type="dxa"/>
            <w:tcBorders>
              <w:tl2br w:val="nil"/>
              <w:tr2bl w:val="nil"/>
            </w:tcBorders>
            <w:noWrap w:val="0"/>
            <w:vAlign w:val="center"/>
          </w:tcPr>
          <w:p>
            <w:pPr>
              <w:spacing w:line="360" w:lineRule="auto"/>
              <w:ind w:firstLine="0" w:firstLineChars="0"/>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项</w:t>
            </w:r>
            <w:r>
              <w:rPr>
                <w:rFonts w:hint="eastAsia" w:ascii="黑体" w:hAnsi="黑体" w:eastAsia="黑体" w:cs="黑体"/>
                <w:b w:val="0"/>
                <w:bCs/>
                <w:color w:val="000000"/>
                <w:sz w:val="24"/>
                <w:szCs w:val="24"/>
                <w:lang w:val="en-US" w:eastAsia="zh-CN"/>
              </w:rPr>
              <w:t xml:space="preserve">   </w:t>
            </w:r>
            <w:r>
              <w:rPr>
                <w:rFonts w:hint="eastAsia" w:ascii="黑体" w:hAnsi="黑体" w:eastAsia="黑体" w:cs="黑体"/>
                <w:b w:val="0"/>
                <w:bCs/>
                <w:color w:val="000000"/>
                <w:sz w:val="24"/>
                <w:szCs w:val="24"/>
              </w:rPr>
              <w:t>目</w:t>
            </w:r>
            <w:r>
              <w:rPr>
                <w:rFonts w:hint="eastAsia" w:ascii="黑体" w:hAnsi="黑体" w:eastAsia="黑体" w:cs="黑体"/>
                <w:b w:val="0"/>
                <w:bCs/>
                <w:color w:val="000000"/>
                <w:sz w:val="24"/>
                <w:szCs w:val="24"/>
                <w:lang w:val="en-US" w:eastAsia="zh-CN"/>
              </w:rPr>
              <w:t xml:space="preserve">   </w:t>
            </w:r>
            <w:r>
              <w:rPr>
                <w:rFonts w:hint="eastAsia" w:ascii="黑体" w:hAnsi="黑体" w:eastAsia="黑体" w:cs="黑体"/>
                <w:b w:val="0"/>
                <w:bCs/>
                <w:color w:val="000000"/>
                <w:sz w:val="24"/>
                <w:szCs w:val="24"/>
              </w:rPr>
              <w:t>名</w:t>
            </w:r>
            <w:r>
              <w:rPr>
                <w:rFonts w:hint="eastAsia" w:ascii="黑体" w:hAnsi="黑体" w:eastAsia="黑体" w:cs="黑体"/>
                <w:b w:val="0"/>
                <w:bCs/>
                <w:color w:val="000000"/>
                <w:sz w:val="24"/>
                <w:szCs w:val="24"/>
                <w:lang w:val="en-US" w:eastAsia="zh-CN"/>
              </w:rPr>
              <w:t xml:space="preserve">   </w:t>
            </w:r>
            <w:r>
              <w:rPr>
                <w:rFonts w:hint="eastAsia" w:ascii="黑体" w:hAnsi="黑体" w:eastAsia="黑体" w:cs="黑体"/>
                <w:b w:val="0"/>
                <w:bCs/>
                <w:color w:val="000000"/>
                <w:sz w:val="24"/>
                <w:szCs w:val="24"/>
              </w:rPr>
              <w:t>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vMerge w:val="restart"/>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pacing w:val="34"/>
                <w:sz w:val="24"/>
                <w:szCs w:val="24"/>
              </w:rPr>
              <w:t>满洲里</w:t>
            </w:r>
            <w:r>
              <w:rPr>
                <w:rFonts w:hint="eastAsia" w:ascii="宋体" w:hAnsi="宋体" w:eastAsia="宋体" w:cs="宋体"/>
                <w:color w:val="000000"/>
                <w:sz w:val="24"/>
                <w:szCs w:val="24"/>
              </w:rPr>
              <w:t>口岸</w:t>
            </w:r>
          </w:p>
        </w:tc>
        <w:tc>
          <w:tcPr>
            <w:tcW w:w="61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满洲里公路口岸货运场区联检查验楼项目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vMerge w:val="continue"/>
            <w:tcBorders>
              <w:tl2br w:val="nil"/>
              <w:tr2bl w:val="nil"/>
            </w:tcBorders>
            <w:noWrap w:val="0"/>
            <w:vAlign w:val="center"/>
          </w:tcPr>
          <w:p>
            <w:pPr>
              <w:spacing w:line="360" w:lineRule="auto"/>
              <w:ind w:firstLine="199" w:firstLineChars="83"/>
              <w:jc w:val="center"/>
              <w:rPr>
                <w:rFonts w:hint="eastAsia" w:ascii="宋体" w:hAnsi="宋体" w:eastAsia="宋体" w:cs="宋体"/>
                <w:color w:val="000000"/>
                <w:sz w:val="24"/>
                <w:szCs w:val="24"/>
              </w:rPr>
            </w:pPr>
          </w:p>
        </w:tc>
        <w:tc>
          <w:tcPr>
            <w:tcW w:w="61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满洲里口岸跨境电商边境仓项目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z w:val="24"/>
                <w:szCs w:val="24"/>
              </w:rPr>
              <w:t>二连浩特口岸</w:t>
            </w:r>
          </w:p>
        </w:tc>
        <w:tc>
          <w:tcPr>
            <w:tcW w:w="61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二连浩特铁路口岸场站改造和提升项目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vMerge w:val="restart"/>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z w:val="24"/>
                <w:szCs w:val="24"/>
              </w:rPr>
              <w:t>甘其毛都口岸</w:t>
            </w:r>
          </w:p>
        </w:tc>
        <w:tc>
          <w:tcPr>
            <w:tcW w:w="61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甘其毛都口岸进口产品存储场所项目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vMerge w:val="continue"/>
            <w:tcBorders>
              <w:tl2br w:val="nil"/>
              <w:tr2bl w:val="nil"/>
            </w:tcBorders>
            <w:noWrap w:val="0"/>
            <w:vAlign w:val="center"/>
          </w:tcPr>
          <w:p>
            <w:pPr>
              <w:pStyle w:val="2"/>
              <w:ind w:firstLine="0" w:firstLineChars="0"/>
              <w:jc w:val="center"/>
              <w:rPr>
                <w:rFonts w:hint="eastAsia" w:ascii="宋体" w:hAnsi="宋体" w:eastAsia="宋体" w:cs="宋体"/>
                <w:color w:val="000000"/>
                <w:sz w:val="24"/>
                <w:szCs w:val="24"/>
              </w:rPr>
            </w:pPr>
          </w:p>
        </w:tc>
        <w:tc>
          <w:tcPr>
            <w:tcW w:w="614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甘其毛都铁路口岸建设项目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jc w:val="center"/>
        </w:trPr>
        <w:tc>
          <w:tcPr>
            <w:tcW w:w="2765" w:type="dxa"/>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pacing w:val="85"/>
                <w:sz w:val="24"/>
                <w:szCs w:val="24"/>
              </w:rPr>
              <w:t>策克口</w:t>
            </w:r>
            <w:r>
              <w:rPr>
                <w:rFonts w:hint="eastAsia" w:ascii="宋体" w:hAnsi="宋体" w:eastAsia="宋体" w:cs="宋体"/>
                <w:color w:val="000000"/>
                <w:sz w:val="24"/>
                <w:szCs w:val="24"/>
              </w:rPr>
              <w:t>岸</w:t>
            </w:r>
          </w:p>
        </w:tc>
        <w:tc>
          <w:tcPr>
            <w:tcW w:w="614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策克铁路口岸查验基础设施建设项目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1" w:hRule="atLeast"/>
          <w:jc w:val="center"/>
        </w:trPr>
        <w:tc>
          <w:tcPr>
            <w:tcW w:w="2765" w:type="dxa"/>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pacing w:val="34"/>
                <w:sz w:val="24"/>
                <w:szCs w:val="24"/>
              </w:rPr>
              <w:t>满都拉口</w:t>
            </w:r>
            <w:r>
              <w:rPr>
                <w:rFonts w:hint="eastAsia" w:ascii="宋体" w:hAnsi="宋体" w:eastAsia="宋体" w:cs="宋体"/>
                <w:color w:val="000000"/>
                <w:sz w:val="24"/>
                <w:szCs w:val="24"/>
              </w:rPr>
              <w:t>岸</w:t>
            </w:r>
          </w:p>
        </w:tc>
        <w:tc>
          <w:tcPr>
            <w:tcW w:w="6146" w:type="dxa"/>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满都拉口岸智能物流园区建设项目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pacing w:val="85"/>
                <w:sz w:val="24"/>
                <w:szCs w:val="24"/>
              </w:rPr>
              <w:t>室韦口</w:t>
            </w:r>
            <w:r>
              <w:rPr>
                <w:rFonts w:hint="eastAsia" w:ascii="宋体" w:hAnsi="宋体" w:eastAsia="宋体" w:cs="宋体"/>
                <w:color w:val="000000"/>
                <w:sz w:val="24"/>
                <w:szCs w:val="24"/>
              </w:rPr>
              <w:t>岸</w:t>
            </w:r>
          </w:p>
        </w:tc>
        <w:tc>
          <w:tcPr>
            <w:tcW w:w="61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室韦口岸界河桥项目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z w:val="24"/>
                <w:szCs w:val="24"/>
              </w:rPr>
              <w:t>额布都格口岸</w:t>
            </w:r>
          </w:p>
        </w:tc>
        <w:tc>
          <w:tcPr>
            <w:tcW w:w="614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额布都格口岸界河2号桥建设项目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z w:val="24"/>
                <w:szCs w:val="24"/>
              </w:rPr>
              <w:t>阿日哈沙特口岸</w:t>
            </w:r>
          </w:p>
        </w:tc>
        <w:tc>
          <w:tcPr>
            <w:tcW w:w="61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阿日哈沙特口岸新建国门及其附属设施建设项目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tcBorders>
              <w:tl2br w:val="nil"/>
              <w:tr2bl w:val="nil"/>
            </w:tcBorders>
            <w:noWrap w:val="0"/>
            <w:vAlign w:val="center"/>
          </w:tcPr>
          <w:p>
            <w:pPr>
              <w:pStyle w:val="2"/>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z w:val="24"/>
                <w:szCs w:val="24"/>
              </w:rPr>
              <w:t>珠恩嘎达布其口岸</w:t>
            </w:r>
          </w:p>
        </w:tc>
        <w:tc>
          <w:tcPr>
            <w:tcW w:w="6146" w:type="dxa"/>
            <w:tcBorders>
              <w:tl2br w:val="nil"/>
              <w:tr2bl w:val="nil"/>
            </w:tcBorders>
            <w:noWrap w:val="0"/>
            <w:vAlign w:val="center"/>
          </w:tcPr>
          <w:p>
            <w:pPr>
              <w:pStyle w:val="2"/>
              <w:keepNext w:val="0"/>
              <w:keepLines w:val="0"/>
              <w:pageBreakBefore w:val="0"/>
              <w:kinsoku/>
              <w:wordWrap/>
              <w:overflowPunct/>
              <w:topLinePunct w:val="0"/>
              <w:autoSpaceDE/>
              <w:autoSpaceDN/>
              <w:bidi w:val="0"/>
              <w:adjustRightInd/>
              <w:snapToGrid/>
              <w:spacing w:after="0"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珠恩嘎达布其铁路口岸建设项目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65" w:type="dxa"/>
            <w:tcBorders>
              <w:tl2br w:val="nil"/>
              <w:tr2bl w:val="nil"/>
            </w:tcBorders>
            <w:noWrap w:val="0"/>
            <w:vAlign w:val="center"/>
          </w:tcPr>
          <w:p>
            <w:pPr>
              <w:widowControl/>
              <w:spacing w:line="360" w:lineRule="auto"/>
              <w:ind w:firstLine="0" w:firstLine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鄂尔多斯航空口岸</w:t>
            </w:r>
          </w:p>
        </w:tc>
        <w:tc>
          <w:tcPr>
            <w:tcW w:w="614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鄂尔多斯国际航空物流集散中心建设项目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1" w:hRule="atLeast"/>
          <w:jc w:val="center"/>
        </w:trPr>
        <w:tc>
          <w:tcPr>
            <w:tcW w:w="2765" w:type="dxa"/>
            <w:tcBorders>
              <w:tl2br w:val="nil"/>
              <w:tr2bl w:val="nil"/>
            </w:tcBorders>
            <w:noWrap w:val="0"/>
            <w:vAlign w:val="center"/>
          </w:tcPr>
          <w:p>
            <w:pPr>
              <w:spacing w:line="360" w:lineRule="auto"/>
              <w:ind w:firstLine="0" w:firstLineChars="0"/>
              <w:jc w:val="center"/>
              <w:rPr>
                <w:rFonts w:hint="eastAsia" w:ascii="宋体" w:hAnsi="宋体" w:eastAsia="宋体" w:cs="宋体"/>
                <w:color w:val="000000"/>
                <w:sz w:val="24"/>
                <w:szCs w:val="24"/>
              </w:rPr>
            </w:pPr>
            <w:r>
              <w:rPr>
                <w:rFonts w:hint="eastAsia" w:ascii="宋体" w:hAnsi="宋体" w:eastAsia="宋体" w:cs="宋体"/>
                <w:color w:val="000000"/>
                <w:spacing w:val="34"/>
                <w:sz w:val="24"/>
                <w:szCs w:val="24"/>
              </w:rPr>
              <w:t>乌力吉口</w:t>
            </w:r>
            <w:r>
              <w:rPr>
                <w:rFonts w:hint="eastAsia" w:ascii="宋体" w:hAnsi="宋体" w:eastAsia="宋体" w:cs="宋体"/>
                <w:color w:val="000000"/>
                <w:sz w:val="24"/>
                <w:szCs w:val="24"/>
              </w:rPr>
              <w:t>岸</w:t>
            </w:r>
          </w:p>
        </w:tc>
        <w:tc>
          <w:tcPr>
            <w:tcW w:w="61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乌力吉口岸智慧口岸建设项目</w:t>
            </w:r>
          </w:p>
        </w:tc>
      </w:tr>
    </w:tbl>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jc w:val="both"/>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lang w:val="en-US" w:eastAsia="zh-CN"/>
        </w:rPr>
        <w:t>2.</w:t>
      </w:r>
      <w:r>
        <w:rPr>
          <w:rFonts w:hint="eastAsia" w:ascii="仿宋" w:hAnsi="仿宋" w:eastAsia="仿宋" w:cs="仿宋"/>
          <w:b w:val="0"/>
          <w:i w:val="0"/>
          <w:caps w:val="0"/>
          <w:color w:val="000000"/>
          <w:spacing w:val="0"/>
          <w:w w:val="100"/>
          <w:sz w:val="32"/>
          <w:szCs w:val="32"/>
        </w:rPr>
        <w:t>全面推进口岸通关便利化建设。加强科技应用，发挥大数据作用，提升口岸信息技术应用水平与口岸信息化、智能化管理水平。在确保数据安全的基础上，整合汇集海关、边检、外汇、铁路、交通等相关数据，扩展电子口岸大数据平台统计分析功能，实现跨部门、跨行业、跨地区信息共享。加强“单一窗口”建设，集合口岸各应用功能板块，继续拓展国际贸易“单一窗口”标准版功能模块，实现口岸与贸易管理以及供应链的全覆盖，将“单一窗口”的功能覆盖海关特殊监管区域和跨境电子商务综合试验区，对接全国版电商线上综合服务平台，打造“一站式”贸易服务平台。</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jc w:val="both"/>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支持“智慧海关、智能边境、智享联通”合作倡议，推进与</w:t>
      </w:r>
      <w:r>
        <w:rPr>
          <w:rFonts w:hint="eastAsia" w:ascii="仿宋" w:hAnsi="仿宋" w:eastAsia="仿宋" w:cs="仿宋"/>
          <w:b w:val="0"/>
          <w:i w:val="0"/>
          <w:caps w:val="0"/>
          <w:color w:val="000000"/>
          <w:spacing w:val="-6"/>
          <w:w w:val="100"/>
          <w:sz w:val="32"/>
          <w:szCs w:val="32"/>
        </w:rPr>
        <w:t>“一带一路”和“中蒙俄经济走廊” 沿线国家之间的信息互换与</w:t>
      </w:r>
      <w:r>
        <w:rPr>
          <w:rFonts w:hint="eastAsia" w:ascii="仿宋" w:hAnsi="仿宋" w:eastAsia="仿宋" w:cs="仿宋"/>
          <w:b w:val="0"/>
          <w:i w:val="0"/>
          <w:caps w:val="0"/>
          <w:color w:val="000000"/>
          <w:spacing w:val="0"/>
          <w:w w:val="100"/>
          <w:sz w:val="32"/>
          <w:szCs w:val="32"/>
        </w:rPr>
        <w:t>服务共享，提升证书联网核查便利化水平。推进口岸物流信息电子化，打造现代智能货运新体系。提升口岸查验智能化水平，完善口岸查验功能，支持建设满洲里口岸、二连浩特口岸国际货物转运中心、跨境电商物流中心，扩大国际贸易、跨境电子商务等业务规模，提高通关效率。</w:t>
      </w:r>
    </w:p>
    <w:p>
      <w:pPr>
        <w:pStyle w:val="5"/>
        <w:keepNext w:val="0"/>
        <w:keepLines w:val="0"/>
        <w:pageBreakBefore w:val="0"/>
        <w:widowControl w:val="0"/>
        <w:numPr>
          <w:ilvl w:val="0"/>
          <w:numId w:val="0"/>
        </w:numPr>
        <w:kinsoku/>
        <w:wordWrap/>
        <w:overflowPunct/>
        <w:topLinePunct/>
        <w:autoSpaceDE/>
        <w:autoSpaceDN/>
        <w:bidi w:val="0"/>
        <w:adjustRightInd/>
        <w:snapToGrid/>
        <w:spacing w:line="580" w:lineRule="exact"/>
        <w:ind w:left="0" w:leftChars="0" w:right="0" w:rightChars="0" w:firstLine="640" w:firstLineChars="200"/>
        <w:jc w:val="both"/>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lang w:eastAsia="zh-CN"/>
        </w:rPr>
        <w:t>3</w:t>
      </w:r>
      <w:r>
        <w:rPr>
          <w:rFonts w:hint="eastAsia" w:ascii="仿宋" w:hAnsi="仿宋" w:eastAsia="仿宋" w:cs="仿宋"/>
          <w:b w:val="0"/>
          <w:i w:val="0"/>
          <w:caps w:val="0"/>
          <w:color w:val="000000"/>
          <w:spacing w:val="0"/>
          <w:w w:val="100"/>
          <w:sz w:val="32"/>
          <w:szCs w:val="32"/>
          <w:lang w:val="en-US" w:eastAsia="zh-CN"/>
        </w:rPr>
        <w:t>.</w:t>
      </w:r>
      <w:r>
        <w:rPr>
          <w:rFonts w:hint="eastAsia" w:ascii="仿宋" w:hAnsi="仿宋" w:eastAsia="仿宋" w:cs="仿宋"/>
          <w:b w:val="0"/>
          <w:i w:val="0"/>
          <w:caps w:val="0"/>
          <w:color w:val="000000"/>
          <w:spacing w:val="0"/>
          <w:w w:val="100"/>
          <w:sz w:val="32"/>
          <w:szCs w:val="32"/>
        </w:rPr>
        <w:t>提升口岸集疏运能力。优化以口岸为中心的内外通道布局，高效对接口岸集疏运设施网络，加快建设便捷、高效、快速、安全、大容量、低成本的区域互联互通大交通战略体系，提高铁路网、公路网、电网技术水平和运输能力。以跨境通道和口岸建设为重点，加快铁路、公路、航空交通基础设施建设，形成外联蒙古国、俄罗斯，内联国内腹地的集疏运体系，建设功能配套、衔接紧密、快速便捷的国际大通道。畅通满洲里、二连浩特、策克、甘其毛都等口岸与腹地城市的联系，提升铁路、公路、航空联通水平，增强口岸辐射带动能力。畅通满洲里、二连浩特、珠恩嘎达布其国际性口岸与天津、锦州、大连等环渤海地区港口的</w:t>
      </w:r>
      <w:r>
        <w:rPr>
          <w:rFonts w:hint="eastAsia" w:ascii="仿宋" w:hAnsi="仿宋" w:eastAsia="仿宋" w:cs="仿宋"/>
          <w:b w:val="0"/>
          <w:bCs/>
          <w:i w:val="0"/>
          <w:caps w:val="0"/>
          <w:color w:val="000000"/>
          <w:spacing w:val="-6"/>
          <w:w w:val="100"/>
          <w:sz w:val="32"/>
          <w:szCs w:val="32"/>
        </w:rPr>
        <w:t>铁路和公路联系，促进国际陆路口岸和海港深化合作。推动集宁—</w:t>
      </w:r>
      <w:r>
        <w:rPr>
          <w:rFonts w:hint="eastAsia" w:ascii="仿宋" w:hAnsi="仿宋" w:eastAsia="仿宋" w:cs="仿宋"/>
          <w:b w:val="0"/>
          <w:i w:val="0"/>
          <w:caps w:val="0"/>
          <w:color w:val="000000"/>
          <w:spacing w:val="0"/>
          <w:w w:val="100"/>
          <w:sz w:val="32"/>
          <w:szCs w:val="32"/>
        </w:rPr>
        <w:t>二连浩特铁路电气化改造及珠恩嘎达布其—毕其格图连接公路建设项目。</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Cs w:val="28"/>
        </w:rPr>
      </w:pPr>
      <w:r>
        <w:rPr>
          <w:rFonts w:hint="eastAsia" w:ascii="楷体" w:hAnsi="楷体" w:eastAsia="楷体" w:cs="楷体"/>
          <w:b w:val="0"/>
          <w:bCs w:val="0"/>
          <w:color w:val="000000"/>
          <w:szCs w:val="28"/>
          <w:lang w:eastAsia="zh-CN"/>
        </w:rPr>
        <w:t>第三节</w:t>
      </w:r>
      <w:r>
        <w:rPr>
          <w:rFonts w:hint="eastAsia" w:ascii="楷体" w:hAnsi="楷体" w:eastAsia="楷体" w:cs="楷体"/>
          <w:b w:val="0"/>
          <w:bCs w:val="0"/>
          <w:color w:val="000000"/>
          <w:szCs w:val="28"/>
          <w:lang w:val="en-US" w:eastAsia="zh-CN"/>
        </w:rPr>
        <w:t xml:space="preserve">  </w:t>
      </w:r>
      <w:r>
        <w:rPr>
          <w:rFonts w:hint="eastAsia" w:ascii="楷体" w:hAnsi="楷体" w:eastAsia="楷体" w:cs="楷体"/>
          <w:b w:val="0"/>
          <w:bCs w:val="0"/>
          <w:color w:val="000000"/>
          <w:szCs w:val="28"/>
        </w:rPr>
        <w:t>加强区内外口岸地区协同发展</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rPr>
          <w:rFonts w:hint="eastAsia" w:ascii="仿宋" w:hAnsi="仿宋" w:eastAsia="仿宋" w:cs="仿宋"/>
          <w:color w:val="000000"/>
          <w:sz w:val="32"/>
          <w:szCs w:val="32"/>
        </w:rPr>
      </w:pPr>
      <w:r>
        <w:rPr>
          <w:rFonts w:hint="eastAsia" w:ascii="仿宋" w:hAnsi="仿宋" w:eastAsia="仿宋" w:cs="仿宋"/>
          <w:b w:val="0"/>
          <w:bCs w:val="0"/>
          <w:i w:val="0"/>
          <w:caps w:val="0"/>
          <w:color w:val="000000"/>
          <w:spacing w:val="0"/>
          <w:w w:val="100"/>
          <w:sz w:val="32"/>
          <w:szCs w:val="32"/>
          <w:lang w:bidi="mn-Mong-CN"/>
        </w:rPr>
        <w:t>1</w:t>
      </w:r>
      <w:r>
        <w:rPr>
          <w:rFonts w:hint="eastAsia" w:ascii="仿宋" w:hAnsi="仿宋" w:eastAsia="仿宋" w:cs="仿宋"/>
          <w:b w:val="0"/>
          <w:bCs w:val="0"/>
          <w:i w:val="0"/>
          <w:caps w:val="0"/>
          <w:color w:val="000000"/>
          <w:spacing w:val="0"/>
          <w:w w:val="100"/>
          <w:sz w:val="32"/>
          <w:szCs w:val="32"/>
          <w:lang w:val="en-US" w:eastAsia="zh-CN" w:bidi="mn-Mong-CN"/>
        </w:rPr>
        <w:t>.</w:t>
      </w:r>
      <w:r>
        <w:rPr>
          <w:rFonts w:hint="eastAsia" w:ascii="仿宋" w:hAnsi="仿宋" w:eastAsia="仿宋" w:cs="仿宋"/>
          <w:b w:val="0"/>
          <w:bCs w:val="0"/>
          <w:i w:val="0"/>
          <w:caps w:val="0"/>
          <w:color w:val="000000"/>
          <w:spacing w:val="0"/>
          <w:w w:val="100"/>
          <w:sz w:val="32"/>
          <w:szCs w:val="32"/>
          <w:lang w:bidi="mn-Mong-CN"/>
        </w:rPr>
        <w:t>强化口岸与腹地盟市的协同发展。以综合枢纽口岸、重点专业口岸和区域交通枢纽节点城市为中心，发挥口岸与腹地盟市自身优势，加快口岸与腹地盟市之间产业合作发展。通过物流带贸易、贸易带产业，推动进口资源在口岸和腹地产业园区落地加工，形成“口岸+腹地”的联动发展模式</w:t>
      </w:r>
      <w:r>
        <w:rPr>
          <w:rFonts w:hint="eastAsia" w:ascii="仿宋" w:hAnsi="仿宋" w:eastAsia="仿宋" w:cs="仿宋"/>
          <w:b w:val="0"/>
          <w:i w:val="0"/>
          <w:caps w:val="0"/>
          <w:color w:val="000000"/>
          <w:spacing w:val="0"/>
          <w:w w:val="100"/>
          <w:sz w:val="32"/>
          <w:szCs w:val="32"/>
          <w:lang w:bidi="mn-Mong-CN"/>
        </w:rPr>
        <w:t>。</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jc w:val="both"/>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积极探索打造满洲里中俄国际枢纽城市，发挥满洲里口岸中欧班列东通道作用，对接自治区东部盟市乃至东北全面振兴战略和俄罗斯远东地区开发战略。推动满洲里利用国家促进边境贸易创新发展的政策，整合互市贸易区、综合保税区和物流园区功能，建设满洲里中欧班列集拼集运中心。</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jc w:val="both"/>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加快推动二连浩特—集宁协同一体化发展，建设乌兰察布—二连浩特陆港型（陆上边境口岸型）国家物流枢纽，统筹二连浩特—集宁两地的口岸和物流交通优势，发挥中欧班列中通道的作用，服务呼包鄂乌城市群，对接自治区中部盟市乃至沿黄生态经济带和京津冀城市群，规划建设物流集疏运体系和集拼集运中心。支持乌兰察布—二连浩特合作园区建设，推动木材、肉类、羊绒等进口资源在园区落地加工。</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jc w:val="both"/>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通过策克、甘其毛都口岸畅通中蒙能源矿产通道，对接自治区中西部盟市，进一步提升策克、甘其毛都、满都拉口岸通道功能。支持甘其毛都口岸向巴彦淖尔市及周边地区延伸，引导支持策克口岸向阿拉善盟及周边地区延伸，与加工基地形成供应链与产业链的联动发展。积极探索建设中蒙产能合作园和进口煤炭交易中心；提升满都拉口岸矿产资源进口，服务包头工业基地，成为进口蒙古国矿产资源的重要通道。打造千万吨级的境外大宗矿产资源进口专用通道，以通畅高效为目标，不断提高通行能力。</w:t>
      </w:r>
    </w:p>
    <w:p>
      <w:pPr>
        <w:pStyle w:val="5"/>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3"/>
        <w:jc w:val="both"/>
        <w:textAlignment w:val="auto"/>
        <w:rPr>
          <w:rFonts w:hint="eastAsia" w:ascii="仿宋" w:hAnsi="仿宋" w:eastAsia="仿宋" w:cs="仿宋"/>
          <w:b w:val="0"/>
          <w:color w:val="000000"/>
          <w:sz w:val="32"/>
          <w:szCs w:val="32"/>
        </w:rPr>
      </w:pPr>
      <w:r>
        <w:rPr>
          <w:rFonts w:hint="eastAsia" w:ascii="仿宋" w:hAnsi="仿宋" w:eastAsia="仿宋" w:cs="仿宋"/>
          <w:b w:val="0"/>
          <w:i w:val="0"/>
          <w:caps w:val="0"/>
          <w:color w:val="000000"/>
          <w:spacing w:val="0"/>
          <w:w w:val="100"/>
          <w:sz w:val="32"/>
          <w:szCs w:val="32"/>
        </w:rPr>
        <w:t>2</w:t>
      </w:r>
      <w:r>
        <w:rPr>
          <w:rFonts w:hint="eastAsia" w:ascii="仿宋" w:hAnsi="仿宋" w:eastAsia="仿宋" w:cs="仿宋"/>
          <w:b w:val="0"/>
          <w:i w:val="0"/>
          <w:caps w:val="0"/>
          <w:color w:val="000000"/>
          <w:spacing w:val="0"/>
          <w:w w:val="100"/>
          <w:sz w:val="32"/>
          <w:szCs w:val="32"/>
          <w:lang w:val="en-US" w:eastAsia="zh-CN"/>
        </w:rPr>
        <w:t>.</w:t>
      </w:r>
      <w:r>
        <w:rPr>
          <w:rFonts w:hint="eastAsia" w:ascii="仿宋" w:hAnsi="仿宋" w:eastAsia="仿宋" w:cs="仿宋"/>
          <w:b w:val="0"/>
          <w:i w:val="0"/>
          <w:caps w:val="0"/>
          <w:color w:val="000000"/>
          <w:spacing w:val="0"/>
          <w:w w:val="100"/>
          <w:sz w:val="32"/>
          <w:szCs w:val="32"/>
        </w:rPr>
        <w:t>推动自治区口岸与沿海、内陆省</w:t>
      </w:r>
      <w:r>
        <w:rPr>
          <w:rFonts w:hint="eastAsia" w:ascii="仿宋" w:hAnsi="仿宋" w:eastAsia="仿宋" w:cs="仿宋"/>
          <w:b w:val="0"/>
          <w:i w:val="0"/>
          <w:caps w:val="0"/>
          <w:color w:val="000000"/>
          <w:spacing w:val="0"/>
          <w:w w:val="100"/>
          <w:sz w:val="32"/>
          <w:szCs w:val="32"/>
          <w:lang w:eastAsia="zh-CN"/>
        </w:rPr>
        <w:t>（</w:t>
      </w:r>
      <w:r>
        <w:rPr>
          <w:rFonts w:hint="eastAsia" w:ascii="仿宋" w:hAnsi="仿宋" w:eastAsia="仿宋" w:cs="仿宋"/>
          <w:b w:val="0"/>
          <w:i w:val="0"/>
          <w:caps w:val="0"/>
          <w:color w:val="000000"/>
          <w:spacing w:val="0"/>
          <w:w w:val="100"/>
          <w:sz w:val="32"/>
          <w:szCs w:val="32"/>
        </w:rPr>
        <w:t>区、市</w:t>
      </w:r>
      <w:r>
        <w:rPr>
          <w:rFonts w:hint="eastAsia" w:ascii="仿宋" w:hAnsi="仿宋" w:eastAsia="仿宋" w:cs="仿宋"/>
          <w:b w:val="0"/>
          <w:i w:val="0"/>
          <w:caps w:val="0"/>
          <w:color w:val="000000"/>
          <w:spacing w:val="0"/>
          <w:w w:val="100"/>
          <w:sz w:val="32"/>
          <w:szCs w:val="32"/>
          <w:lang w:eastAsia="zh-CN"/>
        </w:rPr>
        <w:t>）</w:t>
      </w:r>
      <w:r>
        <w:rPr>
          <w:rFonts w:hint="eastAsia" w:ascii="仿宋" w:hAnsi="仿宋" w:eastAsia="仿宋" w:cs="仿宋"/>
          <w:b w:val="0"/>
          <w:i w:val="0"/>
          <w:caps w:val="0"/>
          <w:color w:val="000000"/>
          <w:spacing w:val="0"/>
          <w:w w:val="100"/>
          <w:sz w:val="32"/>
          <w:szCs w:val="32"/>
        </w:rPr>
        <w:t>的协同发展。积极主动融入京津冀、长江经济带、东北振兴、西部陆海新通道等国家战略，扩大合作范围。加快与晋、陕、甘、宁、冀、黑、吉、辽等地区签订合作协议，推进自治区口岸与其他省份口岸之间的通关协作、物流合作和联动发展，搭建跨区域合作平台，发挥自治区口岸地处“三北”、连接欧亚的区位优势和土地、劳动力等要素价格相对较低的成本优势，推动口岸和腹地城市有效承接发达地区产业转移，实现与内陆协同发展。</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jc w:val="both"/>
        <w:textAlignment w:val="auto"/>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0"/>
          <w:w w:val="100"/>
          <w:sz w:val="32"/>
          <w:szCs w:val="32"/>
          <w:lang w:val="en-US" w:eastAsia="zh-CN"/>
        </w:rPr>
        <w:t>3.</w:t>
      </w:r>
      <w:r>
        <w:rPr>
          <w:rFonts w:hint="eastAsia" w:ascii="仿宋" w:hAnsi="仿宋" w:eastAsia="仿宋" w:cs="仿宋"/>
          <w:b w:val="0"/>
          <w:i w:val="0"/>
          <w:caps w:val="0"/>
          <w:color w:val="000000"/>
          <w:spacing w:val="0"/>
          <w:w w:val="100"/>
          <w:sz w:val="32"/>
          <w:szCs w:val="32"/>
        </w:rPr>
        <w:t>构建自治区综合枢纽口岸与俄蒙及沿线国家重点口岸、物流枢纽城市合作新局面。以“一带一路”和中蒙俄经济走廊建设为重点，积极参与RCEP（区域全面经济伙伴关系协定）、CPTPP（全面与进步跨太平洋伙伴关系协定）等通关便利化领域的国际交流合作。贯彻落实国家“双循环”发展战略，充分利用国内国际两个市场、两种资源，积极促进内需和外需、进口和出口、引进外资和对外投资协调发展。以中欧班列为载体，进一步加强与沿线国家跨境商务和物流贸易之间的合作，构建综合交通枢纽城市跨区域战略合作模式，着力贯通陆海空网联运主通道。积极承接沿线国家产业链整体转移和关联产业协同转移，特别是自治区以大宗商品进口为主的口岸，通过“飞地经济”发展模式，形成口岸辐射腹地城市的国际贸易、产业经济、商贸旅游业等协同发展模式。</w:t>
      </w:r>
    </w:p>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both"/>
        <w:textAlignment w:val="auto"/>
        <w:rPr>
          <w:rFonts w:hint="eastAsia" w:ascii="仿宋" w:hAnsi="仿宋" w:eastAsia="仿宋" w:cs="仿宋"/>
          <w:color w:val="000000"/>
          <w:sz w:val="32"/>
          <w:szCs w:val="32"/>
          <w:lang w:eastAsia="zh-CN"/>
        </w:rPr>
      </w:pPr>
      <w:r>
        <w:rPr>
          <w:rFonts w:hint="eastAsia" w:ascii="仿宋" w:hAnsi="仿宋" w:eastAsia="仿宋" w:cs="仿宋"/>
          <w:color w:val="000000"/>
          <w:sz w:val="32"/>
          <w:szCs w:val="32"/>
          <w:lang w:eastAsia="zh-CN"/>
        </w:rPr>
        <w:drawing>
          <wp:inline distT="0" distB="0" distL="114300" distR="114300">
            <wp:extent cx="5615940" cy="3599815"/>
            <wp:effectExtent l="0" t="0" r="3810" b="635"/>
            <wp:docPr id="3" name="图片 11" descr="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descr="84-4"/>
                    <pic:cNvPicPr>
                      <a:picLocks noChangeAspect="1"/>
                    </pic:cNvPicPr>
                  </pic:nvPicPr>
                  <pic:blipFill>
                    <a:blip r:embed="rId10"/>
                    <a:stretch>
                      <a:fillRect/>
                    </a:stretch>
                  </pic:blipFill>
                  <pic:spPr>
                    <a:xfrm>
                      <a:off x="0" y="0"/>
                      <a:ext cx="5615940" cy="3599815"/>
                    </a:xfrm>
                    <a:prstGeom prst="rect">
                      <a:avLst/>
                    </a:prstGeom>
                    <a:noFill/>
                    <a:ln>
                      <a:noFill/>
                    </a:ln>
                  </pic:spPr>
                </pic:pic>
              </a:graphicData>
            </a:graphic>
          </wp:inline>
        </w:drawing>
      </w:r>
    </w:p>
    <w:p>
      <w:pPr>
        <w:pStyle w:val="2"/>
        <w:keepNext w:val="0"/>
        <w:keepLines w:val="0"/>
        <w:pageBreakBefore w:val="0"/>
        <w:widowControl w:val="0"/>
        <w:kinsoku/>
        <w:wordWrap/>
        <w:overflowPunct/>
        <w:topLinePunct/>
        <w:autoSpaceDE/>
        <w:autoSpaceDN/>
        <w:bidi w:val="0"/>
        <w:adjustRightInd/>
        <w:snapToGrid/>
        <w:spacing w:after="0" w:line="580" w:lineRule="exact"/>
        <w:ind w:right="0" w:rightChars="0"/>
        <w:jc w:val="center"/>
        <w:textAlignment w:val="auto"/>
        <w:rPr>
          <w:rFonts w:hint="eastAsia" w:ascii="黑体" w:hAnsi="黑体" w:eastAsia="黑体" w:cs="黑体"/>
          <w:color w:val="000000"/>
          <w:sz w:val="32"/>
          <w:szCs w:val="32"/>
        </w:rPr>
      </w:pPr>
      <w:r>
        <w:rPr>
          <w:rFonts w:hint="eastAsia" w:ascii="黑体" w:hAnsi="黑体" w:eastAsia="黑体" w:cs="黑体"/>
          <w:color w:val="000000"/>
          <w:sz w:val="32"/>
          <w:szCs w:val="32"/>
        </w:rPr>
        <w:t>图3</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区域协同发展示意图</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rPr>
      </w:pPr>
      <w:r>
        <w:rPr>
          <w:rFonts w:hint="eastAsia" w:ascii="楷体" w:hAnsi="楷体" w:eastAsia="楷体" w:cs="楷体"/>
          <w:b w:val="0"/>
          <w:bCs w:val="0"/>
          <w:color w:val="000000"/>
          <w:sz w:val="32"/>
          <w:szCs w:val="32"/>
          <w:lang w:eastAsia="zh-CN"/>
        </w:rPr>
        <w:t>第四节</w:t>
      </w:r>
      <w:r>
        <w:rPr>
          <w:rFonts w:hint="eastAsia" w:ascii="楷体" w:hAnsi="楷体" w:eastAsia="楷体" w:cs="楷体"/>
          <w:b w:val="0"/>
          <w:bCs w:val="0"/>
          <w:color w:val="000000"/>
          <w:sz w:val="32"/>
          <w:szCs w:val="32"/>
          <w:lang w:val="en-US" w:eastAsia="zh-CN"/>
        </w:rPr>
        <w:t xml:space="preserve">  </w:t>
      </w:r>
      <w:r>
        <w:rPr>
          <w:rFonts w:hint="eastAsia" w:ascii="楷体" w:hAnsi="楷体" w:eastAsia="楷体" w:cs="楷体"/>
          <w:b w:val="0"/>
          <w:bCs w:val="0"/>
          <w:color w:val="000000"/>
          <w:sz w:val="32"/>
          <w:szCs w:val="32"/>
        </w:rPr>
        <w:t>提升口岸经济发展质量</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textAlignment w:val="auto"/>
        <w:rPr>
          <w:rFonts w:hint="eastAsia" w:ascii="仿宋" w:hAnsi="仿宋" w:eastAsia="仿宋" w:cs="仿宋"/>
          <w:color w:val="000000"/>
          <w:sz w:val="32"/>
          <w:szCs w:val="32"/>
        </w:rPr>
      </w:pPr>
      <w:r>
        <w:rPr>
          <w:rFonts w:hint="eastAsia" w:ascii="仿宋" w:hAnsi="仿宋" w:eastAsia="仿宋" w:cs="仿宋"/>
          <w:b w:val="0"/>
          <w:bCs w:val="0"/>
          <w:i w:val="0"/>
          <w:caps w:val="0"/>
          <w:color w:val="000000"/>
          <w:spacing w:val="0"/>
          <w:w w:val="100"/>
          <w:sz w:val="32"/>
          <w:szCs w:val="32"/>
          <w:lang w:bidi="mn-Mong-CN"/>
        </w:rPr>
        <w:t>1</w:t>
      </w:r>
      <w:r>
        <w:rPr>
          <w:rFonts w:hint="eastAsia" w:ascii="仿宋" w:hAnsi="仿宋" w:eastAsia="仿宋" w:cs="仿宋"/>
          <w:b w:val="0"/>
          <w:bCs w:val="0"/>
          <w:i w:val="0"/>
          <w:caps w:val="0"/>
          <w:color w:val="000000"/>
          <w:spacing w:val="0"/>
          <w:w w:val="100"/>
          <w:sz w:val="32"/>
          <w:szCs w:val="32"/>
          <w:lang w:val="en-US" w:eastAsia="zh-CN" w:bidi="mn-Mong-CN"/>
        </w:rPr>
        <w:t>.</w:t>
      </w:r>
      <w:r>
        <w:rPr>
          <w:rFonts w:hint="eastAsia" w:ascii="仿宋" w:hAnsi="仿宋" w:eastAsia="仿宋" w:cs="仿宋"/>
          <w:b w:val="0"/>
          <w:bCs w:val="0"/>
          <w:i w:val="0"/>
          <w:caps w:val="0"/>
          <w:color w:val="000000"/>
          <w:spacing w:val="0"/>
          <w:w w:val="100"/>
          <w:sz w:val="32"/>
          <w:szCs w:val="32"/>
          <w:lang w:bidi="mn-Mong-CN"/>
        </w:rPr>
        <w:t>推动口岸经济发展。以口岸开放为引领，发展内蒙古开放型经济。以通行效率为第一指标，以节约资源保护生态为基本导向，合理布局口岸通道和功能园区，科学布局落地加工业产业项目，确保功能清晰、畅通高效、绿色智能。整合全区口岸的存量资源，以市场化手段，引进大型企业落户口岸地区，积极争取国家层面构建央企、国企帮扶自治区沿边对口产业发展的机制，鼓励和引导企业在口岸基础设施和口岸园区的建设、运营和建立生产加工基地方面开展深度合作，推动园区间开展协作工作，创新</w:t>
      </w:r>
      <w:r>
        <w:rPr>
          <w:rFonts w:hint="eastAsia" w:ascii="仿宋" w:hAnsi="仿宋" w:eastAsia="仿宋" w:cs="仿宋"/>
          <w:b w:val="0"/>
          <w:bCs w:val="0"/>
          <w:i w:val="0"/>
          <w:caps w:val="0"/>
          <w:color w:val="000000"/>
          <w:spacing w:val="-6"/>
          <w:w w:val="100"/>
          <w:sz w:val="32"/>
          <w:szCs w:val="32"/>
          <w:lang w:bidi="mn-Mong-CN"/>
        </w:rPr>
        <w:t>“外贸+金融”的服务发展模式，提升产业链水平，提升口岸承载</w:t>
      </w:r>
      <w:r>
        <w:rPr>
          <w:rFonts w:hint="eastAsia" w:ascii="仿宋" w:hAnsi="仿宋" w:eastAsia="仿宋" w:cs="仿宋"/>
          <w:b w:val="0"/>
          <w:bCs w:val="0"/>
          <w:i w:val="0"/>
          <w:caps w:val="0"/>
          <w:color w:val="000000"/>
          <w:spacing w:val="0"/>
          <w:w w:val="100"/>
          <w:sz w:val="32"/>
          <w:szCs w:val="32"/>
          <w:lang w:bidi="mn-Mong-CN"/>
        </w:rPr>
        <w:t>力和发展水平。支持满洲里、二连浩特等口岸与大型央企开展基础设施、物流运输、产业发展等方面合作。加快推进满洲里、二连浩特口岸与中远海集团共同打造“综合物流供应链服务生态”体系，共同开拓综合枢纽口岸与天津港、大连港（或营口港）陆海联运通道，提升陆海联运一体化水平。推动央地合作建设满洲里</w:t>
      </w:r>
      <w:r>
        <w:rPr>
          <w:rFonts w:hint="eastAsia" w:ascii="仿宋" w:hAnsi="仿宋" w:eastAsia="仿宋" w:cs="仿宋"/>
          <w:b w:val="0"/>
          <w:bCs w:val="0"/>
          <w:i w:val="0"/>
          <w:caps w:val="0"/>
          <w:color w:val="000000"/>
          <w:spacing w:val="6"/>
          <w:w w:val="100"/>
          <w:sz w:val="32"/>
          <w:szCs w:val="32"/>
          <w:lang w:bidi="mn-Mong-CN"/>
        </w:rPr>
        <w:t>进口钾肥仓储加工、交易综合服务平台。依托口岸</w:t>
      </w:r>
      <w:r>
        <w:rPr>
          <w:rFonts w:hint="eastAsia" w:ascii="仿宋" w:hAnsi="仿宋" w:eastAsia="仿宋" w:cs="仿宋"/>
          <w:b w:val="0"/>
          <w:i w:val="0"/>
          <w:caps w:val="0"/>
          <w:color w:val="000000"/>
          <w:spacing w:val="6"/>
          <w:w w:val="100"/>
          <w:sz w:val="32"/>
          <w:szCs w:val="32"/>
          <w:lang w:bidi="mn-Mong-CN"/>
        </w:rPr>
        <w:t>地区发展跨境旅游、加工制造、商贸物流等产业，打造口岸经济高质量发展模式。</w:t>
      </w:r>
    </w:p>
    <w:p>
      <w:pPr>
        <w:pStyle w:val="4"/>
        <w:keepNext w:val="0"/>
        <w:keepLines w:val="0"/>
        <w:pageBreakBefore w:val="0"/>
        <w:widowControl w:val="0"/>
        <w:kinsoku/>
        <w:wordWrap/>
        <w:overflowPunct/>
        <w:topLinePunct/>
        <w:autoSpaceDE/>
        <w:autoSpaceDN/>
        <w:bidi w:val="0"/>
        <w:adjustRightInd/>
        <w:snapToGrid/>
        <w:spacing w:before="0" w:after="0" w:line="580" w:lineRule="exact"/>
        <w:ind w:left="0" w:leftChars="0" w:right="0" w:rightChars="0" w:firstLine="643"/>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2</w:t>
      </w:r>
      <w:r>
        <w:rPr>
          <w:rFonts w:hint="eastAsia" w:ascii="仿宋" w:hAnsi="仿宋" w:eastAsia="仿宋" w:cs="仿宋"/>
          <w:b w:val="0"/>
          <w:i w:val="0"/>
          <w:caps w:val="0"/>
          <w:color w:val="000000"/>
          <w:spacing w:val="0"/>
          <w:w w:val="100"/>
          <w:sz w:val="32"/>
          <w:szCs w:val="32"/>
          <w:lang w:val="en-US" w:eastAsia="zh-CN"/>
        </w:rPr>
        <w:t>.</w:t>
      </w:r>
      <w:r>
        <w:rPr>
          <w:rFonts w:hint="eastAsia" w:ascii="仿宋" w:hAnsi="仿宋" w:eastAsia="仿宋" w:cs="仿宋"/>
          <w:b w:val="0"/>
          <w:i w:val="0"/>
          <w:caps w:val="0"/>
          <w:color w:val="000000"/>
          <w:spacing w:val="0"/>
          <w:w w:val="100"/>
          <w:sz w:val="32"/>
          <w:szCs w:val="32"/>
        </w:rPr>
        <w:t>大力发展班列经济。按照政府主导，市场化运作的方式，加强与铁路部门的协作。引进大型央企，构建供应链体系，以综合枢纽口岸和区域物流节点城市为中心，推动建设自治区中欧班列货物集拼集散中心。积极与中欧班列始发地、与东北地区和东部沿海省份等对接，推动中欧班列增量扩容，延伸丰富中欧班列运行路线，拓展双向货源组织形式。推动相关行业龙头企业在满洲里、二连浩特口岸设立货物集拼和仓储物流中心，引一批进口加工转化项目在口岸园区落地加工。形成以班列为纽带的物流集散、展示、加工和销售产业，辐射带动商贸旅游业发展。强化境外资源性产品回运组织，扩大与俄蒙农产品、矿产资源产品进口规模，提高在我区口岸交易和加工比重，形成整合供应链、口岸物流、口岸加工、境内营销于一体的全产业链合作。
</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rPr>
      </w:pPr>
      <w:r>
        <w:rPr>
          <w:rFonts w:hint="eastAsia" w:ascii="楷体" w:hAnsi="楷体" w:eastAsia="楷体" w:cs="楷体"/>
          <w:b w:val="0"/>
          <w:bCs w:val="0"/>
          <w:color w:val="000000"/>
          <w:sz w:val="32"/>
          <w:szCs w:val="32"/>
          <w:lang w:eastAsia="zh-CN"/>
        </w:rPr>
        <w:t>第五节</w:t>
      </w:r>
      <w:r>
        <w:rPr>
          <w:rFonts w:hint="eastAsia" w:ascii="楷体" w:hAnsi="楷体" w:eastAsia="楷体" w:cs="楷体"/>
          <w:b w:val="0"/>
          <w:bCs w:val="0"/>
          <w:color w:val="000000"/>
          <w:sz w:val="32"/>
          <w:szCs w:val="32"/>
          <w:lang w:val="en-US" w:eastAsia="zh-CN"/>
        </w:rPr>
        <w:t xml:space="preserve">  </w:t>
      </w:r>
      <w:r>
        <w:rPr>
          <w:rFonts w:hint="eastAsia" w:ascii="楷体" w:hAnsi="楷体" w:eastAsia="楷体" w:cs="楷体"/>
          <w:b w:val="0"/>
          <w:bCs w:val="0"/>
          <w:color w:val="000000"/>
          <w:sz w:val="32"/>
          <w:szCs w:val="32"/>
        </w:rPr>
        <w:t>扩展对外开放平台功能</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根据自治区外向型经济发展要求，立足建设</w:t>
      </w:r>
      <w:r>
        <w:rPr>
          <w:rFonts w:hint="eastAsia" w:ascii="仿宋" w:hAnsi="仿宋" w:eastAsia="仿宋" w:cs="仿宋"/>
          <w:b w:val="0"/>
          <w:i w:val="0"/>
          <w:caps w:val="0"/>
          <w:color w:val="000000"/>
          <w:spacing w:val="0"/>
          <w:w w:val="100"/>
          <w:sz w:val="32"/>
          <w:szCs w:val="32"/>
          <w:lang w:eastAsia="zh-CN"/>
        </w:rPr>
        <w:t>我国</w:t>
      </w:r>
      <w:r>
        <w:rPr>
          <w:rFonts w:hint="eastAsia" w:ascii="仿宋" w:hAnsi="仿宋" w:eastAsia="仿宋" w:cs="仿宋"/>
          <w:b w:val="0"/>
          <w:i w:val="0"/>
          <w:caps w:val="0"/>
          <w:color w:val="000000"/>
          <w:spacing w:val="0"/>
          <w:w w:val="100"/>
          <w:sz w:val="32"/>
          <w:szCs w:val="32"/>
        </w:rPr>
        <w:t>向北开放重要桥头堡的战略要求，合理布局海关特殊监管区域等开放平台，加大建设和运营的支持力度，按照海关特殊监管区域的要求，优化产业发展规划，制定配套政策措施，提高运行效益。支持符合条件的地区设立保税物流中心（B型）和综合保税区。提升现有的呼和浩特、鄂尔多斯、满洲里综合保税区和4个保税物流中心（B型）运行质量，支持赤峰综合保税区、通辽保税物流中心（B型）的建设和申报工作。加大对指定监管场地支持力度，争取满洲里和乌兰察布进境肉类指定监管场地、呼和浩特进境冰鲜水产品指定监管场地获批。充分发挥综合保税区和保税物流中心带动地区经济发展、构建开放型经济新体制的平台作用。做好综保区绩效评估工作，确保海关特殊监管区域高质量发展。支持呼和浩特、赤峰、满洲里跨境电子商务综合试验区建设，复制推广成熟经验做法。</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eastAsia="zh-CN"/>
        </w:rPr>
      </w:pPr>
      <w:r>
        <w:rPr>
          <w:rFonts w:hint="eastAsia" w:ascii="楷体" w:hAnsi="楷体" w:eastAsia="楷体" w:cs="楷体"/>
          <w:b w:val="0"/>
          <w:bCs w:val="0"/>
          <w:color w:val="000000"/>
          <w:sz w:val="32"/>
          <w:szCs w:val="32"/>
          <w:lang w:eastAsia="zh-CN"/>
        </w:rPr>
        <w:t>第六节</w:t>
      </w:r>
      <w:r>
        <w:rPr>
          <w:rFonts w:hint="eastAsia" w:ascii="楷体" w:hAnsi="楷体" w:eastAsia="楷体" w:cs="楷体"/>
          <w:b w:val="0"/>
          <w:bCs w:val="0"/>
          <w:color w:val="000000"/>
          <w:sz w:val="32"/>
          <w:szCs w:val="32"/>
          <w:lang w:val="en-US" w:eastAsia="zh-CN"/>
        </w:rPr>
        <w:t xml:space="preserve">  </w:t>
      </w:r>
      <w:r>
        <w:rPr>
          <w:rFonts w:hint="eastAsia" w:ascii="楷体" w:hAnsi="楷体" w:eastAsia="楷体" w:cs="楷体"/>
          <w:b w:val="0"/>
          <w:bCs w:val="0"/>
          <w:color w:val="000000"/>
          <w:sz w:val="32"/>
          <w:szCs w:val="32"/>
          <w:lang w:eastAsia="zh-CN"/>
        </w:rPr>
        <w:t>持续优化口岸营商环境</w:t>
      </w:r>
    </w:p>
    <w:p>
      <w:pPr>
        <w:pStyle w:val="5"/>
        <w:keepNext w:val="0"/>
        <w:keepLines w:val="0"/>
        <w:pageBreakBefore w:val="0"/>
        <w:widowControl w:val="0"/>
        <w:kinsoku/>
        <w:wordWrap/>
        <w:overflowPunct/>
        <w:topLinePunct/>
        <w:autoSpaceDE/>
        <w:autoSpaceDN/>
        <w:bidi w:val="0"/>
        <w:adjustRightInd/>
        <w:snapToGrid/>
        <w:spacing w:line="580" w:lineRule="exact"/>
        <w:ind w:left="0" w:leftChars="0" w:right="0" w:rightChars="0"/>
        <w:textAlignment w:val="auto"/>
        <w:rPr>
          <w:rFonts w:hint="eastAsia" w:ascii="仿宋" w:hAnsi="仿宋" w:eastAsia="仿宋" w:cs="仿宋"/>
          <w:color w:val="000000"/>
          <w:sz w:val="32"/>
          <w:szCs w:val="32"/>
        </w:rPr>
      </w:pPr>
      <w:r>
        <w:rPr>
          <w:rFonts w:hint="eastAsia" w:ascii="仿宋" w:hAnsi="仿宋" w:eastAsia="仿宋" w:cs="仿宋"/>
          <w:b w:val="0"/>
          <w:bCs w:val="0"/>
          <w:i w:val="0"/>
          <w:caps w:val="0"/>
          <w:color w:val="000000"/>
          <w:spacing w:val="0"/>
          <w:w w:val="100"/>
          <w:sz w:val="32"/>
          <w:szCs w:val="32"/>
          <w:lang w:bidi="mn-Mong-CN"/>
        </w:rPr>
        <w:t>1</w:t>
      </w:r>
      <w:r>
        <w:rPr>
          <w:rFonts w:hint="eastAsia" w:ascii="仿宋" w:hAnsi="仿宋" w:cs="仿宋"/>
          <w:b w:val="0"/>
          <w:bCs w:val="0"/>
          <w:i w:val="0"/>
          <w:caps w:val="0"/>
          <w:color w:val="000000"/>
          <w:spacing w:val="0"/>
          <w:w w:val="100"/>
          <w:sz w:val="32"/>
          <w:szCs w:val="32"/>
          <w:lang w:val="en-US" w:eastAsia="zh-CN" w:bidi="mn-Mong-CN"/>
        </w:rPr>
        <w:t>.</w:t>
      </w:r>
      <w:r>
        <w:rPr>
          <w:rFonts w:hint="eastAsia" w:ascii="仿宋" w:hAnsi="仿宋" w:eastAsia="仿宋" w:cs="仿宋"/>
          <w:b w:val="0"/>
          <w:bCs w:val="0"/>
          <w:i w:val="0"/>
          <w:caps w:val="0"/>
          <w:color w:val="000000"/>
          <w:spacing w:val="0"/>
          <w:w w:val="100"/>
          <w:sz w:val="32"/>
          <w:szCs w:val="32"/>
          <w:lang w:bidi="mn-Mong-CN"/>
        </w:rPr>
        <w:t>全面提升口岸营商环境。严格落实国家更大规模的减税降费政策，建立优化营商环境协作机制。纵深推进简政放权，全面实施市场准入负面清单制度，清理多头重复审批，取消不必要审批。进一步优化口岸通关流程，深化“提前申报”“两步申报”“两段准入”等改革举措，全面推行电子化监管。提升口岸通关时效，推广应用“作业前置”，探索进口舱单启运前申报或传输方式，海关提前研判运输工具载运货物风险，实施进境前在线审核。持续开展口岸收费动态调整清理工作，定范围、定模板、定目录，不新设收费项目，不在清单外收费。引导口岸经营服务企业诚信经营、合理定价、减项并项，推动降低收费，加强行业自律，打造口岸一流营商环境。</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textAlignment w:val="auto"/>
        <w:rPr>
          <w:rFonts w:hint="eastAsia" w:ascii="仿宋" w:hAnsi="仿宋" w:eastAsia="仿宋" w:cs="仿宋"/>
          <w:color w:val="000000"/>
          <w:sz w:val="32"/>
          <w:szCs w:val="32"/>
        </w:rPr>
      </w:pPr>
      <w:r>
        <w:rPr>
          <w:rFonts w:hint="eastAsia" w:ascii="仿宋" w:hAnsi="仿宋" w:eastAsia="仿宋" w:cs="仿宋"/>
          <w:b w:val="0"/>
          <w:bCs w:val="0"/>
          <w:i w:val="0"/>
          <w:caps w:val="0"/>
          <w:color w:val="000000"/>
          <w:spacing w:val="0"/>
          <w:w w:val="100"/>
          <w:sz w:val="32"/>
          <w:szCs w:val="32"/>
          <w:lang w:bidi="mn-Mong-CN"/>
        </w:rPr>
        <w:t>2</w:t>
      </w:r>
      <w:r>
        <w:rPr>
          <w:rFonts w:hint="eastAsia" w:ascii="仿宋" w:hAnsi="仿宋" w:eastAsia="仿宋" w:cs="仿宋"/>
          <w:b w:val="0"/>
          <w:bCs w:val="0"/>
          <w:i w:val="0"/>
          <w:caps w:val="0"/>
          <w:color w:val="000000"/>
          <w:spacing w:val="0"/>
          <w:w w:val="100"/>
          <w:sz w:val="32"/>
          <w:szCs w:val="32"/>
          <w:lang w:val="en-US" w:eastAsia="zh-CN" w:bidi="mn-Mong-CN"/>
        </w:rPr>
        <w:t>.</w:t>
      </w:r>
      <w:r>
        <w:rPr>
          <w:rFonts w:hint="eastAsia" w:ascii="仿宋" w:hAnsi="仿宋" w:eastAsia="仿宋" w:cs="仿宋"/>
          <w:b w:val="0"/>
          <w:bCs w:val="0"/>
          <w:i w:val="0"/>
          <w:caps w:val="0"/>
          <w:color w:val="000000"/>
          <w:spacing w:val="0"/>
          <w:w w:val="100"/>
          <w:sz w:val="32"/>
          <w:szCs w:val="32"/>
          <w:lang w:bidi="mn-Mong-CN"/>
        </w:rPr>
        <w:t>扩大“单一窗口”功能应用范围。加快推进“中国（内蒙古）</w:t>
      </w:r>
      <w:r>
        <w:rPr>
          <w:rFonts w:hint="eastAsia" w:ascii="仿宋" w:hAnsi="仿宋" w:eastAsia="仿宋" w:cs="仿宋"/>
          <w:b w:val="0"/>
          <w:i w:val="0"/>
          <w:caps w:val="0"/>
          <w:color w:val="000000"/>
          <w:spacing w:val="0"/>
          <w:w w:val="100"/>
          <w:sz w:val="32"/>
          <w:szCs w:val="32"/>
          <w:lang w:bidi="mn-Mong-CN"/>
        </w:rPr>
        <w:t>国际</w:t>
      </w:r>
      <w:r>
        <w:rPr>
          <w:rFonts w:hint="eastAsia" w:ascii="仿宋" w:hAnsi="仿宋" w:eastAsia="仿宋" w:cs="仿宋"/>
          <w:b w:val="0"/>
          <w:bCs w:val="0"/>
          <w:i w:val="0"/>
          <w:caps w:val="0"/>
          <w:color w:val="000000"/>
          <w:spacing w:val="0"/>
          <w:w w:val="100"/>
          <w:sz w:val="32"/>
          <w:szCs w:val="32"/>
          <w:lang w:bidi="mn-Mong-CN"/>
        </w:rPr>
        <w:t>贸易单一窗口”功能应用覆盖至海关特殊监管区域、跨境电商综合试验区及经济合作区，实现“单一窗口”向便利化、智能化、国际化方向发展。按照“应上尽上”原则，推动口岸和国际贸易领域相关业务纳入“单一窗口”，提升无纸化查验效率；推进口岸限定区域、海关特殊监管区域视频监控全覆盖，提升可视化监管能力。持续对接银行、保险、民航、铁路、公路、邮政、场站等行业机构，创新“通关+物流”等服务模式。加大进出口企业与相关行业部门对跨境贸易数据平台共享共用力度，加强区域“单一窗口”合作，支持服务京津冀、西部陆海新通道等国家发展战略，支持地方在落实标准版功能的基础上，根据需要拓展特色服务功能。</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textAlignment w:val="auto"/>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0"/>
          <w:w w:val="100"/>
          <w:sz w:val="32"/>
          <w:szCs w:val="32"/>
          <w:lang w:val="en-US" w:eastAsia="zh-CN"/>
        </w:rPr>
        <w:t>3.</w:t>
      </w:r>
      <w:r>
        <w:rPr>
          <w:rFonts w:hint="eastAsia" w:ascii="仿宋" w:hAnsi="仿宋" w:eastAsia="仿宋" w:cs="仿宋"/>
          <w:b w:val="0"/>
          <w:i w:val="0"/>
          <w:caps w:val="0"/>
          <w:color w:val="000000"/>
          <w:spacing w:val="0"/>
          <w:w w:val="100"/>
          <w:sz w:val="32"/>
          <w:szCs w:val="32"/>
        </w:rPr>
        <w:t>参与多边和双边口岸执法合作。根据口岸发展需要，推动国家层面修订与毗邻国家间</w:t>
      </w:r>
      <w:r>
        <w:rPr>
          <w:rFonts w:hint="eastAsia" w:ascii="仿宋" w:hAnsi="仿宋" w:eastAsia="仿宋" w:cs="仿宋"/>
          <w:b w:val="0"/>
          <w:i w:val="0"/>
          <w:caps w:val="0"/>
          <w:color w:val="auto"/>
          <w:spacing w:val="0"/>
          <w:w w:val="100"/>
          <w:sz w:val="32"/>
          <w:szCs w:val="32"/>
        </w:rPr>
        <w:t>口岸管理协定，为优化口岸运行提供法制保障。加强与沿线国家在口岸</w:t>
      </w:r>
      <w:r>
        <w:rPr>
          <w:rFonts w:hint="eastAsia" w:ascii="仿宋" w:hAnsi="仿宋" w:eastAsia="仿宋" w:cs="仿宋"/>
          <w:b w:val="0"/>
          <w:i w:val="0"/>
          <w:caps w:val="0"/>
          <w:color w:val="000000"/>
          <w:spacing w:val="0"/>
          <w:w w:val="100"/>
          <w:sz w:val="32"/>
          <w:szCs w:val="32"/>
        </w:rPr>
        <w:t>管理和国际贸易领域的执法合作。</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eastAsia="zh-CN"/>
        </w:rPr>
      </w:pPr>
      <w:r>
        <w:rPr>
          <w:rFonts w:hint="eastAsia" w:ascii="楷体" w:hAnsi="楷体" w:eastAsia="楷体" w:cs="楷体"/>
          <w:b w:val="0"/>
          <w:bCs w:val="0"/>
          <w:color w:val="000000"/>
          <w:sz w:val="32"/>
          <w:szCs w:val="32"/>
          <w:lang w:eastAsia="zh-CN"/>
        </w:rPr>
        <w:t>第七节</w:t>
      </w:r>
      <w:r>
        <w:rPr>
          <w:rFonts w:hint="eastAsia" w:ascii="楷体" w:hAnsi="楷体" w:eastAsia="楷体" w:cs="楷体"/>
          <w:b w:val="0"/>
          <w:bCs w:val="0"/>
          <w:color w:val="000000"/>
          <w:sz w:val="32"/>
          <w:szCs w:val="32"/>
          <w:lang w:val="en-US" w:eastAsia="zh-CN"/>
        </w:rPr>
        <w:t xml:space="preserve">  </w:t>
      </w:r>
      <w:r>
        <w:rPr>
          <w:rFonts w:hint="eastAsia" w:ascii="楷体" w:hAnsi="楷体" w:eastAsia="楷体" w:cs="楷体"/>
          <w:b w:val="0"/>
          <w:bCs w:val="0"/>
          <w:color w:val="000000"/>
          <w:sz w:val="32"/>
          <w:szCs w:val="32"/>
          <w:lang w:eastAsia="zh-CN"/>
        </w:rPr>
        <w:t>健全口岸安全防控体系</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1" w:firstLineChars="0"/>
        <w:textAlignment w:val="auto"/>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0"/>
          <w:w w:val="100"/>
          <w:sz w:val="32"/>
          <w:szCs w:val="32"/>
        </w:rPr>
        <w:t>将口岸安全作为“国门”安全的第一道防线，进一步完善口岸公共卫生、公共安全、国门生物安全、反恐维稳、强边固防、处置突发事件等防控体系，确保口岸货物通关畅通、人员出入境安全有序。协同海关、边检等相关部门共同建立健全口岸安全防控体系，筑牢国门防线。推进联合执法联合查验，实现口岸管理部门间信息共享共用和执法互助，共同打击进出口环节违规违法行为。各有关部门、单位要加强配合，强化口岸区域疫情联防联控机制，积极构建多层次、全链条、立体化、闭环式防控体系，共同织牢疫情防控网，严防疫情输入。</w:t>
      </w:r>
    </w:p>
    <w:p>
      <w:pPr>
        <w:pStyle w:val="4"/>
        <w:keepNext w:val="0"/>
        <w:keepLines w:val="0"/>
        <w:pageBreakBefore w:val="0"/>
        <w:widowControl w:val="0"/>
        <w:numPr>
          <w:ilvl w:val="0"/>
          <w:numId w:val="0"/>
        </w:numPr>
        <w:kinsoku/>
        <w:wordWrap/>
        <w:overflowPunct/>
        <w:topLinePunct/>
        <w:autoSpaceDE/>
        <w:autoSpaceDN/>
        <w:bidi w:val="0"/>
        <w:adjustRightInd/>
        <w:snapToGrid/>
        <w:spacing w:before="0" w:after="0" w:line="580" w:lineRule="exact"/>
        <w:ind w:left="0" w:leftChars="0" w:right="0" w:rightChars="0" w:firstLine="643"/>
        <w:jc w:val="left"/>
        <w:textAlignment w:val="auto"/>
        <w:rPr>
          <w:rFonts w:hint="eastAsia" w:ascii="仿宋" w:hAnsi="仿宋" w:eastAsia="仿宋" w:cs="仿宋"/>
          <w:color w:val="000000"/>
          <w:sz w:val="32"/>
          <w:szCs w:val="32"/>
          <w:lang w:val="en-US"/>
        </w:rPr>
      </w:pPr>
      <w:r>
        <w:rPr>
          <w:rFonts w:hint="eastAsia" w:ascii="仿宋" w:hAnsi="仿宋" w:eastAsia="仿宋" w:cs="仿宋"/>
          <w:b w:val="0"/>
          <w:i w:val="0"/>
          <w:caps w:val="0"/>
          <w:color w:val="000000"/>
          <w:spacing w:val="0"/>
          <w:w w:val="100"/>
          <w:sz w:val="32"/>
          <w:szCs w:val="32"/>
        </w:rPr>
        <w:t>加强口岸安全基础设施建设，加大安全管控设施设备升级改造力度。以共建共用为目标，整合边检、海关现有监管设施资源和查验场地，合理划分监管作业区域，按照公路口岸、铁路口岸、航空口岸进行监管作业区域场地建设、改造、升级。</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val="en-US" w:eastAsia="zh-CN"/>
        </w:rPr>
      </w:pPr>
      <w:r>
        <w:rPr>
          <w:rFonts w:hint="eastAsia" w:ascii="楷体" w:hAnsi="楷体" w:eastAsia="楷体" w:cs="楷体"/>
          <w:b w:val="0"/>
          <w:bCs w:val="0"/>
          <w:color w:val="000000"/>
          <w:sz w:val="32"/>
          <w:szCs w:val="32"/>
          <w:lang w:val="en-US" w:eastAsia="zh-CN"/>
        </w:rPr>
        <w:t>第八节  完善口岸疫情防控设施和制度建设</w:t>
      </w:r>
    </w:p>
    <w:p>
      <w:pPr>
        <w:pStyle w:val="4"/>
        <w:keepNext w:val="0"/>
        <w:keepLines w:val="0"/>
        <w:pageBreakBefore w:val="0"/>
        <w:widowControl w:val="0"/>
        <w:numPr>
          <w:ilvl w:val="0"/>
          <w:numId w:val="0"/>
        </w:numPr>
        <w:tabs>
          <w:tab w:val="left" w:pos="312"/>
        </w:tabs>
        <w:kinsoku/>
        <w:wordWrap/>
        <w:overflowPunct/>
        <w:topLinePunct/>
        <w:autoSpaceDE/>
        <w:autoSpaceDN/>
        <w:bidi w:val="0"/>
        <w:adjustRightInd/>
        <w:snapToGrid/>
        <w:spacing w:before="0" w:after="0" w:line="580" w:lineRule="exact"/>
        <w:ind w:left="0" w:leftChars="0" w:right="0" w:rightChars="0" w:firstLine="640" w:firstLineChars="200"/>
        <w:textAlignment w:val="auto"/>
        <w:rPr>
          <w:rFonts w:hint="eastAsia" w:ascii="仿宋" w:hAnsi="仿宋" w:eastAsia="仿宋" w:cs="仿宋"/>
          <w:color w:val="000000"/>
          <w:sz w:val="32"/>
          <w:szCs w:val="32"/>
          <w:highlight w:val="none"/>
          <w:lang w:val="en-US" w:eastAsia="zh-CN"/>
        </w:rPr>
      </w:pPr>
      <w:r>
        <w:rPr>
          <w:rFonts w:hint="eastAsia" w:ascii="仿宋" w:hAnsi="仿宋" w:eastAsia="仿宋" w:cs="仿宋"/>
          <w:b w:val="0"/>
          <w:i w:val="0"/>
          <w:caps w:val="0"/>
          <w:color w:val="000000"/>
          <w:spacing w:val="0"/>
          <w:w w:val="100"/>
          <w:sz w:val="32"/>
          <w:szCs w:val="32"/>
          <w:lang w:bidi="mn-Mong-CN"/>
        </w:rPr>
        <w:t>深入</w:t>
      </w:r>
      <w:r>
        <w:rPr>
          <w:rFonts w:hint="eastAsia" w:ascii="仿宋" w:hAnsi="仿宋" w:eastAsia="仿宋" w:cs="仿宋"/>
          <w:b w:val="0"/>
          <w:bCs w:val="0"/>
          <w:i w:val="0"/>
          <w:caps w:val="0"/>
          <w:color w:val="000000"/>
          <w:spacing w:val="0"/>
          <w:w w:val="100"/>
          <w:sz w:val="32"/>
          <w:szCs w:val="32"/>
          <w:lang w:bidi="mn-Mong-CN"/>
        </w:rPr>
        <w:t>贯彻习近平总书记重要指示批示精神，认真落实党中央、国务院决策部署，按照国务院应对新型冠状病毒感染肺炎疫情联防联控机制和自治区新冠肺炎疫情防控指挥部工作要求，全面执行落实“外防输入、内防反弹”的疫情防控总策略，筑牢防范境外疫情从口岸输入的第一道防线。</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textAlignment w:val="auto"/>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highlight w:val="none"/>
          <w:lang w:val="en-US" w:eastAsia="zh-CN"/>
        </w:rPr>
        <w:t>加强疫情防控基础设施建设。</w:t>
      </w:r>
      <w:r>
        <w:rPr>
          <w:rFonts w:hint="eastAsia" w:ascii="仿宋" w:hAnsi="仿宋" w:eastAsia="仿宋" w:cs="仿宋"/>
          <w:b w:val="0"/>
          <w:i w:val="0"/>
          <w:caps w:val="0"/>
          <w:color w:val="000000"/>
          <w:spacing w:val="0"/>
          <w:w w:val="100"/>
          <w:sz w:val="32"/>
          <w:szCs w:val="32"/>
        </w:rPr>
        <w:t>各口岸要依据口岸功能、通关模式、跨境运输方式、出入境货运量不同的实际，按照“一口岸一方案”要求，完善健全口岸疫情防控方案、预案。加强闭环管理物理设施、监控设施和监管制度建设，明确各方责任。</w:t>
      </w:r>
      <w:r>
        <w:rPr>
          <w:rFonts w:hint="eastAsia" w:ascii="仿宋" w:hAnsi="仿宋" w:eastAsia="仿宋" w:cs="仿宋"/>
          <w:b w:val="0"/>
          <w:i w:val="0"/>
          <w:caps w:val="0"/>
          <w:color w:val="auto"/>
          <w:spacing w:val="0"/>
          <w:w w:val="100"/>
          <w:sz w:val="32"/>
          <w:szCs w:val="32"/>
        </w:rPr>
        <w:t>整合海关、边检、公安、口岸管理部门</w:t>
      </w:r>
      <w:r>
        <w:rPr>
          <w:rFonts w:hint="eastAsia" w:ascii="仿宋" w:hAnsi="仿宋" w:eastAsia="仿宋" w:cs="仿宋"/>
          <w:b w:val="0"/>
          <w:i w:val="0"/>
          <w:caps w:val="0"/>
          <w:color w:val="auto"/>
          <w:spacing w:val="0"/>
          <w:w w:val="100"/>
          <w:sz w:val="32"/>
          <w:szCs w:val="32"/>
          <w:lang w:eastAsia="zh-CN"/>
        </w:rPr>
        <w:t>以及</w:t>
      </w:r>
      <w:r>
        <w:rPr>
          <w:rFonts w:hint="eastAsia" w:ascii="仿宋" w:hAnsi="仿宋" w:eastAsia="仿宋" w:cs="仿宋"/>
          <w:b w:val="0"/>
          <w:i w:val="0"/>
          <w:caps w:val="0"/>
          <w:color w:val="auto"/>
          <w:spacing w:val="0"/>
          <w:w w:val="100"/>
          <w:sz w:val="32"/>
          <w:szCs w:val="32"/>
        </w:rPr>
        <w:t>各作业区和企业</w:t>
      </w:r>
      <w:r>
        <w:rPr>
          <w:rFonts w:hint="eastAsia" w:ascii="仿宋" w:hAnsi="仿宋" w:eastAsia="仿宋" w:cs="仿宋"/>
          <w:b w:val="0"/>
          <w:i w:val="0"/>
          <w:caps w:val="0"/>
          <w:color w:val="auto"/>
          <w:spacing w:val="0"/>
          <w:w w:val="100"/>
          <w:sz w:val="32"/>
          <w:szCs w:val="32"/>
          <w:lang w:eastAsia="zh-CN"/>
        </w:rPr>
        <w:t>的</w:t>
      </w:r>
      <w:r>
        <w:rPr>
          <w:rFonts w:hint="eastAsia" w:ascii="仿宋" w:hAnsi="仿宋" w:eastAsia="仿宋" w:cs="仿宋"/>
          <w:b w:val="0"/>
          <w:i w:val="0"/>
          <w:caps w:val="0"/>
          <w:color w:val="auto"/>
          <w:spacing w:val="0"/>
          <w:w w:val="100"/>
          <w:sz w:val="32"/>
          <w:szCs w:val="32"/>
        </w:rPr>
        <w:t>视频监控，</w:t>
      </w:r>
      <w:r>
        <w:rPr>
          <w:rFonts w:hint="eastAsia" w:ascii="仿宋" w:hAnsi="仿宋" w:eastAsia="仿宋" w:cs="仿宋"/>
          <w:b w:val="0"/>
          <w:i w:val="0"/>
          <w:caps w:val="0"/>
          <w:color w:val="000000"/>
          <w:spacing w:val="0"/>
          <w:w w:val="100"/>
          <w:sz w:val="32"/>
          <w:szCs w:val="32"/>
        </w:rPr>
        <w:t>实现信息共享。严厉打击走私和夹藏夹带物品的违法活动。口岸周边地区加强边境技防设施建设，严打非法越境活动。</w:t>
      </w:r>
    </w:p>
    <w:p>
      <w:pPr>
        <w:keepNext w:val="0"/>
        <w:keepLines w:val="0"/>
        <w:pageBreakBefore w:val="0"/>
        <w:widowControl w:val="0"/>
        <w:numPr>
          <w:ilvl w:val="0"/>
          <w:numId w:val="0"/>
        </w:numPr>
        <w:kinsoku/>
        <w:wordWrap/>
        <w:overflowPunct/>
        <w:topLinePunct/>
        <w:autoSpaceDE/>
        <w:autoSpaceDN/>
        <w:bidi w:val="0"/>
        <w:adjustRightInd/>
        <w:snapToGrid/>
        <w:spacing w:line="580" w:lineRule="exact"/>
        <w:ind w:right="0" w:rightChars="0" w:firstLine="640" w:firstLineChars="200"/>
        <w:textAlignment w:val="auto"/>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0"/>
          <w:w w:val="100"/>
          <w:sz w:val="32"/>
          <w:szCs w:val="32"/>
          <w:lang w:val="en-US" w:eastAsia="zh-CN"/>
        </w:rPr>
        <w:t>2.</w:t>
      </w:r>
      <w:r>
        <w:rPr>
          <w:rFonts w:hint="eastAsia" w:ascii="仿宋" w:hAnsi="仿宋" w:eastAsia="仿宋" w:cs="仿宋"/>
          <w:b w:val="0"/>
          <w:i w:val="0"/>
          <w:caps w:val="0"/>
          <w:color w:val="000000"/>
          <w:spacing w:val="0"/>
          <w:w w:val="100"/>
          <w:sz w:val="32"/>
          <w:szCs w:val="32"/>
        </w:rPr>
        <w:t>加强“人、物、环境”同防。严格规范落实口岸疫情防控闭环管理各项要求，坚持“人、物、环境”同防，改进和完善出入境货物交接流程，推广应用甩挂、吊装、接驳等新型作业方式。</w:t>
      </w:r>
      <w:r>
        <w:rPr>
          <w:rFonts w:hint="eastAsia" w:ascii="仿宋" w:hAnsi="仿宋" w:eastAsia="仿宋" w:cs="仿宋"/>
          <w:b w:val="0"/>
          <w:i w:val="0"/>
          <w:caps w:val="0"/>
          <w:color w:val="000000"/>
          <w:spacing w:val="6"/>
          <w:w w:val="100"/>
          <w:sz w:val="32"/>
          <w:szCs w:val="32"/>
        </w:rPr>
        <w:t>强化对人、车、物的消杀和核酸检测，严格落实闭环管理措施。</w:t>
      </w:r>
      <w:r>
        <w:rPr>
          <w:rFonts w:hint="eastAsia" w:ascii="仿宋" w:hAnsi="仿宋" w:eastAsia="仿宋" w:cs="仿宋"/>
          <w:b w:val="0"/>
          <w:i w:val="0"/>
          <w:caps w:val="0"/>
          <w:color w:val="000000"/>
          <w:spacing w:val="0"/>
          <w:w w:val="100"/>
          <w:sz w:val="32"/>
          <w:szCs w:val="32"/>
        </w:rPr>
        <w:t>严格执行预防消毒、核酸检测、健康申报、体温检测、医学巡查等措施，认真落实“四早”要求。定期进行督导和抽样评估，因时因势及时调整防控策略，持续优化和完善防控策略，切实做到科学、精准、有效防控，做好疫情防控信息报送工作。</w:t>
      </w:r>
    </w:p>
    <w:p>
      <w:pPr>
        <w:keepNext w:val="0"/>
        <w:keepLines w:val="0"/>
        <w:pageBreakBefore w:val="0"/>
        <w:widowControl w:val="0"/>
        <w:numPr>
          <w:ilvl w:val="0"/>
          <w:numId w:val="1"/>
        </w:numPr>
        <w:kinsoku/>
        <w:wordWrap/>
        <w:overflowPunct/>
        <w:topLinePunct/>
        <w:autoSpaceDE/>
        <w:autoSpaceDN/>
        <w:bidi w:val="0"/>
        <w:adjustRightInd/>
        <w:snapToGrid/>
        <w:spacing w:line="580" w:lineRule="exact"/>
        <w:ind w:left="0" w:leftChars="0" w:right="0" w:rightChars="0" w:firstLine="616" w:firstLineChars="200"/>
        <w:jc w:val="both"/>
        <w:textAlignment w:val="auto"/>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6"/>
          <w:w w:val="100"/>
          <w:sz w:val="32"/>
          <w:szCs w:val="32"/>
        </w:rPr>
        <w:t>压实压紧口岸各方责任。地方人民政府要加强组织领导，</w:t>
      </w:r>
      <w:r>
        <w:rPr>
          <w:rFonts w:hint="eastAsia" w:ascii="仿宋" w:hAnsi="仿宋" w:eastAsia="仿宋" w:cs="仿宋"/>
          <w:b w:val="0"/>
          <w:i w:val="0"/>
          <w:caps w:val="0"/>
          <w:color w:val="000000"/>
          <w:spacing w:val="0"/>
          <w:w w:val="100"/>
          <w:sz w:val="32"/>
          <w:szCs w:val="32"/>
        </w:rPr>
        <w:t>强化工作责任，组织专班负责口岸疫情防控工作；完善健全疫情防控督导检查机制，加强督导检查队伍建设。各相关部门要持续落实各项防控措施，加强工作调度，细化落实防控方案。海关、边检等联检单位要积极发挥前线哨所监管作用。口岸经营企业要严格执行属地疫情防控指挥部各项防控要求，切实担负起企业疫情防控主体责任。加强对闭环管理区域内人员的规范化管理，各部门、单位工作人员要严格遵守疫情防控工作要求和作业要求。</w:t>
      </w:r>
    </w:p>
    <w:p>
      <w:pPr>
        <w:keepNext w:val="0"/>
        <w:keepLines w:val="0"/>
        <w:pageBreakBefore w:val="0"/>
        <w:widowControl w:val="0"/>
        <w:numPr>
          <w:ilvl w:val="0"/>
          <w:numId w:val="0"/>
        </w:numPr>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9"/>
        <w:rPr>
          <w:rFonts w:hint="eastAsia" w:ascii="黑体" w:hAnsi="黑体" w:eastAsia="黑体" w:cs="黑体"/>
          <w:b w:val="0"/>
          <w:bCs w:val="0"/>
          <w:color w:val="000000"/>
          <w:sz w:val="32"/>
          <w:szCs w:val="32"/>
          <w:lang w:val="en-US" w:eastAsia="zh-CN"/>
        </w:rPr>
      </w:pPr>
      <w:r>
        <w:rPr>
          <w:rFonts w:hint="eastAsia" w:ascii="黑体" w:hAnsi="黑体" w:eastAsia="黑体" w:cs="黑体"/>
          <w:b w:val="0"/>
          <w:bCs w:val="0"/>
          <w:color w:val="000000"/>
          <w:sz w:val="32"/>
          <w:szCs w:val="32"/>
          <w:lang w:val="en-US" w:eastAsia="zh-CN"/>
        </w:rPr>
        <w:t>第五章  保障机制</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val="en-US" w:eastAsia="zh-CN"/>
        </w:rPr>
      </w:pPr>
      <w:r>
        <w:rPr>
          <w:rFonts w:hint="eastAsia" w:ascii="楷体" w:hAnsi="楷体" w:eastAsia="楷体" w:cs="楷体"/>
          <w:b w:val="0"/>
          <w:bCs w:val="0"/>
          <w:color w:val="000000"/>
          <w:sz w:val="32"/>
          <w:szCs w:val="32"/>
          <w:lang w:val="en-US" w:eastAsia="zh-CN"/>
        </w:rPr>
        <w:t>第一节  强化工作推进机制</w:t>
      </w:r>
    </w:p>
    <w:p>
      <w:pPr>
        <w:pStyle w:val="4"/>
        <w:keepNext w:val="0"/>
        <w:keepLines w:val="0"/>
        <w:pageBreakBefore w:val="0"/>
        <w:widowControl w:val="0"/>
        <w:kinsoku/>
        <w:wordWrap/>
        <w:overflowPunct/>
        <w:topLinePunct/>
        <w:autoSpaceDE/>
        <w:autoSpaceDN/>
        <w:bidi w:val="0"/>
        <w:adjustRightInd/>
        <w:snapToGrid/>
        <w:spacing w:before="0" w:after="0" w:line="580" w:lineRule="exact"/>
        <w:ind w:left="0" w:leftChars="0" w:right="0" w:rightChars="0" w:firstLine="643"/>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lang w:bidi="mn-Mong-CN"/>
        </w:rPr>
        <w:t>自治区加强规划实施的组织领导，明确“十四五”时期各年度目标、工作重点及推进措施。充分发挥自治区口岸管理部门协作机制作用，定期分析全区口岸建设与发展出现的新情况和新问题并及时研究解决，确保各项目标任务如期完成。</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val="en-US" w:eastAsia="zh-CN"/>
        </w:rPr>
      </w:pPr>
      <w:r>
        <w:rPr>
          <w:rFonts w:hint="eastAsia" w:ascii="楷体" w:hAnsi="楷体" w:eastAsia="楷体" w:cs="楷体"/>
          <w:b w:val="0"/>
          <w:bCs w:val="0"/>
          <w:color w:val="000000"/>
          <w:sz w:val="32"/>
          <w:szCs w:val="32"/>
          <w:lang w:val="en-US" w:eastAsia="zh-CN"/>
        </w:rPr>
        <w:t>第二节  实施分类指导管理</w:t>
      </w:r>
    </w:p>
    <w:p>
      <w:pPr>
        <w:pStyle w:val="4"/>
        <w:keepNext w:val="0"/>
        <w:keepLines w:val="0"/>
        <w:pageBreakBefore w:val="0"/>
        <w:widowControl w:val="0"/>
        <w:kinsoku/>
        <w:wordWrap/>
        <w:overflowPunct/>
        <w:topLinePunct/>
        <w:autoSpaceDE/>
        <w:autoSpaceDN/>
        <w:bidi w:val="0"/>
        <w:adjustRightInd/>
        <w:snapToGrid/>
        <w:spacing w:before="0" w:after="0" w:line="580" w:lineRule="exact"/>
        <w:ind w:left="0" w:leftChars="0" w:right="0" w:rightChars="0" w:firstLine="643"/>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lang w:bidi="mn-Mong-CN"/>
        </w:rPr>
        <w:t>按照本规划要求对全区各口岸功能布局、发展重点给予分类指导，在扩大开放、建设投入、功能拓展等方面，实行差别化管理措施，有效引导各口岸按照确定的方向与定位有序发展，为构建综合枢纽口岸引领带动、重点专业口岸突出优势、普通口岸协同互补的新格局创造条件。各口岸规划若遇到重大功能调整，需提前报自治区口岸管理部门进行组织论证，口岸项目要严格按照规划执行，对不符合功能定位和发展规划的项目，不再予以支持。
</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val="en-US" w:eastAsia="zh-CN"/>
        </w:rPr>
      </w:pPr>
      <w:r>
        <w:rPr>
          <w:rFonts w:hint="eastAsia" w:ascii="楷体" w:hAnsi="楷体" w:eastAsia="楷体" w:cs="楷体"/>
          <w:b w:val="0"/>
          <w:bCs w:val="0"/>
          <w:color w:val="000000"/>
          <w:sz w:val="32"/>
          <w:szCs w:val="32"/>
          <w:lang w:val="en-US" w:eastAsia="zh-CN"/>
        </w:rPr>
        <w:t>第三节  加强内外协调机制</w:t>
      </w:r>
    </w:p>
    <w:p>
      <w:pPr>
        <w:pStyle w:val="4"/>
        <w:keepNext w:val="0"/>
        <w:keepLines w:val="0"/>
        <w:pageBreakBefore w:val="0"/>
        <w:widowControl w:val="0"/>
        <w:kinsoku/>
        <w:wordWrap/>
        <w:overflowPunct/>
        <w:topLinePunct/>
        <w:autoSpaceDE/>
        <w:autoSpaceDN/>
        <w:bidi w:val="0"/>
        <w:adjustRightInd/>
        <w:snapToGrid/>
        <w:spacing w:before="0" w:after="0" w:line="580" w:lineRule="exact"/>
        <w:ind w:left="0" w:leftChars="0" w:right="0" w:rightChars="0" w:firstLine="643"/>
        <w:textAlignment w:val="auto"/>
        <w:rPr>
          <w:rFonts w:hint="eastAsia" w:ascii="仿宋" w:hAnsi="仿宋" w:eastAsia="仿宋" w:cs="仿宋"/>
          <w:color w:val="000000"/>
          <w:sz w:val="32"/>
          <w:szCs w:val="32"/>
        </w:rPr>
      </w:pPr>
      <w:r>
        <w:rPr>
          <w:rFonts w:hint="eastAsia" w:ascii="仿宋" w:hAnsi="仿宋" w:eastAsia="仿宋" w:cs="仿宋"/>
          <w:b w:val="0"/>
          <w:i w:val="0"/>
          <w:caps w:val="0"/>
          <w:color w:val="auto"/>
          <w:spacing w:val="0"/>
          <w:w w:val="100"/>
          <w:sz w:val="32"/>
          <w:szCs w:val="32"/>
          <w:lang w:eastAsia="zh-CN" w:bidi="mn-Mong-CN"/>
        </w:rPr>
        <w:t>充分</w:t>
      </w:r>
      <w:r>
        <w:rPr>
          <w:rFonts w:hint="eastAsia" w:ascii="仿宋" w:hAnsi="仿宋" w:eastAsia="仿宋" w:cs="仿宋"/>
          <w:b w:val="0"/>
          <w:i w:val="0"/>
          <w:caps w:val="0"/>
          <w:color w:val="auto"/>
          <w:spacing w:val="0"/>
          <w:w w:val="100"/>
          <w:sz w:val="32"/>
          <w:szCs w:val="32"/>
          <w:lang w:bidi="mn-Mong-CN"/>
        </w:rPr>
        <w:t>发挥自治区口岸管理部门协作机制作用，</w:t>
      </w:r>
      <w:r>
        <w:rPr>
          <w:rFonts w:hint="eastAsia" w:ascii="仿宋" w:hAnsi="仿宋" w:eastAsia="仿宋" w:cs="仿宋"/>
          <w:b w:val="0"/>
          <w:i w:val="0"/>
          <w:caps w:val="0"/>
          <w:color w:val="auto"/>
          <w:spacing w:val="0"/>
          <w:w w:val="100"/>
          <w:sz w:val="32"/>
          <w:szCs w:val="32"/>
          <w:lang w:eastAsia="zh-CN" w:bidi="mn-Mong-CN"/>
        </w:rPr>
        <w:t>加大我区与俄蒙口岸工作协调力度，加强</w:t>
      </w:r>
      <w:r>
        <w:rPr>
          <w:rFonts w:hint="eastAsia" w:ascii="仿宋" w:hAnsi="仿宋" w:eastAsia="仿宋" w:cs="仿宋"/>
          <w:b w:val="0"/>
          <w:i w:val="0"/>
          <w:caps w:val="0"/>
          <w:color w:val="auto"/>
          <w:spacing w:val="0"/>
          <w:w w:val="100"/>
          <w:sz w:val="32"/>
          <w:szCs w:val="32"/>
          <w:lang w:bidi="mn-Mong-CN"/>
        </w:rPr>
        <w:t>我区口岸与沿海、内陆重点省份口岸协作</w:t>
      </w:r>
      <w:r>
        <w:rPr>
          <w:rFonts w:hint="eastAsia" w:ascii="仿宋" w:hAnsi="仿宋" w:eastAsia="仿宋" w:cs="仿宋"/>
          <w:b w:val="0"/>
          <w:i w:val="0"/>
          <w:caps w:val="0"/>
          <w:color w:val="auto"/>
          <w:spacing w:val="0"/>
          <w:w w:val="100"/>
          <w:sz w:val="32"/>
          <w:szCs w:val="32"/>
          <w:lang w:eastAsia="zh-CN" w:bidi="mn-Mong-CN"/>
        </w:rPr>
        <w:t>，提升</w:t>
      </w:r>
      <w:r>
        <w:rPr>
          <w:rFonts w:hint="eastAsia" w:ascii="仿宋" w:hAnsi="仿宋" w:eastAsia="仿宋" w:cs="仿宋"/>
          <w:b w:val="0"/>
          <w:i w:val="0"/>
          <w:caps w:val="0"/>
          <w:color w:val="auto"/>
          <w:spacing w:val="0"/>
          <w:w w:val="100"/>
          <w:sz w:val="32"/>
          <w:szCs w:val="32"/>
          <w:lang w:bidi="mn-Mong-CN"/>
        </w:rPr>
        <w:t>服务国家战略</w:t>
      </w:r>
      <w:r>
        <w:rPr>
          <w:rFonts w:hint="eastAsia" w:ascii="仿宋" w:hAnsi="仿宋" w:eastAsia="仿宋" w:cs="仿宋"/>
          <w:b w:val="0"/>
          <w:i w:val="0"/>
          <w:caps w:val="0"/>
          <w:color w:val="auto"/>
          <w:spacing w:val="0"/>
          <w:w w:val="100"/>
          <w:sz w:val="32"/>
          <w:szCs w:val="32"/>
          <w:lang w:eastAsia="zh-CN" w:bidi="mn-Mong-CN"/>
        </w:rPr>
        <w:t>能力，</w:t>
      </w:r>
      <w:r>
        <w:rPr>
          <w:rFonts w:hint="eastAsia" w:ascii="仿宋" w:hAnsi="仿宋" w:eastAsia="仿宋" w:cs="仿宋"/>
          <w:b w:val="0"/>
          <w:i w:val="0"/>
          <w:caps w:val="0"/>
          <w:color w:val="auto"/>
          <w:spacing w:val="0"/>
          <w:w w:val="100"/>
          <w:sz w:val="32"/>
          <w:szCs w:val="32"/>
          <w:lang w:bidi="mn-Mong-CN"/>
        </w:rPr>
        <w:t>构建联通内外、贯通陆海联运的</w:t>
      </w:r>
      <w:r>
        <w:rPr>
          <w:rFonts w:hint="eastAsia" w:ascii="仿宋" w:hAnsi="仿宋" w:eastAsia="仿宋" w:cs="仿宋"/>
          <w:b w:val="0"/>
          <w:i w:val="0"/>
          <w:caps w:val="0"/>
          <w:color w:val="auto"/>
          <w:spacing w:val="0"/>
          <w:w w:val="100"/>
          <w:sz w:val="32"/>
          <w:szCs w:val="32"/>
          <w:lang w:eastAsia="zh-CN" w:bidi="mn-Mong-CN"/>
        </w:rPr>
        <w:t>国际大通道。</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val="en-US" w:eastAsia="zh-CN"/>
        </w:rPr>
      </w:pPr>
      <w:r>
        <w:rPr>
          <w:rFonts w:hint="eastAsia" w:ascii="楷体" w:hAnsi="楷体" w:eastAsia="楷体" w:cs="楷体"/>
          <w:b w:val="0"/>
          <w:bCs w:val="0"/>
          <w:color w:val="000000"/>
          <w:sz w:val="32"/>
          <w:szCs w:val="32"/>
          <w:lang w:val="en-US" w:eastAsia="zh-CN"/>
        </w:rPr>
        <w:t>第四节  建立绩效管理机制</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textAlignment w:val="auto"/>
        <w:rPr>
          <w:rFonts w:hint="eastAsia" w:ascii="仿宋" w:hAnsi="仿宋" w:eastAsia="仿宋" w:cs="仿宋"/>
          <w:b w:val="0"/>
          <w:i w:val="0"/>
          <w:caps w:val="0"/>
          <w:color w:val="000000"/>
          <w:spacing w:val="0"/>
          <w:w w:val="100"/>
          <w:sz w:val="32"/>
          <w:szCs w:val="32"/>
        </w:rPr>
      </w:pPr>
      <w:r>
        <w:rPr>
          <w:rFonts w:hint="eastAsia" w:ascii="仿宋" w:hAnsi="仿宋" w:eastAsia="仿宋" w:cs="仿宋"/>
          <w:b w:val="0"/>
          <w:i w:val="0"/>
          <w:caps w:val="0"/>
          <w:color w:val="000000"/>
          <w:spacing w:val="0"/>
          <w:w w:val="100"/>
          <w:sz w:val="32"/>
          <w:szCs w:val="32"/>
        </w:rPr>
        <w:t>根据国家口岸管理办公室即将出台的《口岸综合绩效评估管理办法》，建立自治区口岸综合绩效评估机制，对目前口岸运行发展、绩效评估进行全面考核管理，切实提高口岸运行效率。在口岸绩效评估基础上，逐步落实</w:t>
      </w:r>
      <w:r>
        <w:rPr>
          <w:rFonts w:hint="eastAsia" w:ascii="仿宋" w:hAnsi="仿宋" w:eastAsia="仿宋" w:cs="仿宋"/>
          <w:b w:val="0"/>
          <w:i w:val="0"/>
          <w:caps w:val="0"/>
          <w:color w:val="auto"/>
          <w:spacing w:val="0"/>
          <w:w w:val="100"/>
          <w:sz w:val="32"/>
          <w:szCs w:val="32"/>
        </w:rPr>
        <w:t>国家口岸管理办公室《口岸准入退出管理办法</w:t>
      </w:r>
      <w:r>
        <w:rPr>
          <w:rFonts w:hint="eastAsia" w:ascii="仿宋" w:hAnsi="仿宋" w:eastAsia="仿宋" w:cs="仿宋"/>
          <w:b w:val="0"/>
          <w:i w:val="0"/>
          <w:caps w:val="0"/>
          <w:color w:val="auto"/>
          <w:spacing w:val="0"/>
          <w:w w:val="100"/>
          <w:sz w:val="32"/>
          <w:szCs w:val="32"/>
          <w:lang w:eastAsia="zh-CN"/>
        </w:rPr>
        <w:t>（暂行）</w:t>
      </w:r>
      <w:r>
        <w:rPr>
          <w:rFonts w:hint="eastAsia" w:ascii="仿宋" w:hAnsi="仿宋" w:eastAsia="仿宋" w:cs="仿宋"/>
          <w:b w:val="0"/>
          <w:i w:val="0"/>
          <w:caps w:val="0"/>
          <w:color w:val="auto"/>
          <w:spacing w:val="0"/>
          <w:w w:val="100"/>
          <w:sz w:val="32"/>
          <w:szCs w:val="32"/>
        </w:rPr>
        <w:t>》，</w:t>
      </w:r>
      <w:r>
        <w:rPr>
          <w:rFonts w:hint="eastAsia" w:ascii="仿宋" w:hAnsi="仿宋" w:eastAsia="仿宋" w:cs="仿宋"/>
          <w:b w:val="0"/>
          <w:i w:val="0"/>
          <w:caps w:val="0"/>
          <w:color w:val="000000"/>
          <w:spacing w:val="0"/>
          <w:w w:val="100"/>
          <w:sz w:val="32"/>
          <w:szCs w:val="32"/>
        </w:rPr>
        <w:t>实行动态化管理。加强对各类开放平台事中事后监督，重点解决综合保税区定位不清晰、配套设施不健全、政策运用不到位以及外向型产业定位空心化严重等问题，提升开放平台发展质量和综合效益。</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val="en-US" w:eastAsia="zh-CN"/>
        </w:rPr>
      </w:pPr>
      <w:r>
        <w:rPr>
          <w:rFonts w:hint="eastAsia" w:ascii="楷体" w:hAnsi="楷体" w:eastAsia="楷体" w:cs="楷体"/>
          <w:b w:val="0"/>
          <w:bCs w:val="0"/>
          <w:color w:val="000000"/>
          <w:sz w:val="32"/>
          <w:szCs w:val="32"/>
          <w:lang w:val="en-US" w:eastAsia="zh-CN"/>
        </w:rPr>
        <w:t>第五节  加大资金扶持力度</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textAlignment w:val="auto"/>
        <w:rPr>
          <w:rFonts w:hint="eastAsia" w:ascii="仿宋" w:hAnsi="仿宋" w:eastAsia="仿宋" w:cs="仿宋"/>
          <w:color w:val="000000"/>
          <w:sz w:val="32"/>
          <w:szCs w:val="32"/>
        </w:rPr>
      </w:pPr>
      <w:r>
        <w:rPr>
          <w:rFonts w:hint="eastAsia" w:ascii="仿宋" w:hAnsi="仿宋" w:eastAsia="仿宋" w:cs="仿宋"/>
          <w:b w:val="0"/>
          <w:i w:val="0"/>
          <w:caps w:val="0"/>
          <w:color w:val="000000"/>
          <w:spacing w:val="0"/>
          <w:w w:val="100"/>
          <w:sz w:val="32"/>
          <w:szCs w:val="32"/>
        </w:rPr>
        <w:t>创新投融资机制，保障口岸建设投入稳定。通过现有政策和资金渠道支持口岸基础设施建设。进一步完善自治区、盟市、旗县</w:t>
      </w:r>
      <w:r>
        <w:rPr>
          <w:rFonts w:hint="eastAsia" w:ascii="仿宋" w:hAnsi="仿宋" w:eastAsia="仿宋" w:cs="仿宋"/>
          <w:b w:val="0"/>
          <w:i w:val="0"/>
          <w:caps w:val="0"/>
          <w:color w:val="000000"/>
          <w:spacing w:val="0"/>
          <w:w w:val="100"/>
          <w:sz w:val="32"/>
          <w:szCs w:val="32"/>
          <w:lang w:eastAsia="zh-CN"/>
        </w:rPr>
        <w:t>（</w:t>
      </w:r>
      <w:r>
        <w:rPr>
          <w:rFonts w:hint="eastAsia" w:ascii="仿宋" w:hAnsi="仿宋" w:eastAsia="仿宋" w:cs="仿宋"/>
          <w:b w:val="0"/>
          <w:i w:val="0"/>
          <w:caps w:val="0"/>
          <w:color w:val="000000"/>
          <w:spacing w:val="0"/>
          <w:w w:val="100"/>
          <w:sz w:val="32"/>
          <w:szCs w:val="32"/>
        </w:rPr>
        <w:t>市、区</w:t>
      </w:r>
      <w:r>
        <w:rPr>
          <w:rFonts w:hint="eastAsia" w:ascii="仿宋" w:hAnsi="仿宋" w:eastAsia="仿宋" w:cs="仿宋"/>
          <w:b w:val="0"/>
          <w:i w:val="0"/>
          <w:caps w:val="0"/>
          <w:color w:val="000000"/>
          <w:spacing w:val="0"/>
          <w:w w:val="100"/>
          <w:sz w:val="32"/>
          <w:szCs w:val="32"/>
          <w:lang w:eastAsia="zh-CN"/>
        </w:rPr>
        <w:t>）</w:t>
      </w:r>
      <w:r>
        <w:rPr>
          <w:rFonts w:hint="eastAsia" w:ascii="仿宋" w:hAnsi="仿宋" w:eastAsia="仿宋" w:cs="仿宋"/>
          <w:b w:val="0"/>
          <w:i w:val="0"/>
          <w:caps w:val="0"/>
          <w:color w:val="000000"/>
          <w:spacing w:val="0"/>
          <w:w w:val="100"/>
          <w:sz w:val="32"/>
          <w:szCs w:val="32"/>
        </w:rPr>
        <w:t>三级对口岸建设的投入机制。积极推动组建口岸投资建设运营集团，充分发挥市场配置资源作用，优化整合口岸要素资源，吸引各类资本特别是央企、国企参与口岸基础设施建设和各类平台运营。推动形成政府主导、社会资本广泛参与的口岸建设投融资机制，有效补充口岸建设资金。
</w:t>
      </w:r>
    </w:p>
    <w:p>
      <w:pPr>
        <w:pStyle w:val="4"/>
        <w:keepNext w:val="0"/>
        <w:keepLines w:val="0"/>
        <w:pageBreakBefore w:val="0"/>
        <w:widowControl w:val="0"/>
        <w:kinsoku/>
        <w:wordWrap/>
        <w:overflowPunct/>
        <w:topLinePunct/>
        <w:autoSpaceDE/>
        <w:autoSpaceDN/>
        <w:bidi w:val="0"/>
        <w:adjustRightInd/>
        <w:snapToGrid/>
        <w:spacing w:before="313" w:beforeLines="100" w:after="313" w:afterLines="100" w:line="580" w:lineRule="exact"/>
        <w:ind w:left="0" w:leftChars="0" w:right="0" w:rightChars="0" w:firstLine="0" w:firstLineChars="0"/>
        <w:jc w:val="center"/>
        <w:textAlignment w:val="auto"/>
        <w:outlineLvl w:val="1"/>
        <w:rPr>
          <w:rFonts w:hint="eastAsia" w:ascii="楷体" w:hAnsi="楷体" w:eastAsia="楷体" w:cs="楷体"/>
          <w:b w:val="0"/>
          <w:bCs w:val="0"/>
          <w:color w:val="000000"/>
          <w:sz w:val="32"/>
          <w:szCs w:val="32"/>
          <w:lang w:val="en-US" w:eastAsia="zh-CN"/>
        </w:rPr>
      </w:pPr>
      <w:r>
        <w:rPr>
          <w:rFonts w:hint="eastAsia" w:ascii="楷体" w:hAnsi="楷体" w:eastAsia="楷体" w:cs="楷体"/>
          <w:b w:val="0"/>
          <w:bCs w:val="0"/>
          <w:color w:val="000000"/>
          <w:sz w:val="32"/>
          <w:szCs w:val="32"/>
          <w:lang w:val="en-US" w:eastAsia="zh-CN"/>
        </w:rPr>
        <w:t>第六节  强化政策支持力度</w:t>
      </w:r>
    </w:p>
    <w:p>
      <w:pPr>
        <w:keepNext w:val="0"/>
        <w:keepLines w:val="0"/>
        <w:pageBreakBefore w:val="0"/>
        <w:widowControl w:val="0"/>
        <w:kinsoku/>
        <w:wordWrap/>
        <w:overflowPunct/>
        <w:topLinePunct/>
        <w:autoSpaceDE/>
        <w:autoSpaceDN/>
        <w:bidi w:val="0"/>
        <w:adjustRightInd/>
        <w:snapToGrid/>
        <w:spacing w:line="580" w:lineRule="exact"/>
        <w:ind w:left="0" w:leftChars="0" w:right="0" w:rightChars="0" w:firstLine="640" w:firstLineChars="200"/>
        <w:textAlignment w:val="auto"/>
        <w:rPr>
          <w:rFonts w:hint="eastAsia" w:ascii="仿宋" w:hAnsi="仿宋" w:eastAsia="仿宋" w:cs="仿宋"/>
          <w:color w:val="auto"/>
          <w:sz w:val="32"/>
          <w:szCs w:val="32"/>
        </w:rPr>
      </w:pPr>
      <w:r>
        <w:rPr>
          <w:rFonts w:hint="eastAsia" w:ascii="仿宋" w:hAnsi="仿宋" w:eastAsia="仿宋" w:cs="仿宋"/>
          <w:b w:val="0"/>
          <w:i w:val="0"/>
          <w:caps w:val="0"/>
          <w:color w:val="auto"/>
          <w:spacing w:val="0"/>
          <w:w w:val="100"/>
          <w:sz w:val="32"/>
          <w:szCs w:val="32"/>
          <w:lang w:eastAsia="zh-CN"/>
        </w:rPr>
        <w:t>认真落实好国家和自治区已经制定出台的各项扶持政策，切实用足、用好涉及口岸发展的产业、</w:t>
      </w:r>
      <w:r>
        <w:rPr>
          <w:rFonts w:hint="eastAsia" w:ascii="仿宋" w:hAnsi="仿宋" w:eastAsia="仿宋" w:cs="仿宋"/>
          <w:b w:val="0"/>
          <w:i w:val="0"/>
          <w:caps w:val="0"/>
          <w:color w:val="auto"/>
          <w:spacing w:val="0"/>
          <w:w w:val="100"/>
          <w:sz w:val="32"/>
          <w:szCs w:val="32"/>
        </w:rPr>
        <w:t>财税、土地、金融和人才等扶持政策</w:t>
      </w:r>
      <w:r>
        <w:rPr>
          <w:rFonts w:hint="eastAsia" w:ascii="仿宋" w:hAnsi="仿宋" w:eastAsia="仿宋" w:cs="仿宋"/>
          <w:b w:val="0"/>
          <w:i w:val="0"/>
          <w:caps w:val="0"/>
          <w:color w:val="auto"/>
          <w:spacing w:val="0"/>
          <w:w w:val="100"/>
          <w:sz w:val="32"/>
          <w:szCs w:val="32"/>
          <w:lang w:eastAsia="zh-CN"/>
        </w:rPr>
        <w:t>，并根据形势发展和实际工作需要，研究制定自治区新的扶持政策。</w:t>
      </w:r>
    </w:p>
    <w:p>
      <w:pPr>
        <w:ind w:firstLine="0"/>
        <w:rPr>
          <w:rFonts w:hint="eastAsia" w:eastAsia="仿宋_GB2312"/>
          <w:sz w:val="32"/>
        </w:rPr>
      </w:pPr>
    </w:p>
    <w:p>
      <w:pPr>
        <w:pStyle w:val="7"/>
        <w:tabs>
          <w:tab w:val="left" w:pos="7560"/>
        </w:tabs>
        <w:wordWrap w:val="0"/>
        <w:ind w:left="4520" w:leftChars="2058" w:hanging="198" w:hangingChars="62"/>
        <w:jc w:val="right"/>
        <w:rPr>
          <w:rFonts w:hint="eastAsia" w:ascii="黑体" w:eastAsia="黑体"/>
        </w:rPr>
      </w:pPr>
    </w:p>
    <w:p>
      <w:pPr>
        <w:pStyle w:val="7"/>
        <w:tabs>
          <w:tab w:val="left" w:pos="7560"/>
        </w:tabs>
        <w:wordWrap/>
        <w:ind w:left="0" w:leftChars="0" w:firstLine="0" w:firstLineChars="0"/>
        <w:jc w:val="left"/>
        <w:rPr>
          <w:rFonts w:hint="eastAsia" w:ascii="黑体" w:eastAsia="黑体"/>
        </w:rPr>
      </w:pPr>
    </w:p>
    <w:p>
      <w:pPr>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p>
      <w:pPr>
        <w:pStyle w:val="2"/>
        <w:rPr>
          <w:rFonts w:hint="eastAsia" w:ascii="黑体" w:eastAsia="黑体"/>
        </w:rPr>
      </w:pPr>
    </w:p>
    <w:bookmarkEnd w:id="2"/>
    <w:bookmarkEnd w:id="3"/>
    <w:bookmarkEnd w:id="4"/>
    <w:bookmarkEnd w:id="5"/>
    <w:bookmarkEnd w:id="6"/>
    <w:bookmarkEnd w:id="7"/>
    <w:bookmarkEnd w:id="8"/>
    <w:bookmarkEnd w:id="9"/>
    <w:bookmarkEnd w:id="10"/>
    <w:bookmarkEnd w:id="11"/>
    <w:bookmarkEnd w:id="12"/>
    <w:bookmarkEnd w:id="13"/>
    <w:bookmarkEnd w:id="14"/>
    <w:bookmarkEnd w:id="15"/>
    <w:p>
      <w:pPr>
        <w:pStyle w:val="7"/>
        <w:tabs>
          <w:tab w:val="left" w:pos="7560"/>
        </w:tabs>
        <w:wordWrap w:val="0"/>
        <w:ind w:left="4520" w:leftChars="2058" w:hanging="198" w:hangingChars="62"/>
        <w:jc w:val="right"/>
        <w:rPr>
          <w:rFonts w:ascii="黑体" w:eastAsia="黑体"/>
        </w:rPr>
      </w:pPr>
    </w:p>
    <w:p>
      <w:pPr>
        <w:adjustRightInd w:val="0"/>
        <w:snapToGrid w:val="0"/>
        <w:spacing w:line="580" w:lineRule="exact"/>
        <w:ind w:firstLine="640" w:firstLineChars="200"/>
        <w:rPr>
          <w:rFonts w:hint="eastAsia" w:ascii="黑体" w:eastAsia="黑体"/>
          <w:sz w:val="32"/>
        </w:rPr>
      </w:pPr>
    </w:p>
    <w:p>
      <w:pPr>
        <w:adjustRightInd w:val="0"/>
        <w:snapToGrid w:val="0"/>
        <w:spacing w:line="580" w:lineRule="exact"/>
        <w:ind w:firstLine="640" w:firstLineChars="200"/>
        <w:rPr>
          <w:rFonts w:hint="eastAsia" w:ascii="黑体" w:eastAsia="黑体"/>
          <w:sz w:val="32"/>
        </w:rPr>
      </w:pPr>
    </w:p>
    <w:p>
      <w:pPr>
        <w:adjustRightInd w:val="0"/>
        <w:snapToGrid w:val="0"/>
        <w:spacing w:line="580" w:lineRule="exact"/>
        <w:ind w:firstLine="640" w:firstLineChars="200"/>
        <w:rPr>
          <w:rFonts w:hint="eastAsia" w:ascii="黑体" w:eastAsia="黑体"/>
          <w:sz w:val="32"/>
        </w:rPr>
      </w:pPr>
    </w:p>
    <w:p>
      <w:pPr>
        <w:adjustRightInd w:val="0"/>
        <w:snapToGrid w:val="0"/>
        <w:spacing w:line="580" w:lineRule="exact"/>
        <w:rPr>
          <w:rFonts w:hint="eastAsia" w:ascii="黑体" w:eastAsia="黑体"/>
          <w:sz w:val="32"/>
        </w:rPr>
      </w:pPr>
    </w:p>
    <w:p>
      <w:pPr>
        <w:adjustRightInd w:val="0"/>
        <w:snapToGrid w:val="0"/>
        <w:spacing w:line="580" w:lineRule="exact"/>
        <w:rPr>
          <w:rFonts w:hint="eastAsia" w:ascii="黑体" w:eastAsia="黑体"/>
          <w:sz w:val="32"/>
        </w:rPr>
      </w:pPr>
    </w:p>
    <w:p>
      <w:pPr>
        <w:pStyle w:val="2"/>
        <w:rPr>
          <w:rFonts w:hint="eastAsia" w:ascii="黑体" w:eastAsia="黑体"/>
          <w:sz w:val="32"/>
        </w:rPr>
      </w:pPr>
    </w:p>
    <w:p>
      <w:pPr>
        <w:pStyle w:val="2"/>
        <w:rPr>
          <w:rFonts w:hint="eastAsia" w:ascii="黑体" w:eastAsia="黑体"/>
          <w:sz w:val="32"/>
        </w:rPr>
      </w:pPr>
    </w:p>
    <w:p>
      <w:pPr>
        <w:pStyle w:val="2"/>
        <w:rPr>
          <w:rFonts w:hint="eastAsia" w:ascii="黑体" w:eastAsia="黑体"/>
          <w:sz w:val="32"/>
        </w:rPr>
      </w:pPr>
    </w:p>
    <w:p>
      <w:pPr>
        <w:pStyle w:val="2"/>
        <w:rPr>
          <w:rFonts w:hint="eastAsia" w:ascii="黑体" w:eastAsia="黑体"/>
          <w:sz w:val="32"/>
        </w:rPr>
      </w:pPr>
    </w:p>
    <w:p>
      <w:pPr>
        <w:pStyle w:val="2"/>
        <w:rPr>
          <w:rFonts w:hint="eastAsia" w:ascii="黑体" w:eastAsia="黑体"/>
          <w:sz w:val="32"/>
        </w:rPr>
      </w:pPr>
    </w:p>
    <w:p>
      <w:pPr>
        <w:keepNext w:val="0"/>
        <w:keepLines w:val="0"/>
        <w:pageBreakBefore w:val="0"/>
        <w:widowControl w:val="0"/>
        <w:kinsoku/>
        <w:wordWrap/>
        <w:overflowPunct/>
        <w:topLinePunct w:val="0"/>
        <w:autoSpaceDE/>
        <w:autoSpaceDN/>
        <w:bidi w:val="0"/>
        <w:adjustRightInd w:val="0"/>
        <w:snapToGrid w:val="0"/>
        <w:spacing w:line="540" w:lineRule="exact"/>
        <w:ind w:left="0" w:leftChars="0" w:right="0" w:rightChars="0" w:firstLine="640" w:firstLineChars="200"/>
        <w:jc w:val="both"/>
        <w:textAlignment w:val="auto"/>
        <w:outlineLvl w:val="9"/>
        <w:rPr>
          <w:rFonts w:hint="eastAsia" w:ascii="黑体" w:eastAsia="黑体"/>
          <w:sz w:val="32"/>
        </w:rPr>
      </w:pPr>
    </w:p>
    <w:tbl>
      <w:tblPr>
        <w:tblStyle w:val="14"/>
        <w:tblW w:w="8949" w:type="dxa"/>
        <w:tblInd w:w="0" w:type="dxa"/>
        <w:tblBorders>
          <w:top w:val="single" w:color="auto" w:sz="8" w:space="0"/>
          <w:left w:val="none" w:color="auto" w:sz="0" w:space="0"/>
          <w:bottom w:val="single" w:color="auto" w:sz="8"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5166"/>
        <w:gridCol w:w="3783"/>
      </w:tblGrid>
      <w:tr>
        <w:tblPrEx>
          <w:tblBorders>
            <w:top w:val="single" w:color="auto" w:sz="8" w:space="0"/>
            <w:left w:val="none" w:color="auto" w:sz="0" w:space="0"/>
            <w:bottom w:val="single" w:color="auto" w:sz="8"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46" w:hRule="atLeast"/>
        </w:trPr>
        <w:tc>
          <w:tcPr>
            <w:tcW w:w="8949" w:type="dxa"/>
            <w:gridSpan w:val="2"/>
            <w:tcBorders>
              <w:tl2br w:val="nil"/>
              <w:tr2bl w:val="nil"/>
            </w:tcBorders>
            <w:noWrap w:val="0"/>
            <w:tcMar>
              <w:left w:w="0" w:type="dxa"/>
              <w:right w:w="0" w:type="dxa"/>
            </w:tcMar>
            <w:vAlign w:val="top"/>
          </w:tcPr>
          <w:p>
            <w:pPr>
              <w:keepNext w:val="0"/>
              <w:keepLines w:val="0"/>
              <w:pageBreakBefore w:val="0"/>
              <w:widowControl w:val="0"/>
              <w:kinsoku/>
              <w:wordWrap/>
              <w:overflowPunct/>
              <w:topLinePunct w:val="0"/>
              <w:autoSpaceDE/>
              <w:autoSpaceDN/>
              <w:bidi w:val="0"/>
              <w:adjustRightInd/>
              <w:snapToGrid/>
              <w:spacing w:line="400" w:lineRule="exact"/>
              <w:ind w:left="315" w:leftChars="150" w:right="315" w:rightChars="150" w:firstLine="0" w:firstLineChars="0"/>
              <w:jc w:val="both"/>
              <w:textAlignment w:val="auto"/>
              <w:outlineLvl w:val="9"/>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抄送：自治区党委各部门，内蒙古军区，武警内蒙古总队。</w:t>
            </w:r>
          </w:p>
          <w:p>
            <w:pPr>
              <w:keepNext w:val="0"/>
              <w:keepLines w:val="0"/>
              <w:pageBreakBefore w:val="0"/>
              <w:widowControl w:val="0"/>
              <w:kinsoku/>
              <w:wordWrap/>
              <w:overflowPunct/>
              <w:topLinePunct w:val="0"/>
              <w:autoSpaceDE/>
              <w:autoSpaceDN/>
              <w:bidi w:val="0"/>
              <w:adjustRightInd/>
              <w:snapToGrid/>
              <w:spacing w:line="400" w:lineRule="exact"/>
              <w:ind w:left="1153" w:leftChars="549" w:right="315" w:rightChars="150" w:firstLine="0" w:firstLineChars="0"/>
              <w:jc w:val="both"/>
              <w:textAlignment w:val="auto"/>
              <w:outlineLvl w:val="9"/>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自治区人大常委会办公厅、政协办公厅，自治区监委，</w:t>
            </w:r>
            <w:r>
              <w:rPr>
                <w:rFonts w:hint="eastAsia" w:ascii="方正仿宋_GBK" w:hAnsi="方正仿宋_GBK" w:eastAsia="方正仿宋_GBK" w:cs="方正仿宋_GBK"/>
                <w:sz w:val="28"/>
                <w:szCs w:val="28"/>
                <w:lang w:eastAsia="zh-CN"/>
              </w:rPr>
              <w:t>自治区</w:t>
            </w:r>
            <w:r>
              <w:rPr>
                <w:rFonts w:hint="eastAsia" w:ascii="方正仿宋_GBK" w:hAnsi="方正仿宋_GBK" w:eastAsia="方正仿宋_GBK" w:cs="方正仿宋_GBK"/>
                <w:sz w:val="28"/>
                <w:szCs w:val="28"/>
              </w:rPr>
              <w:t>高级人民法院，检察院。</w:t>
            </w:r>
          </w:p>
          <w:p>
            <w:pPr>
              <w:keepNext w:val="0"/>
              <w:keepLines w:val="0"/>
              <w:pageBreakBefore w:val="0"/>
              <w:widowControl w:val="0"/>
              <w:tabs>
                <w:tab w:val="left" w:pos="7560"/>
              </w:tabs>
              <w:kinsoku/>
              <w:wordWrap/>
              <w:overflowPunct/>
              <w:topLinePunct w:val="0"/>
              <w:autoSpaceDE/>
              <w:autoSpaceDN/>
              <w:bidi w:val="0"/>
              <w:adjustRightInd/>
              <w:snapToGrid/>
              <w:spacing w:line="400" w:lineRule="exact"/>
              <w:ind w:left="315" w:leftChars="150" w:right="315" w:rightChars="150" w:firstLine="840" w:firstLineChars="300"/>
              <w:jc w:val="both"/>
              <w:textAlignment w:val="auto"/>
              <w:outlineLvl w:val="9"/>
              <w:rPr>
                <w:rFonts w:hint="eastAsia" w:ascii="仿宋_GB2312" w:hAnsi="仿宋" w:eastAsia="仿宋_GB2312"/>
                <w:sz w:val="28"/>
                <w:szCs w:val="28"/>
              </w:rPr>
            </w:pPr>
            <w:r>
              <w:rPr>
                <w:rFonts w:hint="eastAsia" w:ascii="方正仿宋_GBK" w:hAnsi="方正仿宋_GBK" w:eastAsia="方正仿宋_GBK" w:cs="方正仿宋_GBK"/>
                <w:sz w:val="28"/>
                <w:szCs w:val="28"/>
              </w:rPr>
              <w:t>各人民团体，新闻单位。</w:t>
            </w:r>
          </w:p>
        </w:tc>
      </w:tr>
      <w:tr>
        <w:tblPrEx>
          <w:tblBorders>
            <w:top w:val="single" w:color="auto" w:sz="8" w:space="0"/>
            <w:left w:val="none" w:color="auto" w:sz="0" w:space="0"/>
            <w:bottom w:val="single" w:color="auto" w:sz="8"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1" w:hRule="atLeast"/>
        </w:trPr>
        <w:tc>
          <w:tcPr>
            <w:tcW w:w="5166" w:type="dxa"/>
            <w:tcBorders>
              <w:tl2br w:val="nil"/>
              <w:tr2bl w:val="nil"/>
            </w:tcBorders>
            <w:noWrap w:val="0"/>
            <w:tcMar>
              <w:left w:w="0" w:type="dxa"/>
              <w:right w:w="0" w:type="dxa"/>
            </w:tcMar>
            <w:vAlign w:val="top"/>
          </w:tcPr>
          <w:p>
            <w:pPr>
              <w:keepNext w:val="0"/>
              <w:keepLines w:val="0"/>
              <w:pageBreakBefore w:val="0"/>
              <w:widowControl w:val="0"/>
              <w:kinsoku/>
              <w:wordWrap/>
              <w:overflowPunct/>
              <w:topLinePunct w:val="0"/>
              <w:autoSpaceDE/>
              <w:autoSpaceDN/>
              <w:bidi w:val="0"/>
              <w:adjustRightInd w:val="0"/>
              <w:snapToGrid w:val="0"/>
              <w:spacing w:line="500" w:lineRule="exact"/>
              <w:ind w:left="315" w:leftChars="150" w:right="315" w:rightChars="150" w:firstLine="0" w:firstLineChars="0"/>
              <w:textAlignment w:val="auto"/>
              <w:outlineLvl w:val="9"/>
              <w:rPr>
                <w:rFonts w:hint="eastAsia" w:ascii="仿宋_GB2312" w:hAnsi="仿宋" w:eastAsia="仿宋_GB2312"/>
                <w:sz w:val="28"/>
                <w:szCs w:val="28"/>
              </w:rPr>
            </w:pPr>
            <w:r>
              <w:rPr>
                <w:rFonts w:hint="eastAsia" w:ascii="仿宋_GB2312" w:hAnsi="宋体" w:eastAsia="仿宋_GB2312" w:cs="Arial"/>
                <w:kern w:val="0"/>
                <w:sz w:val="28"/>
                <w:szCs w:val="28"/>
              </w:rPr>
              <w:t>内蒙古自治区人民政府办公厅文电处</w:t>
            </w:r>
          </w:p>
        </w:tc>
        <w:tc>
          <w:tcPr>
            <w:tcW w:w="3783" w:type="dxa"/>
            <w:tcBorders>
              <w:tl2br w:val="nil"/>
              <w:tr2bl w:val="nil"/>
            </w:tcBorders>
            <w:noWrap w:val="0"/>
            <w:tcMar>
              <w:left w:w="0" w:type="dxa"/>
              <w:right w:w="0" w:type="dxa"/>
            </w:tcMar>
            <w:vAlign w:val="top"/>
          </w:tcPr>
          <w:p>
            <w:pPr>
              <w:keepNext w:val="0"/>
              <w:keepLines w:val="0"/>
              <w:pageBreakBefore w:val="0"/>
              <w:widowControl w:val="0"/>
              <w:kinsoku/>
              <w:wordWrap/>
              <w:overflowPunct/>
              <w:topLinePunct w:val="0"/>
              <w:autoSpaceDE/>
              <w:autoSpaceDN/>
              <w:bidi w:val="0"/>
              <w:adjustRightInd w:val="0"/>
              <w:snapToGrid w:val="0"/>
              <w:spacing w:line="500" w:lineRule="exact"/>
              <w:ind w:left="315" w:leftChars="150" w:right="315" w:rightChars="150" w:firstLine="0" w:firstLineChars="0"/>
              <w:jc w:val="right"/>
              <w:textAlignment w:val="auto"/>
              <w:outlineLvl w:val="9"/>
              <w:rPr>
                <w:rFonts w:hint="eastAsia" w:ascii="仿宋_GB2312" w:hAnsi="仿宋" w:eastAsia="仿宋_GB2312"/>
                <w:sz w:val="28"/>
                <w:szCs w:val="28"/>
              </w:rPr>
            </w:pPr>
            <w:bookmarkStart w:id="16" w:name="印发日期"/>
            <w:bookmarkEnd w:id="16"/>
            <w:r>
              <w:rPr>
                <w:rFonts w:hint="eastAsia" w:ascii="仿宋_GB2312" w:hAnsi="仿宋" w:eastAsia="仿宋_GB2312"/>
                <w:sz w:val="28"/>
                <w:szCs w:val="28"/>
                <w:lang w:val="en-US" w:eastAsia="zh-CN"/>
              </w:rPr>
              <w:t>2021年12月28日</w:t>
            </w:r>
            <w:r>
              <w:rPr>
                <w:rFonts w:hint="eastAsia" w:ascii="仿宋_GB2312" w:hAnsi="仿宋" w:eastAsia="仿宋_GB2312"/>
                <w:sz w:val="28"/>
                <w:szCs w:val="28"/>
              </w:rPr>
              <w:t>印发</w:t>
            </w:r>
          </w:p>
        </w:tc>
      </w:tr>
    </w:tbl>
    <w:p>
      <w:pPr>
        <w:spacing w:line="20" w:lineRule="exact"/>
        <w:rPr>
          <w:rFonts w:hint="eastAsia"/>
        </w:rPr>
      </w:pPr>
    </w:p>
    <w:sectPr>
      <w:headerReference r:id="rId3" w:type="default"/>
      <w:footerReference r:id="rId5" w:type="default"/>
      <w:headerReference r:id="rId4" w:type="even"/>
      <w:footerReference r:id="rId6" w:type="even"/>
      <w:pgSz w:w="11906" w:h="16838"/>
      <w:pgMar w:top="2098" w:right="1474" w:bottom="1701" w:left="1474" w:header="851" w:footer="1417" w:gutter="0"/>
      <w:paperSrc/>
      <w:pgBorders>
        <w:top w:val="none" w:sz="0" w:space="0"/>
        <w:left w:val="none" w:sz="0" w:space="0"/>
        <w:bottom w:val="none" w:sz="0" w:space="0"/>
        <w:right w:val="none" w:sz="0" w:space="0"/>
      </w:pgBorders>
      <w:pgNumType w:fmt="numberInDash"/>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1" w:usb1="080E0000" w:usb2="00000000" w:usb3="00000000" w:csb0="00040000" w:csb1="00000000"/>
  </w:font>
  <w:font w:name="Mongolian Baiti">
    <w:panose1 w:val="03000500000000000000"/>
    <w:charset w:val="00"/>
    <w:family w:val="script"/>
    <w:pitch w:val="default"/>
    <w:sig w:usb0="80000023" w:usb1="00000000" w:usb2="00020000" w:usb3="00000000" w:csb0="00000001" w:csb1="00000000"/>
  </w:font>
  <w:font w:name="华文仿宋">
    <w:altName w:val="仿宋"/>
    <w:panose1 w:val="02010600040101010101"/>
    <w:charset w:val="00"/>
    <w:family w:val="auto"/>
    <w:pitch w:val="default"/>
    <w:sig w:usb0="00000287" w:usb1="080F0000" w:usb2="00000000" w:usb3="00000000" w:csb0="0004009F" w:csb1="DFD70000"/>
  </w:font>
  <w:font w:name="方正小标宋_GBK">
    <w:altName w:val="微软雅黑"/>
    <w:panose1 w:val="03000502000000000000"/>
    <w:charset w:val="86"/>
    <w:family w:val="auto"/>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方正黑体_GBK">
    <w:altName w:val="微软雅黑"/>
    <w:panose1 w:val="02000000000000000000"/>
    <w:charset w:val="86"/>
    <w:family w:val="auto"/>
    <w:pitch w:val="default"/>
    <w:sig w:usb0="A00002BF" w:usb1="38CF7CFA" w:usb2="00082016" w:usb3="00000000" w:csb0="00040001" w:csb1="00000000"/>
  </w:font>
  <w:font w:name="方正仿宋_GBK">
    <w:altName w:val="微软雅黑"/>
    <w:panose1 w:val="02000000000000000000"/>
    <w:charset w:val="86"/>
    <w:family w:val="auto"/>
    <w:pitch w:val="default"/>
    <w:sig w:usb0="A00002BF" w:usb1="38CF7CFA" w:usb2="00082016" w:usb3="00000000" w:csb0="00040001" w:csb1="00000000"/>
  </w:font>
  <w:font w:name="Arial">
    <w:panose1 w:val="020B0604020202020204"/>
    <w:charset w:val="00"/>
    <w:family w:val="swiss"/>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page" w:x="9452" w:y="-23"/>
      <w:rPr>
        <w:rStyle w:val="17"/>
        <w:rFonts w:hint="eastAsia" w:ascii="宋体" w:hAnsi="宋体"/>
        <w:sz w:val="28"/>
        <w:szCs w:val="28"/>
      </w:rPr>
    </w:pPr>
    <w:r>
      <w:rPr>
        <w:rFonts w:hint="eastAsia" w:ascii="宋体" w:hAnsi="宋体"/>
        <w:sz w:val="28"/>
        <w:szCs w:val="28"/>
      </w:rPr>
      <w:fldChar w:fldCharType="begin"/>
    </w:r>
    <w:r>
      <w:rPr>
        <w:rStyle w:val="17"/>
        <w:rFonts w:hint="eastAsia" w:ascii="宋体" w:hAnsi="宋体"/>
        <w:sz w:val="28"/>
        <w:szCs w:val="28"/>
      </w:rPr>
      <w:instrText xml:space="preserve">PAGE  </w:instrText>
    </w:r>
    <w:r>
      <w:rPr>
        <w:rFonts w:hint="eastAsia" w:ascii="宋体" w:hAnsi="宋体"/>
        <w:sz w:val="28"/>
        <w:szCs w:val="28"/>
      </w:rPr>
      <w:fldChar w:fldCharType="separate"/>
    </w:r>
    <w:r>
      <w:rPr>
        <w:rStyle w:val="17"/>
        <w:rFonts w:ascii="宋体" w:hAnsi="宋体"/>
        <w:sz w:val="28"/>
        <w:szCs w:val="28"/>
        <w:lang/>
      </w:rPr>
      <w:t>- 1 -</w:t>
    </w:r>
    <w:r>
      <w:rPr>
        <w:rFonts w:hint="eastAsia" w:ascii="宋体" w:hAnsi="宋体"/>
        <w:sz w:val="28"/>
        <w:szCs w:val="28"/>
      </w:rPr>
      <w:fldChar w:fldCharType="end"/>
    </w:r>
  </w:p>
  <w:p>
    <w:pPr>
      <w:pStyle w:val="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page" w:x="1892" w:y="-23"/>
      <w:rPr>
        <w:rStyle w:val="17"/>
        <w:rFonts w:ascii="宋体" w:hAnsi="宋体"/>
        <w:sz w:val="28"/>
        <w:szCs w:val="28"/>
      </w:rPr>
    </w:pPr>
    <w:r>
      <w:rPr>
        <w:rFonts w:ascii="宋体" w:hAnsi="宋体"/>
        <w:sz w:val="28"/>
        <w:szCs w:val="28"/>
      </w:rPr>
      <w:fldChar w:fldCharType="begin"/>
    </w:r>
    <w:r>
      <w:rPr>
        <w:rStyle w:val="17"/>
        <w:rFonts w:ascii="宋体" w:hAnsi="宋体"/>
        <w:sz w:val="28"/>
        <w:szCs w:val="28"/>
      </w:rPr>
      <w:instrText xml:space="preserve">PAGE  </w:instrText>
    </w:r>
    <w:r>
      <w:rPr>
        <w:rFonts w:ascii="宋体" w:hAnsi="宋体"/>
        <w:sz w:val="28"/>
        <w:szCs w:val="28"/>
      </w:rPr>
      <w:fldChar w:fldCharType="separate"/>
    </w:r>
    <w:r>
      <w:rPr>
        <w:rStyle w:val="17"/>
        <w:rFonts w:ascii="宋体" w:hAnsi="宋体"/>
        <w:sz w:val="28"/>
        <w:szCs w:val="28"/>
        <w:lang/>
      </w:rPr>
      <w:t>- 2 -</w:t>
    </w:r>
    <w:r>
      <w:rPr>
        <w:rFonts w:ascii="宋体" w:hAnsi="宋体"/>
        <w:sz w:val="28"/>
        <w:szCs w:val="28"/>
      </w:rPr>
      <w:fldChar w:fldCharType="end"/>
    </w:r>
  </w:p>
  <w:p>
    <w:pPr>
      <w:pStyle w:val="9"/>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1D3A77F"/>
    <w:multiLevelType w:val="singleLevel"/>
    <w:tmpl w:val="61D3A77F"/>
    <w:lvl w:ilvl="0" w:tentative="0">
      <w:start w:val="3"/>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hyphenationZone w:val="36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0053B"/>
    <w:rsid w:val="00000BC8"/>
    <w:rsid w:val="00000D35"/>
    <w:rsid w:val="00000E8A"/>
    <w:rsid w:val="00001A5E"/>
    <w:rsid w:val="0001025F"/>
    <w:rsid w:val="00010E72"/>
    <w:rsid w:val="00010FBD"/>
    <w:rsid w:val="000134B5"/>
    <w:rsid w:val="0001572E"/>
    <w:rsid w:val="0001671F"/>
    <w:rsid w:val="0001751F"/>
    <w:rsid w:val="00017973"/>
    <w:rsid w:val="00017C56"/>
    <w:rsid w:val="00017C8E"/>
    <w:rsid w:val="00021290"/>
    <w:rsid w:val="000228A4"/>
    <w:rsid w:val="00024FC9"/>
    <w:rsid w:val="00025291"/>
    <w:rsid w:val="0003004C"/>
    <w:rsid w:val="000305B6"/>
    <w:rsid w:val="00031020"/>
    <w:rsid w:val="00036CC9"/>
    <w:rsid w:val="00037A1D"/>
    <w:rsid w:val="0004119F"/>
    <w:rsid w:val="00041495"/>
    <w:rsid w:val="00043109"/>
    <w:rsid w:val="00043BA4"/>
    <w:rsid w:val="00045126"/>
    <w:rsid w:val="00047737"/>
    <w:rsid w:val="0005120B"/>
    <w:rsid w:val="00053149"/>
    <w:rsid w:val="00055C21"/>
    <w:rsid w:val="00056556"/>
    <w:rsid w:val="00060597"/>
    <w:rsid w:val="00060CE0"/>
    <w:rsid w:val="000615CF"/>
    <w:rsid w:val="0006347A"/>
    <w:rsid w:val="000671EE"/>
    <w:rsid w:val="00070196"/>
    <w:rsid w:val="000701C3"/>
    <w:rsid w:val="00071DE3"/>
    <w:rsid w:val="00071E83"/>
    <w:rsid w:val="0007324B"/>
    <w:rsid w:val="00074623"/>
    <w:rsid w:val="00076F96"/>
    <w:rsid w:val="00082970"/>
    <w:rsid w:val="0008397E"/>
    <w:rsid w:val="00090E87"/>
    <w:rsid w:val="00090EB2"/>
    <w:rsid w:val="00097E64"/>
    <w:rsid w:val="000A1E68"/>
    <w:rsid w:val="000A2307"/>
    <w:rsid w:val="000A26F8"/>
    <w:rsid w:val="000A3DA4"/>
    <w:rsid w:val="000A51DB"/>
    <w:rsid w:val="000A7F88"/>
    <w:rsid w:val="000B0241"/>
    <w:rsid w:val="000B182B"/>
    <w:rsid w:val="000B2C2B"/>
    <w:rsid w:val="000B318D"/>
    <w:rsid w:val="000B483E"/>
    <w:rsid w:val="000B76CD"/>
    <w:rsid w:val="000D1918"/>
    <w:rsid w:val="000D2276"/>
    <w:rsid w:val="000D46E6"/>
    <w:rsid w:val="000D4B7C"/>
    <w:rsid w:val="000E189F"/>
    <w:rsid w:val="000E242A"/>
    <w:rsid w:val="000E2DE0"/>
    <w:rsid w:val="000E4A4D"/>
    <w:rsid w:val="000E5531"/>
    <w:rsid w:val="000E6931"/>
    <w:rsid w:val="000F0166"/>
    <w:rsid w:val="000F1D11"/>
    <w:rsid w:val="000F3390"/>
    <w:rsid w:val="000F3786"/>
    <w:rsid w:val="000F3C60"/>
    <w:rsid w:val="000F7B4B"/>
    <w:rsid w:val="00100F1E"/>
    <w:rsid w:val="00104732"/>
    <w:rsid w:val="00104FB1"/>
    <w:rsid w:val="001106F2"/>
    <w:rsid w:val="00110B09"/>
    <w:rsid w:val="0011191E"/>
    <w:rsid w:val="001147E4"/>
    <w:rsid w:val="00114AC4"/>
    <w:rsid w:val="00114FD2"/>
    <w:rsid w:val="001166E7"/>
    <w:rsid w:val="00117691"/>
    <w:rsid w:val="0012067D"/>
    <w:rsid w:val="00120FA6"/>
    <w:rsid w:val="00121523"/>
    <w:rsid w:val="00121A80"/>
    <w:rsid w:val="0012298D"/>
    <w:rsid w:val="00122EA1"/>
    <w:rsid w:val="00124296"/>
    <w:rsid w:val="001243C4"/>
    <w:rsid w:val="0012798F"/>
    <w:rsid w:val="00127D04"/>
    <w:rsid w:val="001303D3"/>
    <w:rsid w:val="001316F8"/>
    <w:rsid w:val="00132688"/>
    <w:rsid w:val="00132E64"/>
    <w:rsid w:val="001332BC"/>
    <w:rsid w:val="001340AD"/>
    <w:rsid w:val="0013461A"/>
    <w:rsid w:val="00137385"/>
    <w:rsid w:val="00140625"/>
    <w:rsid w:val="00142107"/>
    <w:rsid w:val="00145C0B"/>
    <w:rsid w:val="00145D2E"/>
    <w:rsid w:val="00146D53"/>
    <w:rsid w:val="00147907"/>
    <w:rsid w:val="00151C4B"/>
    <w:rsid w:val="00151F28"/>
    <w:rsid w:val="00153017"/>
    <w:rsid w:val="00155A0E"/>
    <w:rsid w:val="001602EE"/>
    <w:rsid w:val="001608F4"/>
    <w:rsid w:val="0016554C"/>
    <w:rsid w:val="00166461"/>
    <w:rsid w:val="0016715A"/>
    <w:rsid w:val="001679C2"/>
    <w:rsid w:val="00170824"/>
    <w:rsid w:val="0017273F"/>
    <w:rsid w:val="00172ABF"/>
    <w:rsid w:val="00173AA9"/>
    <w:rsid w:val="00177B68"/>
    <w:rsid w:val="00180CF8"/>
    <w:rsid w:val="00182DBF"/>
    <w:rsid w:val="00183AA6"/>
    <w:rsid w:val="001844AF"/>
    <w:rsid w:val="00184638"/>
    <w:rsid w:val="00187037"/>
    <w:rsid w:val="00194319"/>
    <w:rsid w:val="001948D4"/>
    <w:rsid w:val="00197198"/>
    <w:rsid w:val="001A0A30"/>
    <w:rsid w:val="001A102B"/>
    <w:rsid w:val="001A2BD2"/>
    <w:rsid w:val="001A3639"/>
    <w:rsid w:val="001A72B0"/>
    <w:rsid w:val="001B2E25"/>
    <w:rsid w:val="001B36FF"/>
    <w:rsid w:val="001B6A85"/>
    <w:rsid w:val="001C21AB"/>
    <w:rsid w:val="001C291D"/>
    <w:rsid w:val="001C2E2C"/>
    <w:rsid w:val="001C2FB0"/>
    <w:rsid w:val="001C3230"/>
    <w:rsid w:val="001C4131"/>
    <w:rsid w:val="001C472D"/>
    <w:rsid w:val="001D0ADB"/>
    <w:rsid w:val="001D2A39"/>
    <w:rsid w:val="001D2EC2"/>
    <w:rsid w:val="001D3381"/>
    <w:rsid w:val="001D38D9"/>
    <w:rsid w:val="001D42FD"/>
    <w:rsid w:val="001D50C7"/>
    <w:rsid w:val="001D62F3"/>
    <w:rsid w:val="001E1712"/>
    <w:rsid w:val="001E3AE1"/>
    <w:rsid w:val="001E4564"/>
    <w:rsid w:val="001E463E"/>
    <w:rsid w:val="001E48FC"/>
    <w:rsid w:val="001E51E8"/>
    <w:rsid w:val="001E5A4A"/>
    <w:rsid w:val="001F077E"/>
    <w:rsid w:val="001F275C"/>
    <w:rsid w:val="001F4B62"/>
    <w:rsid w:val="001F53DE"/>
    <w:rsid w:val="002014F1"/>
    <w:rsid w:val="002016DC"/>
    <w:rsid w:val="00202305"/>
    <w:rsid w:val="002037DD"/>
    <w:rsid w:val="00203FE2"/>
    <w:rsid w:val="00205C6F"/>
    <w:rsid w:val="002112BA"/>
    <w:rsid w:val="00211B40"/>
    <w:rsid w:val="0021430F"/>
    <w:rsid w:val="0022010B"/>
    <w:rsid w:val="00222BE8"/>
    <w:rsid w:val="00225BC5"/>
    <w:rsid w:val="00226765"/>
    <w:rsid w:val="002301CC"/>
    <w:rsid w:val="00230DF7"/>
    <w:rsid w:val="00233CA4"/>
    <w:rsid w:val="00237D8D"/>
    <w:rsid w:val="00243573"/>
    <w:rsid w:val="002438BD"/>
    <w:rsid w:val="00244F58"/>
    <w:rsid w:val="002502FA"/>
    <w:rsid w:val="002508F6"/>
    <w:rsid w:val="00253497"/>
    <w:rsid w:val="00253505"/>
    <w:rsid w:val="002537D8"/>
    <w:rsid w:val="00253D8D"/>
    <w:rsid w:val="00254C91"/>
    <w:rsid w:val="0026009A"/>
    <w:rsid w:val="00260B18"/>
    <w:rsid w:val="00261C1B"/>
    <w:rsid w:val="00263BB4"/>
    <w:rsid w:val="00264B5A"/>
    <w:rsid w:val="00265F33"/>
    <w:rsid w:val="002701FE"/>
    <w:rsid w:val="00271599"/>
    <w:rsid w:val="002750B4"/>
    <w:rsid w:val="002755E6"/>
    <w:rsid w:val="00277086"/>
    <w:rsid w:val="0027732C"/>
    <w:rsid w:val="00284880"/>
    <w:rsid w:val="00286092"/>
    <w:rsid w:val="00290135"/>
    <w:rsid w:val="00294F4F"/>
    <w:rsid w:val="0029606D"/>
    <w:rsid w:val="002973C7"/>
    <w:rsid w:val="002A0CAD"/>
    <w:rsid w:val="002A32E1"/>
    <w:rsid w:val="002A3E00"/>
    <w:rsid w:val="002A5246"/>
    <w:rsid w:val="002A64B4"/>
    <w:rsid w:val="002A67EB"/>
    <w:rsid w:val="002A7BF8"/>
    <w:rsid w:val="002B0F91"/>
    <w:rsid w:val="002B4292"/>
    <w:rsid w:val="002B4C83"/>
    <w:rsid w:val="002C0358"/>
    <w:rsid w:val="002C048B"/>
    <w:rsid w:val="002C1222"/>
    <w:rsid w:val="002C2F22"/>
    <w:rsid w:val="002C409D"/>
    <w:rsid w:val="002C41C0"/>
    <w:rsid w:val="002C4FC3"/>
    <w:rsid w:val="002C5B09"/>
    <w:rsid w:val="002D063C"/>
    <w:rsid w:val="002D2CF6"/>
    <w:rsid w:val="002D31DC"/>
    <w:rsid w:val="002D3F3C"/>
    <w:rsid w:val="002D4032"/>
    <w:rsid w:val="002D5A5E"/>
    <w:rsid w:val="002D7462"/>
    <w:rsid w:val="002E0919"/>
    <w:rsid w:val="002E2F22"/>
    <w:rsid w:val="002E3CC3"/>
    <w:rsid w:val="002F5BA9"/>
    <w:rsid w:val="00301AC3"/>
    <w:rsid w:val="00302690"/>
    <w:rsid w:val="00302982"/>
    <w:rsid w:val="00303418"/>
    <w:rsid w:val="00316104"/>
    <w:rsid w:val="00317237"/>
    <w:rsid w:val="00321960"/>
    <w:rsid w:val="00322E30"/>
    <w:rsid w:val="00324C04"/>
    <w:rsid w:val="003340DF"/>
    <w:rsid w:val="00334343"/>
    <w:rsid w:val="003347A0"/>
    <w:rsid w:val="00336F88"/>
    <w:rsid w:val="00340FF0"/>
    <w:rsid w:val="00341A6E"/>
    <w:rsid w:val="00342CC3"/>
    <w:rsid w:val="00343E0C"/>
    <w:rsid w:val="00344DA3"/>
    <w:rsid w:val="00350F9A"/>
    <w:rsid w:val="00351987"/>
    <w:rsid w:val="00351F4C"/>
    <w:rsid w:val="00352A64"/>
    <w:rsid w:val="0035334E"/>
    <w:rsid w:val="003557E4"/>
    <w:rsid w:val="00361A29"/>
    <w:rsid w:val="0036715B"/>
    <w:rsid w:val="00367E4A"/>
    <w:rsid w:val="00371465"/>
    <w:rsid w:val="0037414E"/>
    <w:rsid w:val="0037427E"/>
    <w:rsid w:val="00375606"/>
    <w:rsid w:val="00381A7A"/>
    <w:rsid w:val="00385438"/>
    <w:rsid w:val="003878A5"/>
    <w:rsid w:val="00390619"/>
    <w:rsid w:val="00390C49"/>
    <w:rsid w:val="0039202C"/>
    <w:rsid w:val="00392B94"/>
    <w:rsid w:val="00393F4B"/>
    <w:rsid w:val="00394377"/>
    <w:rsid w:val="003948FC"/>
    <w:rsid w:val="003978C8"/>
    <w:rsid w:val="003A0463"/>
    <w:rsid w:val="003A0C24"/>
    <w:rsid w:val="003A2485"/>
    <w:rsid w:val="003A264D"/>
    <w:rsid w:val="003A31A0"/>
    <w:rsid w:val="003A326C"/>
    <w:rsid w:val="003A3696"/>
    <w:rsid w:val="003A42FA"/>
    <w:rsid w:val="003A5841"/>
    <w:rsid w:val="003A6755"/>
    <w:rsid w:val="003B1AA3"/>
    <w:rsid w:val="003B32B0"/>
    <w:rsid w:val="003B59D9"/>
    <w:rsid w:val="003C1EB9"/>
    <w:rsid w:val="003C3249"/>
    <w:rsid w:val="003C3EA0"/>
    <w:rsid w:val="003C419C"/>
    <w:rsid w:val="003C41EC"/>
    <w:rsid w:val="003C4942"/>
    <w:rsid w:val="003D01EF"/>
    <w:rsid w:val="003D14CC"/>
    <w:rsid w:val="003D3B34"/>
    <w:rsid w:val="003D46AE"/>
    <w:rsid w:val="003E323B"/>
    <w:rsid w:val="003E39D4"/>
    <w:rsid w:val="003E549A"/>
    <w:rsid w:val="003E5A89"/>
    <w:rsid w:val="003F0B67"/>
    <w:rsid w:val="003F1F24"/>
    <w:rsid w:val="003F595E"/>
    <w:rsid w:val="003F6574"/>
    <w:rsid w:val="003F6E09"/>
    <w:rsid w:val="003F728E"/>
    <w:rsid w:val="00402EDB"/>
    <w:rsid w:val="004100FD"/>
    <w:rsid w:val="0041232A"/>
    <w:rsid w:val="004125FC"/>
    <w:rsid w:val="00412AD9"/>
    <w:rsid w:val="00415492"/>
    <w:rsid w:val="004178C8"/>
    <w:rsid w:val="00423C35"/>
    <w:rsid w:val="004278D4"/>
    <w:rsid w:val="00430D45"/>
    <w:rsid w:val="00431DA3"/>
    <w:rsid w:val="00432A0C"/>
    <w:rsid w:val="00433DE5"/>
    <w:rsid w:val="00437A54"/>
    <w:rsid w:val="00442031"/>
    <w:rsid w:val="004443C8"/>
    <w:rsid w:val="0044481F"/>
    <w:rsid w:val="004454F7"/>
    <w:rsid w:val="00450079"/>
    <w:rsid w:val="004504E7"/>
    <w:rsid w:val="0045373C"/>
    <w:rsid w:val="00453C0B"/>
    <w:rsid w:val="00456071"/>
    <w:rsid w:val="00456737"/>
    <w:rsid w:val="00456A72"/>
    <w:rsid w:val="00456A79"/>
    <w:rsid w:val="00461EDE"/>
    <w:rsid w:val="004638A8"/>
    <w:rsid w:val="00470220"/>
    <w:rsid w:val="00471E78"/>
    <w:rsid w:val="0047252B"/>
    <w:rsid w:val="00472C32"/>
    <w:rsid w:val="00472D58"/>
    <w:rsid w:val="00473996"/>
    <w:rsid w:val="0047592F"/>
    <w:rsid w:val="004767E9"/>
    <w:rsid w:val="00476AF1"/>
    <w:rsid w:val="00477EF4"/>
    <w:rsid w:val="004823A5"/>
    <w:rsid w:val="00484559"/>
    <w:rsid w:val="004852B6"/>
    <w:rsid w:val="004854B1"/>
    <w:rsid w:val="004876D3"/>
    <w:rsid w:val="004909BB"/>
    <w:rsid w:val="0049197F"/>
    <w:rsid w:val="00493DD9"/>
    <w:rsid w:val="00496CF3"/>
    <w:rsid w:val="00496D57"/>
    <w:rsid w:val="004A135E"/>
    <w:rsid w:val="004A373F"/>
    <w:rsid w:val="004A464E"/>
    <w:rsid w:val="004A4859"/>
    <w:rsid w:val="004B0832"/>
    <w:rsid w:val="004B1D23"/>
    <w:rsid w:val="004B5CC9"/>
    <w:rsid w:val="004B72BC"/>
    <w:rsid w:val="004C0FC4"/>
    <w:rsid w:val="004C1246"/>
    <w:rsid w:val="004C1EC2"/>
    <w:rsid w:val="004C4F15"/>
    <w:rsid w:val="004C61B8"/>
    <w:rsid w:val="004C7700"/>
    <w:rsid w:val="004D028D"/>
    <w:rsid w:val="004D3D71"/>
    <w:rsid w:val="004D4FBD"/>
    <w:rsid w:val="004E1031"/>
    <w:rsid w:val="004E16F4"/>
    <w:rsid w:val="004E2788"/>
    <w:rsid w:val="004E28A4"/>
    <w:rsid w:val="004E3E2A"/>
    <w:rsid w:val="004E441F"/>
    <w:rsid w:val="004F0E59"/>
    <w:rsid w:val="004F1A93"/>
    <w:rsid w:val="004F27DA"/>
    <w:rsid w:val="004F29A2"/>
    <w:rsid w:val="004F2EAE"/>
    <w:rsid w:val="004F2FDA"/>
    <w:rsid w:val="004F49DE"/>
    <w:rsid w:val="004F4C83"/>
    <w:rsid w:val="004F564A"/>
    <w:rsid w:val="004F6088"/>
    <w:rsid w:val="0050055F"/>
    <w:rsid w:val="00501A8E"/>
    <w:rsid w:val="00502983"/>
    <w:rsid w:val="005045F2"/>
    <w:rsid w:val="0051102B"/>
    <w:rsid w:val="0051110B"/>
    <w:rsid w:val="00513E02"/>
    <w:rsid w:val="005141F0"/>
    <w:rsid w:val="00514727"/>
    <w:rsid w:val="0051691A"/>
    <w:rsid w:val="005216DB"/>
    <w:rsid w:val="00522BE1"/>
    <w:rsid w:val="00525134"/>
    <w:rsid w:val="00527055"/>
    <w:rsid w:val="00527860"/>
    <w:rsid w:val="005302E8"/>
    <w:rsid w:val="00537C60"/>
    <w:rsid w:val="005403BB"/>
    <w:rsid w:val="00540508"/>
    <w:rsid w:val="00541462"/>
    <w:rsid w:val="00545692"/>
    <w:rsid w:val="00547939"/>
    <w:rsid w:val="0055006E"/>
    <w:rsid w:val="005528A4"/>
    <w:rsid w:val="0055343F"/>
    <w:rsid w:val="005538B1"/>
    <w:rsid w:val="005570A3"/>
    <w:rsid w:val="00557BB6"/>
    <w:rsid w:val="005617E0"/>
    <w:rsid w:val="005618EC"/>
    <w:rsid w:val="005623D2"/>
    <w:rsid w:val="0056793D"/>
    <w:rsid w:val="00570476"/>
    <w:rsid w:val="005758B0"/>
    <w:rsid w:val="0057593B"/>
    <w:rsid w:val="005761DA"/>
    <w:rsid w:val="00576B9B"/>
    <w:rsid w:val="005775A5"/>
    <w:rsid w:val="00577A94"/>
    <w:rsid w:val="00577CD6"/>
    <w:rsid w:val="00581C4B"/>
    <w:rsid w:val="005820C9"/>
    <w:rsid w:val="00582F58"/>
    <w:rsid w:val="005847C1"/>
    <w:rsid w:val="005903E6"/>
    <w:rsid w:val="005906A6"/>
    <w:rsid w:val="00590E74"/>
    <w:rsid w:val="00593B63"/>
    <w:rsid w:val="005A1F8D"/>
    <w:rsid w:val="005A6087"/>
    <w:rsid w:val="005A67BB"/>
    <w:rsid w:val="005A740E"/>
    <w:rsid w:val="005B0120"/>
    <w:rsid w:val="005B0BCC"/>
    <w:rsid w:val="005B2090"/>
    <w:rsid w:val="005B2A3B"/>
    <w:rsid w:val="005B2A9E"/>
    <w:rsid w:val="005B2AFE"/>
    <w:rsid w:val="005B39F8"/>
    <w:rsid w:val="005B3F4F"/>
    <w:rsid w:val="005C2B4E"/>
    <w:rsid w:val="005C5E3B"/>
    <w:rsid w:val="005C663F"/>
    <w:rsid w:val="005C79E2"/>
    <w:rsid w:val="005D07B3"/>
    <w:rsid w:val="005D1611"/>
    <w:rsid w:val="005E0DCD"/>
    <w:rsid w:val="005E5234"/>
    <w:rsid w:val="005E7F3F"/>
    <w:rsid w:val="005F38E6"/>
    <w:rsid w:val="005F6CAA"/>
    <w:rsid w:val="00602DE5"/>
    <w:rsid w:val="0060451F"/>
    <w:rsid w:val="006049B5"/>
    <w:rsid w:val="006054BF"/>
    <w:rsid w:val="0060556C"/>
    <w:rsid w:val="00605FB9"/>
    <w:rsid w:val="006077DA"/>
    <w:rsid w:val="00613495"/>
    <w:rsid w:val="006138A9"/>
    <w:rsid w:val="00616699"/>
    <w:rsid w:val="006217C9"/>
    <w:rsid w:val="006217CD"/>
    <w:rsid w:val="00622118"/>
    <w:rsid w:val="00622A7A"/>
    <w:rsid w:val="00623F3E"/>
    <w:rsid w:val="00626C25"/>
    <w:rsid w:val="00632581"/>
    <w:rsid w:val="0063404D"/>
    <w:rsid w:val="00637C57"/>
    <w:rsid w:val="00640710"/>
    <w:rsid w:val="00642967"/>
    <w:rsid w:val="00643C82"/>
    <w:rsid w:val="00655583"/>
    <w:rsid w:val="00657A43"/>
    <w:rsid w:val="00660860"/>
    <w:rsid w:val="00660BC7"/>
    <w:rsid w:val="0066177F"/>
    <w:rsid w:val="00661FD1"/>
    <w:rsid w:val="006631A6"/>
    <w:rsid w:val="006635EA"/>
    <w:rsid w:val="0066581C"/>
    <w:rsid w:val="00670F37"/>
    <w:rsid w:val="00674510"/>
    <w:rsid w:val="0067548C"/>
    <w:rsid w:val="0068029A"/>
    <w:rsid w:val="00684358"/>
    <w:rsid w:val="00686D4F"/>
    <w:rsid w:val="00687BC5"/>
    <w:rsid w:val="00691763"/>
    <w:rsid w:val="0069233D"/>
    <w:rsid w:val="006A28D5"/>
    <w:rsid w:val="006A3076"/>
    <w:rsid w:val="006A3B57"/>
    <w:rsid w:val="006A4BE5"/>
    <w:rsid w:val="006A55AD"/>
    <w:rsid w:val="006A65EF"/>
    <w:rsid w:val="006C492D"/>
    <w:rsid w:val="006C6369"/>
    <w:rsid w:val="006D2826"/>
    <w:rsid w:val="006D44DF"/>
    <w:rsid w:val="006D582C"/>
    <w:rsid w:val="006D6106"/>
    <w:rsid w:val="006E16EF"/>
    <w:rsid w:val="006E58B8"/>
    <w:rsid w:val="006E628F"/>
    <w:rsid w:val="006E7D08"/>
    <w:rsid w:val="006F0642"/>
    <w:rsid w:val="006F069F"/>
    <w:rsid w:val="006F0977"/>
    <w:rsid w:val="006F19A2"/>
    <w:rsid w:val="006F320A"/>
    <w:rsid w:val="006F4AF1"/>
    <w:rsid w:val="006F6C03"/>
    <w:rsid w:val="006F793B"/>
    <w:rsid w:val="006F7A1E"/>
    <w:rsid w:val="007014BE"/>
    <w:rsid w:val="00704458"/>
    <w:rsid w:val="0070677A"/>
    <w:rsid w:val="00707093"/>
    <w:rsid w:val="00707748"/>
    <w:rsid w:val="00707A12"/>
    <w:rsid w:val="007103AB"/>
    <w:rsid w:val="007107BA"/>
    <w:rsid w:val="00710CE7"/>
    <w:rsid w:val="007227D3"/>
    <w:rsid w:val="00730BED"/>
    <w:rsid w:val="007327B6"/>
    <w:rsid w:val="00737112"/>
    <w:rsid w:val="007375F9"/>
    <w:rsid w:val="007377CC"/>
    <w:rsid w:val="007418CF"/>
    <w:rsid w:val="007443AD"/>
    <w:rsid w:val="00745BA7"/>
    <w:rsid w:val="00745F2F"/>
    <w:rsid w:val="007469D2"/>
    <w:rsid w:val="0075198B"/>
    <w:rsid w:val="007543DE"/>
    <w:rsid w:val="007566F0"/>
    <w:rsid w:val="00760780"/>
    <w:rsid w:val="00763624"/>
    <w:rsid w:val="0076441E"/>
    <w:rsid w:val="0076657F"/>
    <w:rsid w:val="00774B22"/>
    <w:rsid w:val="00777A09"/>
    <w:rsid w:val="007837F3"/>
    <w:rsid w:val="007904A7"/>
    <w:rsid w:val="00794C4E"/>
    <w:rsid w:val="007963A2"/>
    <w:rsid w:val="007A6F05"/>
    <w:rsid w:val="007B097B"/>
    <w:rsid w:val="007B6642"/>
    <w:rsid w:val="007C5CDC"/>
    <w:rsid w:val="007C6DEF"/>
    <w:rsid w:val="007C7C36"/>
    <w:rsid w:val="007D1C46"/>
    <w:rsid w:val="007D340E"/>
    <w:rsid w:val="007D5A8A"/>
    <w:rsid w:val="007D62CA"/>
    <w:rsid w:val="007D66C2"/>
    <w:rsid w:val="007D765B"/>
    <w:rsid w:val="007E0BFD"/>
    <w:rsid w:val="007E158B"/>
    <w:rsid w:val="007E20CA"/>
    <w:rsid w:val="007F042D"/>
    <w:rsid w:val="007F0737"/>
    <w:rsid w:val="007F0940"/>
    <w:rsid w:val="007F19AC"/>
    <w:rsid w:val="007F1E62"/>
    <w:rsid w:val="007F24F6"/>
    <w:rsid w:val="007F2A0D"/>
    <w:rsid w:val="007F2A7E"/>
    <w:rsid w:val="007F552B"/>
    <w:rsid w:val="007F63EC"/>
    <w:rsid w:val="00800C47"/>
    <w:rsid w:val="00803F1B"/>
    <w:rsid w:val="008056A7"/>
    <w:rsid w:val="00805852"/>
    <w:rsid w:val="00805B22"/>
    <w:rsid w:val="00810805"/>
    <w:rsid w:val="00810F55"/>
    <w:rsid w:val="00811A91"/>
    <w:rsid w:val="00814958"/>
    <w:rsid w:val="008149CF"/>
    <w:rsid w:val="00816CA5"/>
    <w:rsid w:val="00817FC3"/>
    <w:rsid w:val="00823E54"/>
    <w:rsid w:val="00824A4E"/>
    <w:rsid w:val="008254E7"/>
    <w:rsid w:val="0083477F"/>
    <w:rsid w:val="00837152"/>
    <w:rsid w:val="00837596"/>
    <w:rsid w:val="00840886"/>
    <w:rsid w:val="008408A0"/>
    <w:rsid w:val="00846E88"/>
    <w:rsid w:val="008501A5"/>
    <w:rsid w:val="00854ADE"/>
    <w:rsid w:val="008576F0"/>
    <w:rsid w:val="00857C89"/>
    <w:rsid w:val="00857FE1"/>
    <w:rsid w:val="008611F2"/>
    <w:rsid w:val="0086125A"/>
    <w:rsid w:val="00861E1F"/>
    <w:rsid w:val="00861EE2"/>
    <w:rsid w:val="00862598"/>
    <w:rsid w:val="00864151"/>
    <w:rsid w:val="00865C0D"/>
    <w:rsid w:val="00867F1E"/>
    <w:rsid w:val="008707CA"/>
    <w:rsid w:val="00871650"/>
    <w:rsid w:val="00872A55"/>
    <w:rsid w:val="00873542"/>
    <w:rsid w:val="00880C71"/>
    <w:rsid w:val="0088117B"/>
    <w:rsid w:val="00882531"/>
    <w:rsid w:val="0088714E"/>
    <w:rsid w:val="00887FA5"/>
    <w:rsid w:val="008926B7"/>
    <w:rsid w:val="0089561E"/>
    <w:rsid w:val="008A0590"/>
    <w:rsid w:val="008B063A"/>
    <w:rsid w:val="008B066F"/>
    <w:rsid w:val="008B2878"/>
    <w:rsid w:val="008B2A80"/>
    <w:rsid w:val="008B4122"/>
    <w:rsid w:val="008B534E"/>
    <w:rsid w:val="008B536E"/>
    <w:rsid w:val="008B5F79"/>
    <w:rsid w:val="008B61CE"/>
    <w:rsid w:val="008C2242"/>
    <w:rsid w:val="008C2FFC"/>
    <w:rsid w:val="008C3D85"/>
    <w:rsid w:val="008D2512"/>
    <w:rsid w:val="008D3423"/>
    <w:rsid w:val="008D416F"/>
    <w:rsid w:val="008D6580"/>
    <w:rsid w:val="008E1E2A"/>
    <w:rsid w:val="008E277B"/>
    <w:rsid w:val="008E3748"/>
    <w:rsid w:val="008E45DE"/>
    <w:rsid w:val="008E765D"/>
    <w:rsid w:val="008F733C"/>
    <w:rsid w:val="00904292"/>
    <w:rsid w:val="00910626"/>
    <w:rsid w:val="00910AC9"/>
    <w:rsid w:val="0091236B"/>
    <w:rsid w:val="009135EF"/>
    <w:rsid w:val="009150AA"/>
    <w:rsid w:val="009167EA"/>
    <w:rsid w:val="00916E26"/>
    <w:rsid w:val="00917CF5"/>
    <w:rsid w:val="009203AD"/>
    <w:rsid w:val="00920BA7"/>
    <w:rsid w:val="00921D50"/>
    <w:rsid w:val="00923ABF"/>
    <w:rsid w:val="009257CF"/>
    <w:rsid w:val="00926D34"/>
    <w:rsid w:val="00926E93"/>
    <w:rsid w:val="00927FAF"/>
    <w:rsid w:val="0093066E"/>
    <w:rsid w:val="00930C66"/>
    <w:rsid w:val="00933AD4"/>
    <w:rsid w:val="00935D37"/>
    <w:rsid w:val="00936389"/>
    <w:rsid w:val="00940633"/>
    <w:rsid w:val="009413D6"/>
    <w:rsid w:val="009418C7"/>
    <w:rsid w:val="00942DC2"/>
    <w:rsid w:val="009433EF"/>
    <w:rsid w:val="00943770"/>
    <w:rsid w:val="0094465F"/>
    <w:rsid w:val="00947975"/>
    <w:rsid w:val="00956CA1"/>
    <w:rsid w:val="00957FC8"/>
    <w:rsid w:val="0096020A"/>
    <w:rsid w:val="00960DBD"/>
    <w:rsid w:val="00960E8B"/>
    <w:rsid w:val="009618C6"/>
    <w:rsid w:val="0096652B"/>
    <w:rsid w:val="00967743"/>
    <w:rsid w:val="009700AC"/>
    <w:rsid w:val="00970E4B"/>
    <w:rsid w:val="0097162D"/>
    <w:rsid w:val="0097473C"/>
    <w:rsid w:val="00974D3A"/>
    <w:rsid w:val="0097594A"/>
    <w:rsid w:val="00977B8C"/>
    <w:rsid w:val="00980419"/>
    <w:rsid w:val="00980D23"/>
    <w:rsid w:val="00983562"/>
    <w:rsid w:val="00985E2D"/>
    <w:rsid w:val="00990379"/>
    <w:rsid w:val="0099164F"/>
    <w:rsid w:val="00994467"/>
    <w:rsid w:val="00994538"/>
    <w:rsid w:val="00995057"/>
    <w:rsid w:val="0099782D"/>
    <w:rsid w:val="00997D7A"/>
    <w:rsid w:val="009A323D"/>
    <w:rsid w:val="009A4D6E"/>
    <w:rsid w:val="009A54A9"/>
    <w:rsid w:val="009B0F62"/>
    <w:rsid w:val="009B4126"/>
    <w:rsid w:val="009B4573"/>
    <w:rsid w:val="009B5ABF"/>
    <w:rsid w:val="009B6906"/>
    <w:rsid w:val="009B7AF2"/>
    <w:rsid w:val="009B7E26"/>
    <w:rsid w:val="009C0CFE"/>
    <w:rsid w:val="009C323E"/>
    <w:rsid w:val="009C3D15"/>
    <w:rsid w:val="009D16DF"/>
    <w:rsid w:val="009D1830"/>
    <w:rsid w:val="009D1AC9"/>
    <w:rsid w:val="009D1DF7"/>
    <w:rsid w:val="009D3B7A"/>
    <w:rsid w:val="009D417C"/>
    <w:rsid w:val="009D455E"/>
    <w:rsid w:val="009E41F1"/>
    <w:rsid w:val="009E6969"/>
    <w:rsid w:val="009F13D4"/>
    <w:rsid w:val="009F14F1"/>
    <w:rsid w:val="009F1CFB"/>
    <w:rsid w:val="009F1DFF"/>
    <w:rsid w:val="009F35D0"/>
    <w:rsid w:val="009F3B9B"/>
    <w:rsid w:val="009F5A1E"/>
    <w:rsid w:val="009F69BD"/>
    <w:rsid w:val="009F69DB"/>
    <w:rsid w:val="009F6E0B"/>
    <w:rsid w:val="00A0130C"/>
    <w:rsid w:val="00A013CD"/>
    <w:rsid w:val="00A027F4"/>
    <w:rsid w:val="00A0337F"/>
    <w:rsid w:val="00A055DB"/>
    <w:rsid w:val="00A0595F"/>
    <w:rsid w:val="00A12557"/>
    <w:rsid w:val="00A12B15"/>
    <w:rsid w:val="00A1338D"/>
    <w:rsid w:val="00A156FF"/>
    <w:rsid w:val="00A15728"/>
    <w:rsid w:val="00A15F73"/>
    <w:rsid w:val="00A1646A"/>
    <w:rsid w:val="00A17257"/>
    <w:rsid w:val="00A1771F"/>
    <w:rsid w:val="00A17737"/>
    <w:rsid w:val="00A206AD"/>
    <w:rsid w:val="00A21826"/>
    <w:rsid w:val="00A223A7"/>
    <w:rsid w:val="00A22CDE"/>
    <w:rsid w:val="00A22ED2"/>
    <w:rsid w:val="00A23026"/>
    <w:rsid w:val="00A23044"/>
    <w:rsid w:val="00A26DD8"/>
    <w:rsid w:val="00A3282B"/>
    <w:rsid w:val="00A3667B"/>
    <w:rsid w:val="00A41CDE"/>
    <w:rsid w:val="00A42678"/>
    <w:rsid w:val="00A44782"/>
    <w:rsid w:val="00A51056"/>
    <w:rsid w:val="00A52ADA"/>
    <w:rsid w:val="00A54A96"/>
    <w:rsid w:val="00A54C2D"/>
    <w:rsid w:val="00A55F01"/>
    <w:rsid w:val="00A5779D"/>
    <w:rsid w:val="00A62053"/>
    <w:rsid w:val="00A66B95"/>
    <w:rsid w:val="00A67E61"/>
    <w:rsid w:val="00A746B2"/>
    <w:rsid w:val="00A74FC4"/>
    <w:rsid w:val="00A8034A"/>
    <w:rsid w:val="00A81344"/>
    <w:rsid w:val="00A8144C"/>
    <w:rsid w:val="00A82198"/>
    <w:rsid w:val="00A85729"/>
    <w:rsid w:val="00A869B9"/>
    <w:rsid w:val="00A871E1"/>
    <w:rsid w:val="00A872AA"/>
    <w:rsid w:val="00A87303"/>
    <w:rsid w:val="00A925C8"/>
    <w:rsid w:val="00A93C26"/>
    <w:rsid w:val="00A9486C"/>
    <w:rsid w:val="00A94FB8"/>
    <w:rsid w:val="00A96790"/>
    <w:rsid w:val="00AA07BD"/>
    <w:rsid w:val="00AA3212"/>
    <w:rsid w:val="00AA3545"/>
    <w:rsid w:val="00AA4BD1"/>
    <w:rsid w:val="00AB27A7"/>
    <w:rsid w:val="00AB301E"/>
    <w:rsid w:val="00AB38D9"/>
    <w:rsid w:val="00AB7DAC"/>
    <w:rsid w:val="00AC1974"/>
    <w:rsid w:val="00AC2132"/>
    <w:rsid w:val="00AC4D0F"/>
    <w:rsid w:val="00AC6193"/>
    <w:rsid w:val="00AC685E"/>
    <w:rsid w:val="00AD04B0"/>
    <w:rsid w:val="00AD0907"/>
    <w:rsid w:val="00AD29ED"/>
    <w:rsid w:val="00AD5212"/>
    <w:rsid w:val="00AD57D5"/>
    <w:rsid w:val="00AE14C5"/>
    <w:rsid w:val="00AE36EC"/>
    <w:rsid w:val="00AE43B0"/>
    <w:rsid w:val="00AE4C6F"/>
    <w:rsid w:val="00AE5AAD"/>
    <w:rsid w:val="00AE5CC0"/>
    <w:rsid w:val="00AE688F"/>
    <w:rsid w:val="00AF0A6F"/>
    <w:rsid w:val="00AF2682"/>
    <w:rsid w:val="00AF31FA"/>
    <w:rsid w:val="00AF375F"/>
    <w:rsid w:val="00AF400E"/>
    <w:rsid w:val="00AF4411"/>
    <w:rsid w:val="00AF51A3"/>
    <w:rsid w:val="00AF53DE"/>
    <w:rsid w:val="00AF6933"/>
    <w:rsid w:val="00AF7027"/>
    <w:rsid w:val="00B00D15"/>
    <w:rsid w:val="00B041F1"/>
    <w:rsid w:val="00B05A19"/>
    <w:rsid w:val="00B05C1E"/>
    <w:rsid w:val="00B0602B"/>
    <w:rsid w:val="00B065B9"/>
    <w:rsid w:val="00B07A9F"/>
    <w:rsid w:val="00B12051"/>
    <w:rsid w:val="00B1350C"/>
    <w:rsid w:val="00B13789"/>
    <w:rsid w:val="00B15D33"/>
    <w:rsid w:val="00B162C3"/>
    <w:rsid w:val="00B22EA7"/>
    <w:rsid w:val="00B246E2"/>
    <w:rsid w:val="00B269DB"/>
    <w:rsid w:val="00B332D7"/>
    <w:rsid w:val="00B3342A"/>
    <w:rsid w:val="00B40DCF"/>
    <w:rsid w:val="00B41574"/>
    <w:rsid w:val="00B43C7B"/>
    <w:rsid w:val="00B4489A"/>
    <w:rsid w:val="00B4656E"/>
    <w:rsid w:val="00B47AB4"/>
    <w:rsid w:val="00B509ED"/>
    <w:rsid w:val="00B5388B"/>
    <w:rsid w:val="00B54162"/>
    <w:rsid w:val="00B542D3"/>
    <w:rsid w:val="00B560B0"/>
    <w:rsid w:val="00B56A1E"/>
    <w:rsid w:val="00B57284"/>
    <w:rsid w:val="00B6035B"/>
    <w:rsid w:val="00B64E58"/>
    <w:rsid w:val="00B666ED"/>
    <w:rsid w:val="00B70DED"/>
    <w:rsid w:val="00B7317D"/>
    <w:rsid w:val="00B73533"/>
    <w:rsid w:val="00B73E35"/>
    <w:rsid w:val="00B76556"/>
    <w:rsid w:val="00B836D5"/>
    <w:rsid w:val="00B840AB"/>
    <w:rsid w:val="00B84FE0"/>
    <w:rsid w:val="00B90C4D"/>
    <w:rsid w:val="00B92C79"/>
    <w:rsid w:val="00B952EB"/>
    <w:rsid w:val="00B96270"/>
    <w:rsid w:val="00B97680"/>
    <w:rsid w:val="00BA069E"/>
    <w:rsid w:val="00BA0EAF"/>
    <w:rsid w:val="00BA12FD"/>
    <w:rsid w:val="00BA5DE0"/>
    <w:rsid w:val="00BA69BB"/>
    <w:rsid w:val="00BA7956"/>
    <w:rsid w:val="00BA7B67"/>
    <w:rsid w:val="00BB143A"/>
    <w:rsid w:val="00BB77ED"/>
    <w:rsid w:val="00BC07D9"/>
    <w:rsid w:val="00BC0F68"/>
    <w:rsid w:val="00BC5ACB"/>
    <w:rsid w:val="00BD0A62"/>
    <w:rsid w:val="00BD0B0A"/>
    <w:rsid w:val="00BD156F"/>
    <w:rsid w:val="00BD1AAA"/>
    <w:rsid w:val="00BD3403"/>
    <w:rsid w:val="00BD3778"/>
    <w:rsid w:val="00BD384E"/>
    <w:rsid w:val="00BD6CB8"/>
    <w:rsid w:val="00BE03FB"/>
    <w:rsid w:val="00BE1A66"/>
    <w:rsid w:val="00BE25B8"/>
    <w:rsid w:val="00BE472B"/>
    <w:rsid w:val="00BE5150"/>
    <w:rsid w:val="00BE5638"/>
    <w:rsid w:val="00BF04ED"/>
    <w:rsid w:val="00BF37DC"/>
    <w:rsid w:val="00BF60EE"/>
    <w:rsid w:val="00BF7550"/>
    <w:rsid w:val="00C0138E"/>
    <w:rsid w:val="00C023A4"/>
    <w:rsid w:val="00C03B39"/>
    <w:rsid w:val="00C03DAB"/>
    <w:rsid w:val="00C0403E"/>
    <w:rsid w:val="00C05D5F"/>
    <w:rsid w:val="00C062CC"/>
    <w:rsid w:val="00C06C13"/>
    <w:rsid w:val="00C076E1"/>
    <w:rsid w:val="00C10609"/>
    <w:rsid w:val="00C1296E"/>
    <w:rsid w:val="00C168B8"/>
    <w:rsid w:val="00C16B94"/>
    <w:rsid w:val="00C2004B"/>
    <w:rsid w:val="00C22AFA"/>
    <w:rsid w:val="00C24A34"/>
    <w:rsid w:val="00C275DE"/>
    <w:rsid w:val="00C344E7"/>
    <w:rsid w:val="00C34C2B"/>
    <w:rsid w:val="00C471EE"/>
    <w:rsid w:val="00C5090D"/>
    <w:rsid w:val="00C516A1"/>
    <w:rsid w:val="00C531FF"/>
    <w:rsid w:val="00C53663"/>
    <w:rsid w:val="00C543E3"/>
    <w:rsid w:val="00C54463"/>
    <w:rsid w:val="00C625FA"/>
    <w:rsid w:val="00C644C7"/>
    <w:rsid w:val="00C659D0"/>
    <w:rsid w:val="00C65F9B"/>
    <w:rsid w:val="00C66A8C"/>
    <w:rsid w:val="00C67DA4"/>
    <w:rsid w:val="00C70168"/>
    <w:rsid w:val="00C70F21"/>
    <w:rsid w:val="00C71935"/>
    <w:rsid w:val="00C72875"/>
    <w:rsid w:val="00C72993"/>
    <w:rsid w:val="00C757DA"/>
    <w:rsid w:val="00C77A95"/>
    <w:rsid w:val="00C80569"/>
    <w:rsid w:val="00C81A60"/>
    <w:rsid w:val="00C82864"/>
    <w:rsid w:val="00C86D95"/>
    <w:rsid w:val="00C903C3"/>
    <w:rsid w:val="00C9086C"/>
    <w:rsid w:val="00C91FF9"/>
    <w:rsid w:val="00C92F43"/>
    <w:rsid w:val="00C944E5"/>
    <w:rsid w:val="00C96FC0"/>
    <w:rsid w:val="00CA30D7"/>
    <w:rsid w:val="00CA4F90"/>
    <w:rsid w:val="00CB3AE8"/>
    <w:rsid w:val="00CB3EA3"/>
    <w:rsid w:val="00CB5D2C"/>
    <w:rsid w:val="00CC14E4"/>
    <w:rsid w:val="00CC2443"/>
    <w:rsid w:val="00CD1675"/>
    <w:rsid w:val="00CD399D"/>
    <w:rsid w:val="00CD4642"/>
    <w:rsid w:val="00CD5308"/>
    <w:rsid w:val="00CE2266"/>
    <w:rsid w:val="00CE5E6E"/>
    <w:rsid w:val="00CE618F"/>
    <w:rsid w:val="00CE6508"/>
    <w:rsid w:val="00CF77E7"/>
    <w:rsid w:val="00CF7E4F"/>
    <w:rsid w:val="00D023FE"/>
    <w:rsid w:val="00D0487F"/>
    <w:rsid w:val="00D101F0"/>
    <w:rsid w:val="00D1209D"/>
    <w:rsid w:val="00D122FC"/>
    <w:rsid w:val="00D13AEB"/>
    <w:rsid w:val="00D14674"/>
    <w:rsid w:val="00D14BFB"/>
    <w:rsid w:val="00D178DE"/>
    <w:rsid w:val="00D202DB"/>
    <w:rsid w:val="00D21A57"/>
    <w:rsid w:val="00D2210B"/>
    <w:rsid w:val="00D222CE"/>
    <w:rsid w:val="00D252DC"/>
    <w:rsid w:val="00D3737D"/>
    <w:rsid w:val="00D37406"/>
    <w:rsid w:val="00D377BF"/>
    <w:rsid w:val="00D4207E"/>
    <w:rsid w:val="00D44386"/>
    <w:rsid w:val="00D444F3"/>
    <w:rsid w:val="00D4554B"/>
    <w:rsid w:val="00D530AF"/>
    <w:rsid w:val="00D54B07"/>
    <w:rsid w:val="00D55776"/>
    <w:rsid w:val="00D60772"/>
    <w:rsid w:val="00D60B47"/>
    <w:rsid w:val="00D616FD"/>
    <w:rsid w:val="00D6281A"/>
    <w:rsid w:val="00D719F3"/>
    <w:rsid w:val="00D721B4"/>
    <w:rsid w:val="00D74F18"/>
    <w:rsid w:val="00D81C3D"/>
    <w:rsid w:val="00D82CD2"/>
    <w:rsid w:val="00D83463"/>
    <w:rsid w:val="00D83650"/>
    <w:rsid w:val="00D87EE7"/>
    <w:rsid w:val="00D91482"/>
    <w:rsid w:val="00D9267E"/>
    <w:rsid w:val="00D92D78"/>
    <w:rsid w:val="00D932EE"/>
    <w:rsid w:val="00D94B63"/>
    <w:rsid w:val="00D94EA0"/>
    <w:rsid w:val="00D96622"/>
    <w:rsid w:val="00D9708A"/>
    <w:rsid w:val="00D97AB1"/>
    <w:rsid w:val="00DA1925"/>
    <w:rsid w:val="00DA35CA"/>
    <w:rsid w:val="00DA70FF"/>
    <w:rsid w:val="00DB0CCF"/>
    <w:rsid w:val="00DB3818"/>
    <w:rsid w:val="00DB4518"/>
    <w:rsid w:val="00DB6B93"/>
    <w:rsid w:val="00DB6C2C"/>
    <w:rsid w:val="00DC0A4B"/>
    <w:rsid w:val="00DC0E9B"/>
    <w:rsid w:val="00DC21CC"/>
    <w:rsid w:val="00DC73F9"/>
    <w:rsid w:val="00DC7CCD"/>
    <w:rsid w:val="00DD19B7"/>
    <w:rsid w:val="00DD22BC"/>
    <w:rsid w:val="00DE279C"/>
    <w:rsid w:val="00DE52B4"/>
    <w:rsid w:val="00DF14B1"/>
    <w:rsid w:val="00DF1A59"/>
    <w:rsid w:val="00DF35B5"/>
    <w:rsid w:val="00DF5F69"/>
    <w:rsid w:val="00DF761C"/>
    <w:rsid w:val="00E0152C"/>
    <w:rsid w:val="00E05300"/>
    <w:rsid w:val="00E06B2D"/>
    <w:rsid w:val="00E06E06"/>
    <w:rsid w:val="00E108C6"/>
    <w:rsid w:val="00E11FB2"/>
    <w:rsid w:val="00E12664"/>
    <w:rsid w:val="00E1274D"/>
    <w:rsid w:val="00E13203"/>
    <w:rsid w:val="00E135BE"/>
    <w:rsid w:val="00E13CA2"/>
    <w:rsid w:val="00E14D5C"/>
    <w:rsid w:val="00E15AF3"/>
    <w:rsid w:val="00E161D1"/>
    <w:rsid w:val="00E1689F"/>
    <w:rsid w:val="00E17254"/>
    <w:rsid w:val="00E212BE"/>
    <w:rsid w:val="00E21FA4"/>
    <w:rsid w:val="00E22D24"/>
    <w:rsid w:val="00E22F24"/>
    <w:rsid w:val="00E2382F"/>
    <w:rsid w:val="00E24E5D"/>
    <w:rsid w:val="00E3217C"/>
    <w:rsid w:val="00E36741"/>
    <w:rsid w:val="00E373AE"/>
    <w:rsid w:val="00E41597"/>
    <w:rsid w:val="00E4172D"/>
    <w:rsid w:val="00E4182E"/>
    <w:rsid w:val="00E50413"/>
    <w:rsid w:val="00E55935"/>
    <w:rsid w:val="00E57237"/>
    <w:rsid w:val="00E62506"/>
    <w:rsid w:val="00E63F89"/>
    <w:rsid w:val="00E64BFD"/>
    <w:rsid w:val="00E64C4D"/>
    <w:rsid w:val="00E64EBF"/>
    <w:rsid w:val="00E70383"/>
    <w:rsid w:val="00E709DB"/>
    <w:rsid w:val="00E70F83"/>
    <w:rsid w:val="00E75B4B"/>
    <w:rsid w:val="00E8016B"/>
    <w:rsid w:val="00E80617"/>
    <w:rsid w:val="00E8163D"/>
    <w:rsid w:val="00E85B61"/>
    <w:rsid w:val="00E87088"/>
    <w:rsid w:val="00E941F7"/>
    <w:rsid w:val="00E95E66"/>
    <w:rsid w:val="00E966C3"/>
    <w:rsid w:val="00E97D6F"/>
    <w:rsid w:val="00E97EB0"/>
    <w:rsid w:val="00EA42FC"/>
    <w:rsid w:val="00EA5D2D"/>
    <w:rsid w:val="00EB67DA"/>
    <w:rsid w:val="00EC29B6"/>
    <w:rsid w:val="00EC6399"/>
    <w:rsid w:val="00EC7B6C"/>
    <w:rsid w:val="00ED00C1"/>
    <w:rsid w:val="00ED059D"/>
    <w:rsid w:val="00ED11DD"/>
    <w:rsid w:val="00ED3579"/>
    <w:rsid w:val="00ED36C0"/>
    <w:rsid w:val="00ED6EE5"/>
    <w:rsid w:val="00ED7EF1"/>
    <w:rsid w:val="00EE610D"/>
    <w:rsid w:val="00EE6A58"/>
    <w:rsid w:val="00EF59D3"/>
    <w:rsid w:val="00EF7BA0"/>
    <w:rsid w:val="00F00288"/>
    <w:rsid w:val="00F03745"/>
    <w:rsid w:val="00F03899"/>
    <w:rsid w:val="00F10329"/>
    <w:rsid w:val="00F12718"/>
    <w:rsid w:val="00F12B22"/>
    <w:rsid w:val="00F13C9F"/>
    <w:rsid w:val="00F14EF6"/>
    <w:rsid w:val="00F16E43"/>
    <w:rsid w:val="00F16FED"/>
    <w:rsid w:val="00F17570"/>
    <w:rsid w:val="00F20D57"/>
    <w:rsid w:val="00F22550"/>
    <w:rsid w:val="00F23334"/>
    <w:rsid w:val="00F2738E"/>
    <w:rsid w:val="00F3016E"/>
    <w:rsid w:val="00F379AA"/>
    <w:rsid w:val="00F44761"/>
    <w:rsid w:val="00F46AB3"/>
    <w:rsid w:val="00F474B2"/>
    <w:rsid w:val="00F50369"/>
    <w:rsid w:val="00F50692"/>
    <w:rsid w:val="00F5173D"/>
    <w:rsid w:val="00F52276"/>
    <w:rsid w:val="00F565B8"/>
    <w:rsid w:val="00F575A7"/>
    <w:rsid w:val="00F60831"/>
    <w:rsid w:val="00F65AD3"/>
    <w:rsid w:val="00F70531"/>
    <w:rsid w:val="00F71128"/>
    <w:rsid w:val="00F71E53"/>
    <w:rsid w:val="00F72EFC"/>
    <w:rsid w:val="00F768AB"/>
    <w:rsid w:val="00F76A08"/>
    <w:rsid w:val="00F81D9A"/>
    <w:rsid w:val="00F85DCD"/>
    <w:rsid w:val="00F875D2"/>
    <w:rsid w:val="00F90490"/>
    <w:rsid w:val="00F93577"/>
    <w:rsid w:val="00F94AE4"/>
    <w:rsid w:val="00F97389"/>
    <w:rsid w:val="00F976AC"/>
    <w:rsid w:val="00F97B09"/>
    <w:rsid w:val="00FA12AD"/>
    <w:rsid w:val="00FA1C85"/>
    <w:rsid w:val="00FA3864"/>
    <w:rsid w:val="00FA43C3"/>
    <w:rsid w:val="00FA48E5"/>
    <w:rsid w:val="00FA6964"/>
    <w:rsid w:val="00FA6D1C"/>
    <w:rsid w:val="00FB19A9"/>
    <w:rsid w:val="00FC097D"/>
    <w:rsid w:val="00FC0A54"/>
    <w:rsid w:val="00FC2F2E"/>
    <w:rsid w:val="00FC3A41"/>
    <w:rsid w:val="00FD314F"/>
    <w:rsid w:val="00FD3F68"/>
    <w:rsid w:val="00FD6099"/>
    <w:rsid w:val="00FD668C"/>
    <w:rsid w:val="00FD6BBF"/>
    <w:rsid w:val="00FD707C"/>
    <w:rsid w:val="00FE51BD"/>
    <w:rsid w:val="00FE5DC3"/>
    <w:rsid w:val="00FF1779"/>
    <w:rsid w:val="00FF1981"/>
    <w:rsid w:val="00FF2340"/>
    <w:rsid w:val="00FF60C7"/>
    <w:rsid w:val="00FF7392"/>
    <w:rsid w:val="0123409F"/>
    <w:rsid w:val="023B43DC"/>
    <w:rsid w:val="03032B65"/>
    <w:rsid w:val="066B20E2"/>
    <w:rsid w:val="074D26E8"/>
    <w:rsid w:val="09BC48FB"/>
    <w:rsid w:val="0A9B241E"/>
    <w:rsid w:val="0CA756F4"/>
    <w:rsid w:val="11A1058B"/>
    <w:rsid w:val="12477EF1"/>
    <w:rsid w:val="135786C8"/>
    <w:rsid w:val="13AA16FE"/>
    <w:rsid w:val="16303BA0"/>
    <w:rsid w:val="1A7D41CF"/>
    <w:rsid w:val="1B1C1257"/>
    <w:rsid w:val="1FD3237E"/>
    <w:rsid w:val="1FEFC14F"/>
    <w:rsid w:val="21CE0EBF"/>
    <w:rsid w:val="26622000"/>
    <w:rsid w:val="26637CE4"/>
    <w:rsid w:val="281F161B"/>
    <w:rsid w:val="2C2C78B4"/>
    <w:rsid w:val="2D4C2334"/>
    <w:rsid w:val="30CA5633"/>
    <w:rsid w:val="380860CE"/>
    <w:rsid w:val="38EE3C4E"/>
    <w:rsid w:val="3BBF37BC"/>
    <w:rsid w:val="3EAB0813"/>
    <w:rsid w:val="3F3A73D0"/>
    <w:rsid w:val="3F583E39"/>
    <w:rsid w:val="45BB0039"/>
    <w:rsid w:val="47E32DA7"/>
    <w:rsid w:val="4BB12688"/>
    <w:rsid w:val="4C534C00"/>
    <w:rsid w:val="4D697EAE"/>
    <w:rsid w:val="4E6E29DD"/>
    <w:rsid w:val="55832469"/>
    <w:rsid w:val="59505385"/>
    <w:rsid w:val="5BAE3879"/>
    <w:rsid w:val="5E7C4B52"/>
    <w:rsid w:val="5EFF580C"/>
    <w:rsid w:val="61054A4D"/>
    <w:rsid w:val="62886948"/>
    <w:rsid w:val="64B86B45"/>
    <w:rsid w:val="64F92B3A"/>
    <w:rsid w:val="65C7E76A"/>
    <w:rsid w:val="6BF932F0"/>
    <w:rsid w:val="6BFEFF15"/>
    <w:rsid w:val="6EDE918B"/>
    <w:rsid w:val="6F2C465B"/>
    <w:rsid w:val="7C57C58A"/>
    <w:rsid w:val="7C840A3A"/>
    <w:rsid w:val="7D0D0796"/>
    <w:rsid w:val="7D164783"/>
    <w:rsid w:val="7DB64257"/>
    <w:rsid w:val="7E875781"/>
    <w:rsid w:val="7E960D71"/>
    <w:rsid w:val="7F831C39"/>
    <w:rsid w:val="8CCF1B90"/>
    <w:rsid w:val="97FD1FD7"/>
    <w:rsid w:val="9FFF8FB5"/>
    <w:rsid w:val="A8B5369D"/>
    <w:rsid w:val="BDFFD2A8"/>
    <w:rsid w:val="BFFF3DC3"/>
    <w:rsid w:val="DBEFA775"/>
    <w:rsid w:val="DDCFE022"/>
    <w:rsid w:val="DFDD0F06"/>
    <w:rsid w:val="ECBFF1A0"/>
    <w:rsid w:val="EDD92749"/>
    <w:rsid w:val="EFFF5F8B"/>
    <w:rsid w:val="F7E18C00"/>
    <w:rsid w:val="F7FFD9E3"/>
    <w:rsid w:val="FDFEF2E8"/>
    <w:rsid w:val="FEB11C62"/>
    <w:rsid w:val="FF8FE37A"/>
    <w:rsid w:val="FFBFD1E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szCs w:val="24"/>
      <w:lang w:val="en-US" w:eastAsia="zh-CN" w:bidi="ar-SA"/>
    </w:rPr>
  </w:style>
  <w:style w:type="paragraph" w:styleId="3">
    <w:name w:val="heading 1"/>
    <w:next w:val="1"/>
    <w:qFormat/>
    <w:uiPriority w:val="0"/>
    <w:pPr>
      <w:keepNext/>
      <w:keepLines/>
      <w:widowControl w:val="0"/>
      <w:spacing w:before="340" w:after="330" w:line="578" w:lineRule="auto"/>
      <w:ind w:firstLine="200" w:firstLineChars="200"/>
      <w:jc w:val="both"/>
      <w:outlineLvl w:val="0"/>
    </w:pPr>
    <w:rPr>
      <w:rFonts w:ascii="Calibri" w:hAnsi="Calibri" w:eastAsia="宋体" w:cs="Times New Roman"/>
      <w:b/>
      <w:bCs/>
      <w:kern w:val="44"/>
      <w:sz w:val="32"/>
      <w:szCs w:val="44"/>
      <w:lang w:val="en-US" w:eastAsia="zh-CN" w:bidi="ar-SA"/>
    </w:rPr>
  </w:style>
  <w:style w:type="paragraph" w:styleId="4">
    <w:name w:val="heading 2"/>
    <w:next w:val="1"/>
    <w:unhideWhenUsed/>
    <w:qFormat/>
    <w:uiPriority w:val="0"/>
    <w:pPr>
      <w:keepNext/>
      <w:keepLines/>
      <w:widowControl w:val="0"/>
      <w:spacing w:before="260" w:after="260" w:line="416" w:lineRule="auto"/>
      <w:ind w:firstLine="200" w:firstLineChars="200"/>
      <w:jc w:val="both"/>
      <w:outlineLvl w:val="1"/>
    </w:pPr>
    <w:rPr>
      <w:rFonts w:ascii="Calibri Light" w:hAnsi="Calibri Light" w:eastAsia="宋体" w:cs="Times New Roman"/>
      <w:b/>
      <w:bCs/>
      <w:kern w:val="2"/>
      <w:sz w:val="32"/>
      <w:szCs w:val="32"/>
      <w:lang w:val="en-US" w:eastAsia="zh-CN" w:bidi="ar-SA"/>
    </w:rPr>
  </w:style>
  <w:style w:type="paragraph" w:styleId="5">
    <w:name w:val="heading 3"/>
    <w:next w:val="1"/>
    <w:unhideWhenUsed/>
    <w:qFormat/>
    <w:uiPriority w:val="0"/>
    <w:pPr>
      <w:keepNext/>
      <w:keepLines/>
      <w:widowControl w:val="0"/>
      <w:spacing w:line="360" w:lineRule="auto"/>
      <w:ind w:firstLine="200" w:firstLineChars="200"/>
      <w:jc w:val="both"/>
      <w:outlineLvl w:val="2"/>
    </w:pPr>
    <w:rPr>
      <w:rFonts w:ascii="Times New Roman" w:hAnsi="Times New Roman" w:eastAsia="仿宋" w:cs="Times New Roman"/>
      <w:b/>
      <w:bCs/>
      <w:kern w:val="2"/>
      <w:sz w:val="32"/>
      <w:szCs w:val="32"/>
      <w:lang w:val="en-US" w:eastAsia="zh-CN" w:bidi="ar-SA"/>
    </w:rPr>
  </w:style>
  <w:style w:type="character" w:default="1" w:styleId="16">
    <w:name w:val="Default Paragraph Font"/>
    <w:semiHidden/>
    <w:uiPriority w:val="0"/>
  </w:style>
  <w:style w:type="table" w:default="1" w:styleId="14">
    <w:name w:val="Normal Table"/>
    <w:semiHidden/>
    <w:uiPriority w:val="0"/>
    <w:tblPr>
      <w:tblStyle w:val="14"/>
      <w:tblLayout w:type="fixed"/>
      <w:tblCellMar>
        <w:top w:w="0" w:type="dxa"/>
        <w:left w:w="108" w:type="dxa"/>
        <w:bottom w:w="0" w:type="dxa"/>
        <w:right w:w="108" w:type="dxa"/>
      </w:tblCellMar>
    </w:tblPr>
  </w:style>
  <w:style w:type="paragraph" w:styleId="2">
    <w:name w:val="Body Text"/>
    <w:uiPriority w:val="0"/>
    <w:pPr>
      <w:widowControl w:val="0"/>
      <w:spacing w:after="120" w:line="360" w:lineRule="auto"/>
      <w:ind w:firstLine="200" w:firstLineChars="200"/>
      <w:jc w:val="both"/>
    </w:pPr>
    <w:rPr>
      <w:rFonts w:ascii="Calibri" w:hAnsi="Calibri" w:eastAsia="仿宋" w:cs="Times New Roman"/>
      <w:kern w:val="2"/>
      <w:sz w:val="32"/>
      <w:szCs w:val="22"/>
      <w:lang w:val="en-US" w:eastAsia="zh-CN" w:bidi="ar-SA"/>
    </w:rPr>
  </w:style>
  <w:style w:type="paragraph" w:styleId="6">
    <w:name w:val="Document Map"/>
    <w:basedOn w:val="1"/>
    <w:semiHidden/>
    <w:uiPriority w:val="0"/>
    <w:pPr>
      <w:shd w:val="clear" w:color="auto" w:fill="000080"/>
    </w:pPr>
  </w:style>
  <w:style w:type="paragraph" w:styleId="7">
    <w:name w:val="Date"/>
    <w:basedOn w:val="1"/>
    <w:next w:val="1"/>
    <w:link w:val="23"/>
    <w:uiPriority w:val="0"/>
    <w:pPr>
      <w:ind w:left="100" w:leftChars="2500"/>
    </w:pPr>
    <w:rPr>
      <w:rFonts w:ascii="仿宋_GB2312" w:eastAsia="仿宋_GB2312"/>
      <w:sz w:val="32"/>
    </w:rPr>
  </w:style>
  <w:style w:type="paragraph" w:styleId="8">
    <w:name w:val="Balloon Text"/>
    <w:basedOn w:val="1"/>
    <w:semiHidden/>
    <w:uiPriority w:val="0"/>
    <w:rPr>
      <w:sz w:val="18"/>
      <w:szCs w:val="18"/>
    </w:rPr>
  </w:style>
  <w:style w:type="paragraph" w:styleId="9">
    <w:name w:val="footer"/>
    <w:basedOn w:val="1"/>
    <w:link w:val="24"/>
    <w:uiPriority w:val="0"/>
    <w:pPr>
      <w:tabs>
        <w:tab w:val="center" w:pos="4153"/>
        <w:tab w:val="right" w:pos="8306"/>
      </w:tabs>
      <w:snapToGrid w:val="0"/>
      <w:jc w:val="left"/>
    </w:pPr>
    <w:rPr>
      <w:sz w:val="18"/>
      <w:szCs w:val="18"/>
    </w:rPr>
  </w:style>
  <w:style w:type="paragraph" w:styleId="10">
    <w:name w:val="header"/>
    <w:basedOn w:val="1"/>
    <w:link w:val="25"/>
    <w:uiPriority w:val="0"/>
    <w:pPr>
      <w:pBdr>
        <w:bottom w:val="single" w:color="auto" w:sz="6" w:space="1"/>
      </w:pBdr>
      <w:tabs>
        <w:tab w:val="center" w:pos="4153"/>
        <w:tab w:val="right" w:pos="8306"/>
      </w:tabs>
      <w:snapToGrid w:val="0"/>
      <w:jc w:val="center"/>
    </w:pPr>
    <w:rPr>
      <w:sz w:val="18"/>
      <w:szCs w:val="18"/>
    </w:rPr>
  </w:style>
  <w:style w:type="paragraph" w:styleId="11">
    <w:name w:val="toc 1"/>
    <w:next w:val="1"/>
    <w:uiPriority w:val="0"/>
    <w:pPr>
      <w:widowControl w:val="0"/>
      <w:tabs>
        <w:tab w:val="right" w:leader="dot" w:pos="8296"/>
      </w:tabs>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styleId="12">
    <w:name w:val="footnote text"/>
    <w:uiPriority w:val="0"/>
    <w:pPr>
      <w:widowControl w:val="0"/>
      <w:snapToGrid w:val="0"/>
      <w:spacing w:line="360" w:lineRule="auto"/>
      <w:ind w:firstLine="200" w:firstLineChars="200"/>
      <w:jc w:val="left"/>
    </w:pPr>
    <w:rPr>
      <w:rFonts w:ascii="Calibri" w:hAnsi="Calibri" w:eastAsia="仿宋" w:cs="Times New Roman"/>
      <w:kern w:val="2"/>
      <w:sz w:val="18"/>
      <w:szCs w:val="18"/>
      <w:lang w:val="en-US" w:eastAsia="zh-CN" w:bidi="ar-SA"/>
    </w:rPr>
  </w:style>
  <w:style w:type="paragraph" w:styleId="13">
    <w:name w:val="toc 2"/>
    <w:next w:val="1"/>
    <w:uiPriority w:val="0"/>
    <w:pPr>
      <w:widowControl w:val="0"/>
      <w:tabs>
        <w:tab w:val="right" w:leader="dot" w:pos="8296"/>
      </w:tabs>
      <w:spacing w:line="360" w:lineRule="auto"/>
      <w:ind w:left="480" w:leftChars="200" w:firstLine="200" w:firstLineChars="200"/>
      <w:jc w:val="both"/>
    </w:pPr>
    <w:rPr>
      <w:rFonts w:ascii="Times New Roman" w:hAnsi="Times New Roman" w:eastAsia="宋体" w:cs="Times New Roman"/>
      <w:kern w:val="2"/>
      <w:sz w:val="24"/>
      <w:szCs w:val="22"/>
      <w:lang w:val="en-US" w:eastAsia="zh-CN" w:bidi="ar-SA"/>
    </w:rPr>
  </w:style>
  <w:style w:type="table" w:styleId="15">
    <w:name w:val="Table Grid"/>
    <w:basedOn w:val="14"/>
    <w:uiPriority w:val="0"/>
    <w:pPr>
      <w:widowControl w:val="0"/>
      <w:jc w:val="both"/>
    </w:pPr>
    <w:tblPr>
      <w:tblStyle w:val="1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7">
    <w:name w:val="page number"/>
    <w:basedOn w:val="16"/>
    <w:uiPriority w:val="0"/>
  </w:style>
  <w:style w:type="character" w:styleId="18">
    <w:name w:val="Hyperlink"/>
    <w:uiPriority w:val="0"/>
    <w:rPr>
      <w:rFonts w:ascii="Calibri" w:hAnsi="Calibri" w:eastAsia="宋体" w:cs="Times New Roman"/>
      <w:color w:val="0563C1"/>
      <w:u w:val="single"/>
    </w:rPr>
  </w:style>
  <w:style w:type="character" w:styleId="19">
    <w:name w:val="footnote reference"/>
    <w:uiPriority w:val="0"/>
    <w:rPr>
      <w:rFonts w:ascii="Calibri" w:hAnsi="Calibri" w:eastAsia="宋体" w:cs="Times New Roman"/>
      <w:vertAlign w:val="superscript"/>
    </w:rPr>
  </w:style>
  <w:style w:type="paragraph" w:customStyle="1" w:styleId="20">
    <w:name w:val="TOC 标题1"/>
    <w:next w:val="1"/>
    <w:unhideWhenUsed/>
    <w:qFormat/>
    <w:uiPriority w:val="39"/>
    <w:pPr>
      <w:keepNext/>
      <w:keepLines/>
      <w:widowControl/>
      <w:spacing w:before="240" w:after="0" w:line="259" w:lineRule="auto"/>
      <w:ind w:firstLine="0" w:firstLineChars="0"/>
      <w:jc w:val="left"/>
      <w:outlineLvl w:val="9"/>
    </w:pPr>
    <w:rPr>
      <w:rFonts w:ascii="Calibri Light" w:hAnsi="Calibri Light" w:eastAsia="宋体" w:cs="Times New Roman"/>
      <w:color w:val="2E75B5"/>
      <w:kern w:val="0"/>
      <w:sz w:val="32"/>
      <w:szCs w:val="32"/>
      <w:lang w:val="en-US" w:eastAsia="zh-CN" w:bidi="ar-SA"/>
    </w:rPr>
  </w:style>
  <w:style w:type="paragraph" w:customStyle="1" w:styleId="21">
    <w:name w:val="缩进正文"/>
    <w:qFormat/>
    <w:uiPriority w:val="0"/>
    <w:pPr>
      <w:widowControl w:val="0"/>
      <w:spacing w:line="590" w:lineRule="exact"/>
      <w:ind w:firstLine="640" w:firstLineChars="200"/>
      <w:jc w:val="both"/>
    </w:pPr>
    <w:rPr>
      <w:rFonts w:ascii="Times New Roman" w:hAnsi="Times New Roman" w:eastAsia="仿宋" w:cs="Times New Roman"/>
      <w:snapToGrid w:val="0"/>
      <w:kern w:val="0"/>
      <w:sz w:val="32"/>
      <w:szCs w:val="32"/>
      <w:lang w:val="en-US" w:eastAsia="zh-CN" w:bidi="ar-SA"/>
    </w:rPr>
  </w:style>
  <w:style w:type="paragraph" w:styleId="22">
    <w:name w:val="List Paragraph"/>
    <w:qFormat/>
    <w:uiPriority w:val="34"/>
    <w:pPr>
      <w:widowControl w:val="0"/>
      <w:spacing w:line="360" w:lineRule="auto"/>
      <w:ind w:firstLine="420" w:firstLineChars="200"/>
      <w:jc w:val="both"/>
    </w:pPr>
    <w:rPr>
      <w:rFonts w:ascii="Times New Roman" w:hAnsi="Times New Roman" w:eastAsia="宋体" w:cs="Times New Roman"/>
      <w:kern w:val="2"/>
      <w:sz w:val="24"/>
      <w:szCs w:val="22"/>
      <w:lang w:val="en-US" w:eastAsia="zh-CN" w:bidi="ar-SA"/>
    </w:rPr>
  </w:style>
  <w:style w:type="character" w:customStyle="1" w:styleId="23">
    <w:name w:val=" Char Char2"/>
    <w:basedOn w:val="16"/>
    <w:link w:val="7"/>
    <w:uiPriority w:val="0"/>
    <w:rPr>
      <w:rFonts w:ascii="仿宋_GB2312" w:hAnsi="Times New Roman" w:eastAsia="仿宋_GB2312" w:cs="Times New Roman"/>
      <w:kern w:val="2"/>
      <w:sz w:val="32"/>
      <w:szCs w:val="24"/>
      <w:lang w:bidi="ar-SA"/>
    </w:rPr>
  </w:style>
  <w:style w:type="character" w:customStyle="1" w:styleId="24">
    <w:name w:val=" Char Char"/>
    <w:basedOn w:val="16"/>
    <w:link w:val="9"/>
    <w:semiHidden/>
    <w:uiPriority w:val="99"/>
    <w:rPr>
      <w:rFonts w:ascii="Calibri" w:hAnsi="Calibri" w:eastAsia="宋体" w:cs="Mongolian Baiti"/>
      <w:kern w:val="2"/>
      <w:sz w:val="18"/>
      <w:szCs w:val="22"/>
    </w:rPr>
  </w:style>
  <w:style w:type="character" w:customStyle="1" w:styleId="25">
    <w:name w:val=" Char Char1"/>
    <w:basedOn w:val="16"/>
    <w:link w:val="10"/>
    <w:semiHidden/>
    <w:uiPriority w:val="99"/>
    <w:rPr>
      <w:rFonts w:ascii="Calibri" w:hAnsi="Calibri" w:eastAsia="宋体" w:cs="Mongolian Baiti"/>
      <w:kern w:val="2"/>
      <w:sz w:val="18"/>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8" Type="http://schemas.openxmlformats.org/officeDocument/2006/relationships/image" Target="media/image1.tiff"/><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3.tiff"/><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Lenovo (Beijing) Limited</Company>
  <Pages>34</Pages>
  <Words>15315</Words>
  <Characters>15450</Characters>
  <Lines>1</Lines>
  <Paragraphs>1</Paragraphs>
  <TotalTime>28</TotalTime>
  <ScaleCrop>false</ScaleCrop>
  <LinksUpToDate>false</LinksUpToDate>
  <CharactersWithSpaces>15667</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2012-09-19T12:59:00Z</dcterms:created>
  <dc:creator>阿拉善盟行政公署:打印</dc:creator>
  <cp:lastModifiedBy>zwfw</cp:lastModifiedBy>
  <cp:lastPrinted>2022-01-04T09:46:42Z</cp:lastPrinted>
  <dcterms:modified xsi:type="dcterms:W3CDTF">2022-01-05T10:06:45Z</dcterms:modified>
  <dc:title>_x0001_</dc:title>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ies>
</file>