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firstLine="160" w:firstLineChars="50"/>
        <w:textAlignment w:val="auto"/>
        <w:outlineLvl w:val="9"/>
        <w:rPr>
          <w:rFonts w:hint="eastAsia" w:ascii="仿宋" w:hAnsi="仿宋" w:eastAsia="仿宋" w:cs="仿宋"/>
          <w:sz w:val="32"/>
          <w:szCs w:val="32"/>
        </w:rPr>
      </w:pPr>
      <w:bookmarkStart w:id="0" w:name="文号"/>
      <w:bookmarkEnd w:id="0"/>
      <w:r>
        <w:rPr>
          <w:rFonts w:hint="eastAsia" w:ascii="仿宋_GB2312" w:hAnsi="华文仿宋" w:eastAsia="仿宋_GB2312"/>
          <w:sz w:val="32"/>
        </w:rPr>
        <w:t xml:space="preserve">    </w:t>
      </w:r>
      <w:bookmarkStart w:id="548" w:name="_GoBack"/>
      <w:bookmarkEnd w:id="548"/>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11"/>
          <w:sz w:val="44"/>
          <w:szCs w:val="44"/>
          <w:lang w:eastAsia="zh-CN"/>
        </w:rPr>
      </w:pPr>
      <w:bookmarkStart w:id="1" w:name="标题"/>
      <w:bookmarkEnd w:id="1"/>
      <w:r>
        <w:rPr>
          <w:rFonts w:hint="eastAsia" w:ascii="方正小标宋_GBK" w:hAnsi="方正小标宋_GBK" w:eastAsia="方正小标宋_GBK" w:cs="方正小标宋_GBK"/>
          <w:spacing w:val="-11"/>
          <w:sz w:val="44"/>
          <w:szCs w:val="44"/>
          <w:lang w:eastAsia="zh-CN"/>
        </w:rPr>
        <w:t>内蒙古自治区人民政府办公厅关于印发</w:t>
      </w: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11"/>
          <w:sz w:val="44"/>
          <w:szCs w:val="44"/>
          <w:lang w:eastAsia="zh-CN"/>
        </w:rPr>
      </w:pPr>
      <w:r>
        <w:rPr>
          <w:rFonts w:hint="eastAsia" w:ascii="方正小标宋_GBK" w:hAnsi="方正小标宋_GBK" w:eastAsia="方正小标宋_GBK" w:cs="方正小标宋_GBK"/>
          <w:spacing w:val="-11"/>
          <w:sz w:val="44"/>
          <w:szCs w:val="44"/>
          <w:lang w:eastAsia="zh-CN"/>
        </w:rPr>
        <w:t>自治区“十四五”社会信用体系建设规划的通知</w:t>
      </w: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11"/>
          <w:sz w:val="44"/>
          <w:szCs w:val="44"/>
          <w:lang w:eastAsia="zh-CN"/>
        </w:rPr>
      </w:pPr>
    </w:p>
    <w:p>
      <w:pPr>
        <w:keepNext w:val="0"/>
        <w:keepLines w:val="0"/>
        <w:pageBreakBefore w:val="0"/>
        <w:widowControl w:val="0"/>
        <w:kinsoku/>
        <w:wordWrap/>
        <w:overflowPunct/>
        <w:topLinePunct/>
        <w:autoSpaceDE/>
        <w:autoSpaceDN/>
        <w:bidi w:val="0"/>
        <w:adjustRightInd/>
        <w:snapToGrid/>
        <w:spacing w:line="5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pacing w:val="-11"/>
          <w:sz w:val="44"/>
          <w:szCs w:val="44"/>
          <w:lang w:eastAsia="zh-CN"/>
        </w:rPr>
      </w:pPr>
      <w:r>
        <w:rPr>
          <w:rFonts w:hint="eastAsia" w:ascii="仿宋_GB2312" w:hAnsi="华文仿宋" w:eastAsia="仿宋_GB2312"/>
          <w:sz w:val="32"/>
          <w:lang w:eastAsia="zh-CN"/>
        </w:rPr>
        <w:t>内政办发〔2021〕31号</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0" w:firstLineChars="0"/>
        <w:jc w:val="both"/>
        <w:textAlignment w:val="auto"/>
        <w:outlineLvl w:val="9"/>
        <w:rPr>
          <w:rFonts w:hint="eastAsia" w:ascii="仿宋" w:hAnsi="仿宋" w:eastAsia="仿宋" w:cs="仿宋"/>
          <w:sz w:val="32"/>
          <w:szCs w:val="32"/>
          <w:lang w:eastAsia="zh-CN"/>
        </w:rPr>
      </w:pP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jc w:val="both"/>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00" w:lineRule="exact"/>
        <w:ind w:left="0" w:leftChars="0" w:right="0" w:rightChars="0" w:firstLine="64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经自治区人民政府同意，现将《</w:t>
      </w:r>
      <w:r>
        <w:rPr>
          <w:rFonts w:hint="eastAsia" w:ascii="楷体" w:hAnsi="楷体" w:eastAsia="楷体" w:cs="楷体"/>
          <w:sz w:val="32"/>
          <w:szCs w:val="32"/>
        </w:rPr>
        <w:t>内蒙古自治区“十四五”社会信用体系建设规划</w:t>
      </w:r>
      <w:r>
        <w:rPr>
          <w:rFonts w:hint="eastAsia" w:ascii="楷体" w:hAnsi="楷体" w:eastAsia="楷体" w:cs="楷体"/>
          <w:sz w:val="32"/>
          <w:szCs w:val="32"/>
          <w:lang w:val="en-US" w:eastAsia="zh-CN"/>
        </w:rPr>
        <w:t>》印发给你们，请结合实际，认真贯彻落实。</w:t>
      </w:r>
    </w:p>
    <w:p>
      <w:pPr>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640"/>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20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tabs>
          <w:tab w:val="left" w:pos="7560"/>
        </w:tabs>
        <w:kinsoku/>
        <w:wordWrap/>
        <w:overflowPunct/>
        <w:topLinePunct/>
        <w:autoSpaceDE/>
        <w:autoSpaceDN/>
        <w:bidi w:val="0"/>
        <w:adjustRightInd/>
        <w:snapToGrid/>
        <w:spacing w:line="46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2021年7月2日</w:t>
      </w: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adjustRightInd/>
        <w:snapToGrid/>
        <w:spacing w:line="460" w:lineRule="exact"/>
        <w:ind w:left="0" w:leftChars="0" w:right="0" w:rightChars="0" w:firstLine="641" w:firstLineChars="0"/>
        <w:jc w:val="both"/>
        <w:textAlignment w:val="auto"/>
        <w:outlineLvl w:val="9"/>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p>
    <w:p>
      <w:pPr>
        <w:keepNext w:val="0"/>
        <w:keepLines w:val="0"/>
        <w:pageBreakBefore w:val="0"/>
        <w:widowControl w:val="0"/>
        <w:kinsoku/>
        <w:wordWrap/>
        <w:overflowPunct/>
        <w:topLinePunct/>
        <w:autoSpaceDE/>
        <w:autoSpaceDN/>
        <w:bidi w:val="0"/>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34"/>
          <w:sz w:val="44"/>
          <w:szCs w:val="44"/>
        </w:rPr>
        <w:t>内蒙古自治区“十四五”社</w:t>
      </w:r>
      <w:r>
        <w:rPr>
          <w:rFonts w:hint="eastAsia" w:ascii="方正小标宋_GBK" w:hAnsi="方正小标宋_GBK" w:eastAsia="方正小标宋_GBK" w:cs="方正小标宋_GBK"/>
          <w:b w:val="0"/>
          <w:bCs w:val="0"/>
          <w:sz w:val="44"/>
          <w:szCs w:val="44"/>
        </w:rPr>
        <w:t>会</w:t>
      </w:r>
    </w:p>
    <w:p>
      <w:pPr>
        <w:keepNext w:val="0"/>
        <w:keepLines w:val="0"/>
        <w:pageBreakBefore w:val="0"/>
        <w:widowControl w:val="0"/>
        <w:kinsoku/>
        <w:wordWrap/>
        <w:overflowPunct/>
        <w:topLinePunct/>
        <w:autoSpaceDE/>
        <w:autoSpaceDN/>
        <w:bidi w:val="0"/>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96"/>
          <w:sz w:val="44"/>
          <w:szCs w:val="44"/>
        </w:rPr>
        <w:t>信用体系建设规</w:t>
      </w:r>
      <w:r>
        <w:rPr>
          <w:rFonts w:hint="eastAsia" w:ascii="方正小标宋_GBK" w:hAnsi="方正小标宋_GBK" w:eastAsia="方正小标宋_GBK" w:cs="方正小标宋_GBK"/>
          <w:b w:val="0"/>
          <w:bCs w:val="0"/>
          <w:sz w:val="44"/>
          <w:szCs w:val="44"/>
        </w:rPr>
        <w:t>划</w:t>
      </w:r>
    </w:p>
    <w:p>
      <w:pPr>
        <w:keepNext w:val="0"/>
        <w:keepLines w:val="0"/>
        <w:pageBreakBefore w:val="0"/>
        <w:widowControl w:val="0"/>
        <w:kinsoku/>
        <w:wordWrap/>
        <w:overflowPunct/>
        <w:topLinePunct/>
        <w:autoSpaceDE/>
        <w:autoSpaceDN/>
        <w:bidi w:val="0"/>
        <w:spacing w:line="580" w:lineRule="exact"/>
        <w:ind w:left="0" w:leftChars="0" w:right="0" w:rightChars="0" w:firstLine="0" w:firstLineChars="0"/>
        <w:jc w:val="center"/>
        <w:textAlignment w:val="auto"/>
        <w:outlineLvl w:val="9"/>
        <w:rPr>
          <w:rFonts w:hint="eastAsia" w:ascii="仿宋" w:hAnsi="仿宋" w:eastAsia="仿宋" w:cs="仿宋"/>
          <w:b w:val="0"/>
          <w:bCs w:val="0"/>
          <w:sz w:val="32"/>
          <w:szCs w:val="32"/>
        </w:rPr>
      </w:pP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为深入推进自治区社会信用体系建设，优化营商环境，构建诚信社会，根据国家社会信用体系建设总体要求和《内蒙古自治区国民经济和社会发展第十四个五年规划和2035年远景目标纲要》，制定本规划。</w:t>
      </w:r>
      <w:bookmarkStart w:id="2" w:name="_Toc22402"/>
      <w:bookmarkStart w:id="3" w:name="_Toc15250"/>
      <w:bookmarkStart w:id="4" w:name="_Toc20581"/>
      <w:bookmarkStart w:id="5" w:name="_Toc28346"/>
      <w:bookmarkStart w:id="6" w:name="_Toc24716"/>
      <w:bookmarkStart w:id="7" w:name="_Toc1406"/>
      <w:bookmarkStart w:id="8" w:name="_Toc31312"/>
      <w:bookmarkStart w:id="9" w:name="_Toc15948"/>
      <w:bookmarkStart w:id="10" w:name="_Toc22378"/>
      <w:bookmarkStart w:id="11" w:name="_Toc4458"/>
      <w:bookmarkStart w:id="12" w:name="_Toc19117"/>
      <w:bookmarkStart w:id="13" w:name="_Toc29329"/>
      <w:bookmarkStart w:id="14" w:name="_Toc5679"/>
      <w:bookmarkStart w:id="15" w:name="_Toc12533"/>
      <w:bookmarkStart w:id="16" w:name="_Toc12574"/>
      <w:bookmarkStart w:id="17" w:name="_Toc8103"/>
      <w:bookmarkStart w:id="18" w:name="_Toc185229897"/>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发展</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黑体" w:hAnsi="黑体" w:eastAsia="黑体" w:cs="黑体"/>
          <w:b w:val="0"/>
          <w:bCs w:val="0"/>
          <w:sz w:val="32"/>
          <w:szCs w:val="32"/>
        </w:rPr>
        <w:t>成就和形势要求</w:t>
      </w:r>
      <w:bookmarkEnd w:id="18"/>
      <w:bookmarkStart w:id="19" w:name="_Toc20725"/>
      <w:bookmarkStart w:id="20" w:name="_Toc17099"/>
      <w:bookmarkStart w:id="21" w:name="_Toc20148"/>
      <w:bookmarkStart w:id="22" w:name="_Toc20660"/>
      <w:bookmarkStart w:id="23" w:name="_Toc24677"/>
      <w:bookmarkStart w:id="24" w:name="_Toc32435"/>
      <w:bookmarkStart w:id="25" w:name="_Toc8046"/>
      <w:bookmarkStart w:id="26" w:name="_Toc17727"/>
      <w:bookmarkStart w:id="27" w:name="_Toc2551"/>
      <w:bookmarkStart w:id="28" w:name="_Toc18624"/>
      <w:bookmarkStart w:id="29" w:name="_Toc13872"/>
      <w:bookmarkStart w:id="30" w:name="_Toc6760"/>
      <w:bookmarkStart w:id="31" w:name="_Toc6756"/>
      <w:bookmarkStart w:id="32" w:name="_Toc26264"/>
      <w:bookmarkStart w:id="33" w:name="_Toc205584269"/>
      <w:bookmarkStart w:id="34" w:name="_Toc13174"/>
      <w:bookmarkStart w:id="35" w:name="_Toc14449"/>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第一节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发展</w:t>
      </w:r>
      <w:bookmarkEnd w:id="19"/>
      <w:bookmarkEnd w:id="20"/>
      <w:bookmarkEnd w:id="21"/>
      <w:bookmarkEnd w:id="22"/>
      <w:r>
        <w:rPr>
          <w:rFonts w:hint="eastAsia" w:ascii="楷体" w:hAnsi="楷体" w:eastAsia="楷体" w:cs="楷体"/>
          <w:b w:val="0"/>
          <w:bCs w:val="0"/>
          <w:sz w:val="32"/>
          <w:szCs w:val="32"/>
        </w:rPr>
        <w:t>成就</w:t>
      </w:r>
      <w:bookmarkEnd w:id="23"/>
      <w:bookmarkEnd w:id="24"/>
      <w:bookmarkEnd w:id="25"/>
      <w:bookmarkEnd w:id="26"/>
      <w:bookmarkEnd w:id="27"/>
      <w:bookmarkEnd w:id="28"/>
      <w:bookmarkEnd w:id="29"/>
      <w:bookmarkEnd w:id="30"/>
      <w:bookmarkEnd w:id="31"/>
      <w:bookmarkEnd w:id="32"/>
      <w:bookmarkEnd w:id="33"/>
      <w:bookmarkEnd w:id="34"/>
      <w:bookmarkEnd w:id="35"/>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“十三五”时期，自治区全面落实国家社会信用体系建设要求，持续完善法规制度，优化信用信息系统，强化信用信息归集，深入开展信用信息应用，各项工作取得了积极成效。</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法规制度和标准体系基本形成。制定出台包括规章、规范性文件、地方标准和联合奖惩备忘录在内的各项制度百余件，涵盖信用信息归集、共享、管理和应用等领域。《内蒙古自治区公共信用信息管理条例》经自治区第十三届人民代表大会常务委员会第二十五次会议审议通过，于2021年6月1日起施行，社会信用体系建设法治化水平显著提升。</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信用信息系统建设成效显著。自治区社会信用信息平台不断完善，具备了对全区所有社会主体开展信用档案建设和与各盟市开展批量数据共享</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与区直部门开展数据接口共享的能力，基本形成了全区“上下贯通、横向联通、全面覆盖”的信用信息共享交换枢纽和信用大数据应用中心。截</w:t>
      </w:r>
      <w:r>
        <w:rPr>
          <w:rFonts w:hint="eastAsia" w:ascii="仿宋" w:hAnsi="仿宋" w:eastAsia="仿宋" w:cs="仿宋"/>
          <w:b w:val="0"/>
          <w:bCs w:val="0"/>
          <w:sz w:val="32"/>
          <w:szCs w:val="32"/>
          <w:lang w:eastAsia="zh-CN"/>
        </w:rPr>
        <w:t>至</w:t>
      </w:r>
      <w:r>
        <w:rPr>
          <w:rFonts w:hint="eastAsia" w:ascii="仿宋" w:hAnsi="仿宋" w:eastAsia="仿宋" w:cs="仿宋"/>
          <w:b w:val="0"/>
          <w:bCs w:val="0"/>
          <w:sz w:val="32"/>
          <w:szCs w:val="32"/>
        </w:rPr>
        <w:t>2020年底，自治区社会信用信息平台共归集国家和自治区各类市场主体、机关事业单位、社会组织和自然人的信用信息2.7亿条。市场监管、交通运输、生态环境等</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余个区直部门建成行业信用监管系统，12个盟市均已建成社会信用信息平台，为加快推进全区信用信息归集、</w:t>
      </w:r>
      <w:r>
        <w:rPr>
          <w:rFonts w:hint="eastAsia" w:ascii="仿宋" w:hAnsi="仿宋" w:eastAsia="仿宋" w:cs="仿宋"/>
          <w:b w:val="0"/>
          <w:bCs w:val="0"/>
          <w:sz w:val="32"/>
          <w:szCs w:val="32"/>
          <w:lang w:eastAsia="zh-CN"/>
        </w:rPr>
        <w:t>共享、</w:t>
      </w:r>
      <w:r>
        <w:rPr>
          <w:rFonts w:hint="eastAsia" w:ascii="仿宋" w:hAnsi="仿宋" w:eastAsia="仿宋" w:cs="仿宋"/>
          <w:b w:val="0"/>
          <w:bCs w:val="0"/>
          <w:sz w:val="32"/>
          <w:szCs w:val="32"/>
        </w:rPr>
        <w:t>管理和应用奠定了坚实基础。</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信用监管机制不断健全。持续加大信用监管力度，在市场监管和社会治理等领域开展了“双随机、一公开”、信用分级分类、告知承诺等信用监管和便民服务。全区各级</w:t>
      </w:r>
      <w:r>
        <w:rPr>
          <w:rFonts w:hint="eastAsia" w:ascii="仿宋" w:hAnsi="仿宋" w:eastAsia="仿宋" w:cs="仿宋"/>
          <w:b w:val="0"/>
          <w:bCs w:val="0"/>
          <w:sz w:val="32"/>
          <w:szCs w:val="32"/>
          <w:lang w:eastAsia="zh-CN"/>
        </w:rPr>
        <w:t>各</w:t>
      </w:r>
      <w:r>
        <w:rPr>
          <w:rFonts w:hint="eastAsia" w:ascii="仿宋" w:hAnsi="仿宋" w:eastAsia="仿宋" w:cs="仿宋"/>
          <w:b w:val="0"/>
          <w:bCs w:val="0"/>
          <w:sz w:val="32"/>
          <w:szCs w:val="32"/>
        </w:rPr>
        <w:t>部门在行政事项办理过程中，累计调用和查询信用信息超过700万次，核查出失信主体10万余个，有效降低了审批风险，为建立以信用为基础的新型市场监管机制</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提升社会治理能力发挥了重要作用。</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color w:val="0000FF"/>
          <w:sz w:val="32"/>
          <w:szCs w:val="32"/>
        </w:rPr>
      </w:pPr>
      <w:r>
        <w:rPr>
          <w:rFonts w:hint="eastAsia" w:ascii="仿宋" w:hAnsi="仿宋" w:eastAsia="仿宋" w:cs="仿宋"/>
          <w:b w:val="0"/>
          <w:bCs w:val="0"/>
          <w:sz w:val="32"/>
          <w:szCs w:val="32"/>
        </w:rPr>
        <w:t>信用联合奖惩持续开展。全面落实各领域联合奖惩合作备忘录，制定实施方案，扎实推进联合奖惩工作。创新开展诚信典型选树工作，共选树诚信典型1195</w:t>
      </w:r>
      <w:r>
        <w:rPr>
          <w:rFonts w:hint="eastAsia" w:ascii="仿宋" w:hAnsi="仿宋" w:eastAsia="仿宋" w:cs="仿宋"/>
          <w:b w:val="0"/>
          <w:bCs w:val="0"/>
          <w:sz w:val="32"/>
          <w:szCs w:val="32"/>
          <w:lang w:eastAsia="zh-CN"/>
        </w:rPr>
        <w:t>个</w:t>
      </w:r>
      <w:r>
        <w:rPr>
          <w:rFonts w:hint="eastAsia" w:ascii="仿宋" w:hAnsi="仿宋" w:eastAsia="仿宋" w:cs="仿宋"/>
          <w:b w:val="0"/>
          <w:bCs w:val="0"/>
          <w:sz w:val="32"/>
          <w:szCs w:val="32"/>
        </w:rPr>
        <w:t>，在日常监管、融资贷款、宣传培训等方面为诚信典型提供优惠便利。限制信用联合惩戒对象购买机票、乘坐高铁动车30余万人次，限制担任企业高级管理人员4.2万人次，1.1万户企业被列入严重违法失信企业名单，“守信者处处受益，失信者寸步难行”的社会氛围初步形成。</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信用服务市场初具规模。全区现有备案信用服务机构4家，出具信用评价报告149份，涉及建筑、信息技术、物业服务等</w:t>
      </w:r>
      <w:r>
        <w:rPr>
          <w:rFonts w:hint="eastAsia" w:ascii="仿宋" w:hAnsi="仿宋" w:eastAsia="仿宋" w:cs="仿宋"/>
          <w:b w:val="0"/>
          <w:bCs w:val="0"/>
          <w:sz w:val="32"/>
          <w:szCs w:val="32"/>
          <w:lang w:val="en-US" w:eastAsia="zh-CN"/>
        </w:rPr>
        <w:t>10</w:t>
      </w:r>
      <w:r>
        <w:rPr>
          <w:rFonts w:hint="eastAsia" w:ascii="仿宋" w:hAnsi="仿宋" w:eastAsia="仿宋" w:cs="仿宋"/>
          <w:b w:val="0"/>
          <w:bCs w:val="0"/>
          <w:sz w:val="32"/>
          <w:szCs w:val="32"/>
        </w:rPr>
        <w:t>余个行业。行业协会积极开展信用建设，推动行业自律、信用标准制定、诚信示范创建等工作，有效促进了信用服务与市场需求的结合。</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信用宣传教育广泛开展。全力构建社会信用宣传体系，初步形成覆盖广播、电视、报纸、网络等媒介的信用宣传阵地。利用“3·15”国际消费者权益日、“6·14”信用记录关爱日等时间节点，累计开展宣传活动2000余场次，发放宣传资料300余万份，社会大众诚信意识普遍提升，社会诚信环境明显改善。</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bookmarkStart w:id="36" w:name="_Toc8849"/>
      <w:bookmarkStart w:id="37" w:name="_Toc24026"/>
      <w:r>
        <w:rPr>
          <w:rFonts w:hint="eastAsia" w:ascii="仿宋" w:hAnsi="仿宋" w:eastAsia="仿宋" w:cs="仿宋"/>
          <w:b w:val="0"/>
          <w:bCs w:val="0"/>
          <w:sz w:val="32"/>
          <w:szCs w:val="32"/>
        </w:rPr>
        <w:t>“十三五”时期，自治区社会信用体系建设虽然取得了积极进展，但还存在信用法规制度落实不到位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信用信息共享范围较小</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信用应用场景不够丰富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信用服务供给能力不足</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社会参与度不广泛等问题，与经济社会发展需求和人民群众期盼有较大差距。</w:t>
      </w:r>
      <w:bookmarkStart w:id="38" w:name="_Toc31972"/>
      <w:bookmarkStart w:id="39" w:name="_Toc22443"/>
      <w:bookmarkStart w:id="40" w:name="_Toc27027"/>
      <w:bookmarkStart w:id="41" w:name="_Toc20325"/>
      <w:bookmarkStart w:id="42" w:name="_Toc7640"/>
      <w:bookmarkStart w:id="43" w:name="_Toc6373"/>
      <w:bookmarkStart w:id="44" w:name="_Toc9253"/>
      <w:bookmarkStart w:id="45" w:name="_Toc1153449168"/>
      <w:bookmarkStart w:id="46" w:name="_Toc19375"/>
      <w:bookmarkStart w:id="47" w:name="_Toc5116"/>
      <w:bookmarkStart w:id="48" w:name="_Toc22135"/>
      <w:bookmarkStart w:id="49" w:name="_Toc17770"/>
      <w:bookmarkStart w:id="50" w:name="_Toc3022"/>
      <w:bookmarkStart w:id="51" w:name="_Toc9417"/>
      <w:bookmarkStart w:id="52" w:name="_Toc12840"/>
      <w:bookmarkStart w:id="53" w:name="_Toc25987"/>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第二节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形势要求</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pPr>
        <w:keepNext w:val="0"/>
        <w:keepLines w:val="0"/>
        <w:pageBreakBefore w:val="0"/>
        <w:widowControl w:val="0"/>
        <w:kinsoku/>
        <w:wordWrap/>
        <w:overflowPunct/>
        <w:topLinePunct/>
        <w:autoSpaceDE/>
        <w:autoSpaceDN/>
        <w:bidi w:val="0"/>
        <w:spacing w:line="580" w:lineRule="exact"/>
        <w:ind w:left="0" w:leftChars="0" w:right="0" w:rightChars="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 xml:space="preserve">    实现经济社会高</w:t>
      </w:r>
      <w:r>
        <w:rPr>
          <w:rFonts w:hint="eastAsia" w:ascii="仿宋" w:hAnsi="仿宋" w:eastAsia="仿宋" w:cs="仿宋"/>
          <w:b w:val="0"/>
          <w:bCs w:val="0"/>
          <w:sz w:val="32"/>
          <w:szCs w:val="32"/>
        </w:rPr>
        <w:t>质量发展为社会信用体系建设赋予了新使命。“十四五”时期是自治区走好以生态优先、绿色发展为导向的高质量发展新路子，实现新的更大发展的关键时期。自治区</w:t>
      </w:r>
      <w:r>
        <w:rPr>
          <w:rFonts w:hint="eastAsia" w:ascii="仿宋" w:hAnsi="仿宋" w:eastAsia="仿宋" w:cs="仿宋"/>
          <w:b w:val="0"/>
          <w:bCs w:val="0"/>
          <w:sz w:val="32"/>
          <w:szCs w:val="32"/>
          <w:lang w:eastAsia="zh-CN"/>
        </w:rPr>
        <w:t>经济社会</w:t>
      </w:r>
      <w:r>
        <w:rPr>
          <w:rFonts w:hint="eastAsia" w:ascii="仿宋" w:hAnsi="仿宋" w:eastAsia="仿宋" w:cs="仿宋"/>
          <w:b w:val="0"/>
          <w:bCs w:val="0"/>
          <w:sz w:val="32"/>
          <w:szCs w:val="32"/>
        </w:rPr>
        <w:t>高质量发展迫切需要良好的营商环境支撑，加强包括政务诚信建设在内的各领域信用体系建设</w:t>
      </w:r>
      <w:r>
        <w:rPr>
          <w:rFonts w:hint="eastAsia" w:ascii="仿宋" w:hAnsi="仿宋" w:eastAsia="仿宋" w:cs="仿宋"/>
          <w:b w:val="0"/>
          <w:bCs w:val="0"/>
          <w:sz w:val="32"/>
          <w:szCs w:val="32"/>
          <w:lang w:eastAsia="zh-CN"/>
        </w:rPr>
        <w:t>，对于</w:t>
      </w:r>
      <w:r>
        <w:rPr>
          <w:rFonts w:hint="eastAsia" w:ascii="仿宋" w:hAnsi="仿宋" w:eastAsia="仿宋" w:cs="仿宋"/>
          <w:b w:val="0"/>
          <w:bCs w:val="0"/>
          <w:sz w:val="32"/>
          <w:szCs w:val="32"/>
        </w:rPr>
        <w:t>优化营商环境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增强</w:t>
      </w:r>
      <w:r>
        <w:rPr>
          <w:rFonts w:hint="eastAsia" w:ascii="仿宋" w:hAnsi="仿宋" w:eastAsia="仿宋" w:cs="仿宋"/>
          <w:b w:val="0"/>
          <w:bCs w:val="0"/>
          <w:spacing w:val="-6"/>
          <w:sz w:val="32"/>
          <w:szCs w:val="32"/>
        </w:rPr>
        <w:t>经济发展软实力，形成可信、互信的市场环境</w:t>
      </w:r>
      <w:r>
        <w:rPr>
          <w:rFonts w:hint="eastAsia" w:ascii="仿宋" w:hAnsi="仿宋" w:eastAsia="仿宋" w:cs="仿宋"/>
          <w:b w:val="0"/>
          <w:bCs w:val="0"/>
          <w:spacing w:val="-6"/>
          <w:sz w:val="32"/>
          <w:szCs w:val="32"/>
          <w:lang w:eastAsia="zh-CN"/>
        </w:rPr>
        <w:t>具有重要</w:t>
      </w:r>
      <w:r>
        <w:rPr>
          <w:rFonts w:hint="eastAsia" w:ascii="仿宋" w:hAnsi="仿宋" w:eastAsia="仿宋" w:cs="仿宋"/>
          <w:b w:val="0"/>
          <w:bCs w:val="0"/>
          <w:spacing w:val="-6"/>
          <w:sz w:val="32"/>
          <w:szCs w:val="32"/>
        </w:rPr>
        <w:t>基础</w:t>
      </w:r>
      <w:r>
        <w:rPr>
          <w:rFonts w:hint="eastAsia" w:ascii="仿宋" w:hAnsi="仿宋" w:eastAsia="仿宋" w:cs="仿宋"/>
          <w:b w:val="0"/>
          <w:bCs w:val="0"/>
          <w:spacing w:val="-6"/>
          <w:sz w:val="32"/>
          <w:szCs w:val="32"/>
          <w:lang w:eastAsia="zh-CN"/>
        </w:rPr>
        <w:t>性作用</w:t>
      </w:r>
      <w:r>
        <w:rPr>
          <w:rFonts w:hint="eastAsia" w:ascii="仿宋" w:hAnsi="仿宋" w:eastAsia="仿宋" w:cs="仿宋"/>
          <w:b w:val="0"/>
          <w:bCs w:val="0"/>
          <w:spacing w:val="-6"/>
          <w:sz w:val="32"/>
          <w:szCs w:val="32"/>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法治化建设对社会信用体系建设提出了新要求。“十四五”时期，我国社会信用体系建设将全面进入法治化、规范化的高质量发展新阶段。健全社会信用体系作为依法治国的重要手段，对转变政府职能、创新监管方式、提升社会治理能力</w:t>
      </w:r>
      <w:r>
        <w:rPr>
          <w:rFonts w:hint="eastAsia" w:ascii="仿宋" w:hAnsi="仿宋" w:eastAsia="仿宋" w:cs="仿宋"/>
          <w:b w:val="0"/>
          <w:bCs w:val="0"/>
          <w:sz w:val="32"/>
          <w:szCs w:val="32"/>
          <w:lang w:eastAsia="zh-CN"/>
        </w:rPr>
        <w:t>、加强</w:t>
      </w:r>
      <w:r>
        <w:rPr>
          <w:rFonts w:hint="eastAsia" w:ascii="仿宋" w:hAnsi="仿宋" w:eastAsia="仿宋" w:cs="仿宋"/>
          <w:b w:val="0"/>
          <w:bCs w:val="0"/>
          <w:sz w:val="32"/>
          <w:szCs w:val="32"/>
        </w:rPr>
        <w:t>体制机制建设提出</w:t>
      </w:r>
      <w:r>
        <w:rPr>
          <w:rFonts w:hint="eastAsia" w:ascii="仿宋" w:hAnsi="仿宋" w:eastAsia="仿宋" w:cs="仿宋"/>
          <w:b w:val="0"/>
          <w:bCs w:val="0"/>
          <w:sz w:val="32"/>
          <w:szCs w:val="32"/>
          <w:lang w:eastAsia="zh-CN"/>
        </w:rPr>
        <w:t>了</w:t>
      </w:r>
      <w:r>
        <w:rPr>
          <w:rFonts w:hint="eastAsia" w:ascii="仿宋" w:hAnsi="仿宋" w:eastAsia="仿宋" w:cs="仿宋"/>
          <w:b w:val="0"/>
          <w:bCs w:val="0"/>
          <w:sz w:val="32"/>
          <w:szCs w:val="32"/>
        </w:rPr>
        <w:t>新要求。</w:t>
      </w:r>
      <w:r>
        <w:rPr>
          <w:rFonts w:hint="eastAsia" w:ascii="仿宋" w:hAnsi="仿宋" w:eastAsia="仿宋" w:cs="仿宋"/>
          <w:b w:val="0"/>
          <w:bCs w:val="0"/>
          <w:sz w:val="32"/>
          <w:szCs w:val="32"/>
          <w:lang w:eastAsia="zh-CN"/>
        </w:rPr>
        <w:t>在</w:t>
      </w:r>
      <w:r>
        <w:rPr>
          <w:rFonts w:hint="eastAsia" w:ascii="仿宋" w:hAnsi="仿宋" w:eastAsia="仿宋" w:cs="仿宋"/>
          <w:b w:val="0"/>
          <w:bCs w:val="0"/>
          <w:sz w:val="32"/>
          <w:szCs w:val="32"/>
        </w:rPr>
        <w:t>推进工作落实和实践探索中，要</w:t>
      </w:r>
      <w:r>
        <w:rPr>
          <w:rFonts w:hint="eastAsia" w:ascii="仿宋" w:hAnsi="仿宋" w:eastAsia="仿宋" w:cs="仿宋"/>
          <w:b w:val="0"/>
          <w:bCs w:val="0"/>
          <w:sz w:val="32"/>
          <w:szCs w:val="32"/>
          <w:lang w:eastAsia="zh-CN"/>
        </w:rPr>
        <w:t>坚持</w:t>
      </w:r>
      <w:r>
        <w:rPr>
          <w:rFonts w:hint="eastAsia" w:ascii="仿宋" w:hAnsi="仿宋" w:eastAsia="仿宋" w:cs="仿宋"/>
          <w:b w:val="0"/>
          <w:bCs w:val="0"/>
          <w:sz w:val="32"/>
          <w:szCs w:val="32"/>
        </w:rPr>
        <w:t>依法依规，</w:t>
      </w:r>
      <w:r>
        <w:rPr>
          <w:rFonts w:hint="eastAsia" w:ascii="仿宋" w:hAnsi="仿宋" w:eastAsia="仿宋" w:cs="仿宋"/>
          <w:b w:val="0"/>
          <w:bCs w:val="0"/>
          <w:sz w:val="32"/>
          <w:szCs w:val="32"/>
          <w:lang w:eastAsia="zh-CN"/>
        </w:rPr>
        <w:t>着力</w:t>
      </w:r>
      <w:r>
        <w:rPr>
          <w:rFonts w:hint="eastAsia" w:ascii="仿宋" w:hAnsi="仿宋" w:eastAsia="仿宋" w:cs="仿宋"/>
          <w:b w:val="0"/>
          <w:bCs w:val="0"/>
          <w:sz w:val="32"/>
          <w:szCs w:val="32"/>
        </w:rPr>
        <w:t>规范和健全失信行为认定、记录、归集、共享、公开、惩戒和信用修复等机制，</w:t>
      </w:r>
      <w:r>
        <w:rPr>
          <w:rFonts w:hint="eastAsia" w:ascii="仿宋" w:hAnsi="仿宋" w:eastAsia="仿宋" w:cs="仿宋"/>
          <w:b w:val="0"/>
          <w:bCs w:val="0"/>
          <w:sz w:val="32"/>
          <w:szCs w:val="32"/>
          <w:lang w:eastAsia="zh-CN"/>
        </w:rPr>
        <w:t>不断</w:t>
      </w:r>
      <w:r>
        <w:rPr>
          <w:rFonts w:hint="eastAsia" w:ascii="仿宋" w:hAnsi="仿宋" w:eastAsia="仿宋" w:cs="仿宋"/>
          <w:b w:val="0"/>
          <w:bCs w:val="0"/>
          <w:sz w:val="32"/>
          <w:szCs w:val="32"/>
        </w:rPr>
        <w:t>提升法治化水平</w:t>
      </w:r>
      <w:r>
        <w:rPr>
          <w:rFonts w:hint="eastAsia" w:ascii="仿宋" w:hAnsi="仿宋" w:eastAsia="仿宋" w:cs="仿宋"/>
          <w:b w:val="0"/>
          <w:bCs w:val="0"/>
          <w:sz w:val="32"/>
          <w:szCs w:val="32"/>
          <w:lang w:eastAsia="zh-CN"/>
        </w:rPr>
        <w:t>，促进</w:t>
      </w:r>
      <w:r>
        <w:rPr>
          <w:rFonts w:hint="eastAsia" w:ascii="仿宋" w:hAnsi="仿宋" w:eastAsia="仿宋" w:cs="仿宋"/>
          <w:b w:val="0"/>
          <w:bCs w:val="0"/>
          <w:sz w:val="32"/>
          <w:szCs w:val="32"/>
        </w:rPr>
        <w:t>与国际接轨。</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高标准市场体系建设对社会信用体系建设提出了新任务。建设高标准市场体系需要健全依法诚信的自律机制和监管机制。建立完善市场主体信用承诺制度，规范市场主体行为，是高标准市场体系建设对市场主体的基本要求。同时，各地</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各部门根据监管对象信用状况采取差异化监管措施，将进一步增强市场竞争的充分性和有效性，</w:t>
      </w:r>
      <w:r>
        <w:rPr>
          <w:rFonts w:hint="eastAsia" w:ascii="仿宋" w:hAnsi="仿宋" w:eastAsia="仿宋" w:cs="仿宋"/>
          <w:b w:val="0"/>
          <w:bCs w:val="0"/>
          <w:sz w:val="32"/>
          <w:szCs w:val="32"/>
          <w:lang w:eastAsia="zh-CN"/>
        </w:rPr>
        <w:t>更好</w:t>
      </w:r>
      <w:r>
        <w:rPr>
          <w:rFonts w:hint="eastAsia" w:ascii="仿宋" w:hAnsi="仿宋" w:eastAsia="仿宋" w:cs="仿宋"/>
          <w:b w:val="0"/>
          <w:bCs w:val="0"/>
          <w:sz w:val="32"/>
          <w:szCs w:val="32"/>
        </w:rPr>
        <w:t>发挥信用对公共资源配置的优化作用，推动市场主体守信履约、相互信任，降低制度性交易成本，畅通市场交易机制，加快</w:t>
      </w:r>
      <w:r>
        <w:rPr>
          <w:rFonts w:hint="eastAsia" w:ascii="仿宋" w:hAnsi="仿宋" w:eastAsia="仿宋" w:cs="仿宋"/>
          <w:b w:val="0"/>
          <w:bCs w:val="0"/>
          <w:sz w:val="32"/>
          <w:szCs w:val="32"/>
          <w:lang w:eastAsia="zh-CN"/>
        </w:rPr>
        <w:t>融入</w:t>
      </w:r>
      <w:r>
        <w:rPr>
          <w:rFonts w:hint="eastAsia" w:ascii="仿宋" w:hAnsi="仿宋" w:eastAsia="仿宋" w:cs="仿宋"/>
          <w:b w:val="0"/>
          <w:bCs w:val="0"/>
          <w:sz w:val="32"/>
          <w:szCs w:val="32"/>
        </w:rPr>
        <w:t>新发展格局</w:t>
      </w:r>
      <w:r>
        <w:rPr>
          <w:rFonts w:hint="eastAsia" w:ascii="仿宋" w:hAnsi="仿宋" w:eastAsia="仿宋" w:cs="仿宋"/>
          <w:b w:val="0"/>
          <w:bCs w:val="0"/>
          <w:sz w:val="32"/>
          <w:szCs w:val="32"/>
          <w:lang w:eastAsia="zh-CN"/>
        </w:rPr>
        <w:t>步伐</w:t>
      </w:r>
      <w:r>
        <w:rPr>
          <w:rFonts w:hint="eastAsia" w:ascii="仿宋" w:hAnsi="仿宋" w:eastAsia="仿宋" w:cs="仿宋"/>
          <w:b w:val="0"/>
          <w:bCs w:val="0"/>
          <w:sz w:val="32"/>
          <w:szCs w:val="32"/>
        </w:rPr>
        <w:t>。</w:t>
      </w:r>
      <w:bookmarkStart w:id="54" w:name="_Toc12080"/>
      <w:bookmarkStart w:id="55" w:name="_Toc1612"/>
      <w:bookmarkStart w:id="56" w:name="_Toc9001"/>
      <w:bookmarkStart w:id="57" w:name="_Toc13926"/>
      <w:bookmarkStart w:id="58" w:name="_Toc26515"/>
      <w:bookmarkStart w:id="59" w:name="_Toc14522"/>
      <w:bookmarkStart w:id="60" w:name="_Toc27836"/>
      <w:bookmarkStart w:id="61" w:name="_Toc31102"/>
      <w:bookmarkStart w:id="62" w:name="_Toc12811"/>
      <w:bookmarkStart w:id="63" w:name="_Toc31642"/>
      <w:bookmarkStart w:id="64" w:name="_Toc17835"/>
      <w:bookmarkStart w:id="65" w:name="_Toc23144"/>
      <w:bookmarkStart w:id="66" w:name="_Toc1988181162"/>
      <w:bookmarkStart w:id="67" w:name="_Toc5927"/>
      <w:bookmarkStart w:id="68" w:name="_Toc23392"/>
      <w:bookmarkStart w:id="69" w:name="_Toc27215"/>
      <w:bookmarkStart w:id="70" w:name="_Toc17296"/>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总体思路</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Start w:id="71" w:name="_Toc16029"/>
      <w:bookmarkStart w:id="72" w:name="_Toc21434"/>
      <w:bookmarkStart w:id="73" w:name="_Toc9217"/>
      <w:bookmarkStart w:id="74" w:name="_Toc25702"/>
      <w:bookmarkStart w:id="75" w:name="_Toc10958"/>
      <w:bookmarkStart w:id="76" w:name="_Toc14102"/>
      <w:bookmarkStart w:id="77" w:name="_Toc13625"/>
      <w:bookmarkStart w:id="78" w:name="_Toc15040"/>
      <w:bookmarkStart w:id="79" w:name="_Toc755656791"/>
      <w:bookmarkStart w:id="80" w:name="_Toc9677"/>
      <w:bookmarkStart w:id="81" w:name="_Toc17157"/>
      <w:bookmarkStart w:id="82" w:name="_Toc28322"/>
      <w:bookmarkStart w:id="83" w:name="_Toc25297"/>
      <w:bookmarkStart w:id="84" w:name="_Toc27817"/>
      <w:bookmarkStart w:id="85" w:name="_Toc15358"/>
      <w:bookmarkStart w:id="86" w:name="_Toc13775"/>
      <w:bookmarkStart w:id="87" w:name="_Toc27202"/>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第一节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指导思想</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坚持以习近平新时代中国特色社会主义思想为指导，全面贯彻党的十九大和十九届二中、三中、四中、五中全会精神</w:t>
      </w:r>
      <w:r>
        <w:rPr>
          <w:rFonts w:hint="eastAsia" w:ascii="仿宋" w:hAnsi="仿宋" w:eastAsia="仿宋" w:cs="仿宋"/>
          <w:b w:val="0"/>
          <w:bCs w:val="0"/>
          <w:sz w:val="32"/>
          <w:szCs w:val="32"/>
          <w:lang w:eastAsia="zh-CN"/>
        </w:rPr>
        <w:t>，深入落实</w:t>
      </w:r>
      <w:r>
        <w:rPr>
          <w:rFonts w:hint="eastAsia" w:ascii="仿宋" w:hAnsi="仿宋" w:eastAsia="仿宋" w:cs="仿宋"/>
          <w:b w:val="0"/>
          <w:bCs w:val="0"/>
          <w:sz w:val="32"/>
          <w:szCs w:val="32"/>
        </w:rPr>
        <w:t>习近平总书记对内蒙古重要讲话重要指示批示精神，以建设高质量社会信用体系为目标，不断规范和完善信用监管机制，着力加强重点领域信用建设，全力提升社会信用体系建设的规范化水平，更好发挥社会信用体系在支撑“放管服”改革和政府职能转变、营造公平诚信的市场环境和社会环境等方面的积极作用，全面构建与自治区高质量发展相适应的社会信用体系。</w:t>
      </w:r>
      <w:bookmarkStart w:id="88" w:name="_Toc21896"/>
      <w:bookmarkStart w:id="89" w:name="_Toc22867"/>
      <w:bookmarkStart w:id="90" w:name="_Toc19098"/>
      <w:bookmarkStart w:id="91" w:name="_Toc6587"/>
      <w:bookmarkStart w:id="92" w:name="_Toc12362"/>
      <w:bookmarkStart w:id="93" w:name="_Toc14684"/>
      <w:bookmarkStart w:id="94" w:name="_Toc494033446"/>
      <w:bookmarkStart w:id="95" w:name="_Toc4635"/>
      <w:bookmarkStart w:id="96" w:name="_Toc27869"/>
      <w:bookmarkStart w:id="97" w:name="_Toc11870"/>
      <w:bookmarkStart w:id="98" w:name="_Toc24432"/>
      <w:bookmarkStart w:id="99" w:name="_Toc17101"/>
      <w:bookmarkStart w:id="100" w:name="_Toc27760"/>
      <w:bookmarkStart w:id="101" w:name="_Toc20996"/>
      <w:bookmarkStart w:id="102" w:name="_Toc25225"/>
      <w:bookmarkStart w:id="103" w:name="_Toc26079"/>
      <w:bookmarkStart w:id="104" w:name="_Toc12757"/>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第二节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基本原则</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w:t>
      </w:r>
      <w:r>
        <w:rPr>
          <w:rFonts w:hint="eastAsia" w:ascii="仿宋" w:hAnsi="仿宋" w:eastAsia="仿宋" w:cs="仿宋"/>
          <w:b w:val="0"/>
          <w:bCs w:val="0"/>
          <w:sz w:val="32"/>
          <w:szCs w:val="32"/>
        </w:rPr>
        <w:t>依法建设，规范发展。严格按照相关法律法规要求，制定自治区公共信用信息目录和守信激励、失信惩戒措施清单，提升社会信用体系建设的制度化、标准化和规范化水平。</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w:t>
      </w:r>
      <w:r>
        <w:rPr>
          <w:rFonts w:hint="eastAsia" w:ascii="仿宋" w:hAnsi="仿宋" w:eastAsia="仿宋" w:cs="仿宋"/>
          <w:b w:val="0"/>
          <w:bCs w:val="0"/>
          <w:sz w:val="32"/>
          <w:szCs w:val="32"/>
        </w:rPr>
        <w:t>统筹规划，重点突破。聚焦人民群众关切、社会反响强烈、失信易发频发的重点领域和关键环节，有序推进社会信用体系建设。</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w:t>
      </w:r>
      <w:r>
        <w:rPr>
          <w:rFonts w:hint="eastAsia" w:ascii="仿宋" w:hAnsi="仿宋" w:eastAsia="仿宋" w:cs="仿宋"/>
          <w:b w:val="0"/>
          <w:bCs w:val="0"/>
          <w:sz w:val="32"/>
          <w:szCs w:val="32"/>
        </w:rPr>
        <w:t>强化应用，依法奖惩。规范和强化信用信息在政务服务、行业管理和社会治理等领域的应用，依法依规开展信用联合奖惩，营造“守信者一路绿灯，失信者寸步难行”的良好氛围。</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w:t>
      </w:r>
      <w:r>
        <w:rPr>
          <w:rFonts w:hint="eastAsia" w:ascii="仿宋" w:hAnsi="仿宋" w:eastAsia="仿宋" w:cs="仿宋"/>
          <w:b w:val="0"/>
          <w:bCs w:val="0"/>
          <w:sz w:val="32"/>
          <w:szCs w:val="32"/>
        </w:rPr>
        <w:t>培育市场，激发活力。坚持需求导向，深入推进信用服务有效供给，加大信用服务和信用产品的应用创新力度，运用市场化机制提升社会参与的积极性，形成信用服务供给与需求的良性互动。</w:t>
      </w:r>
      <w:bookmarkStart w:id="105" w:name="_Toc31082"/>
      <w:bookmarkStart w:id="106" w:name="_Toc9538"/>
      <w:bookmarkStart w:id="107" w:name="_Toc5336"/>
      <w:bookmarkStart w:id="108" w:name="_Toc28342"/>
      <w:bookmarkStart w:id="109" w:name="_Toc1410045938"/>
      <w:bookmarkStart w:id="110" w:name="_Toc13544"/>
      <w:bookmarkStart w:id="111" w:name="_Toc13000"/>
      <w:bookmarkStart w:id="112" w:name="_Toc4866"/>
      <w:bookmarkStart w:id="113" w:name="_Toc5766"/>
      <w:bookmarkStart w:id="114" w:name="_Toc21492"/>
      <w:bookmarkStart w:id="115" w:name="_Toc21447"/>
      <w:bookmarkStart w:id="116" w:name="_Toc12162"/>
      <w:bookmarkStart w:id="117" w:name="_Toc12879"/>
      <w:bookmarkStart w:id="118" w:name="_Toc24077"/>
      <w:bookmarkStart w:id="119" w:name="_Toc32545"/>
      <w:bookmarkStart w:id="120" w:name="_Toc2032"/>
      <w:bookmarkStart w:id="121" w:name="_Toc27730"/>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第三节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发展目标</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w:t>
      </w:r>
      <w:r>
        <w:rPr>
          <w:rFonts w:hint="eastAsia" w:ascii="仿宋" w:hAnsi="仿宋" w:eastAsia="仿宋" w:cs="仿宋"/>
          <w:b w:val="0"/>
          <w:bCs w:val="0"/>
          <w:sz w:val="32"/>
          <w:szCs w:val="32"/>
        </w:rPr>
        <w:t>信用法规标准体系基本健全。《内蒙古自治区公共信用信息管理条例》全面落实，重要系统、关键环节和重点领域制度实现全面覆盖，信用标准体系进一步完善，社会信用体系建设制度化、规范化水平再上新台阶。</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w:t>
      </w:r>
      <w:r>
        <w:rPr>
          <w:rFonts w:hint="eastAsia" w:ascii="仿宋" w:hAnsi="仿宋" w:eastAsia="仿宋" w:cs="仿宋"/>
          <w:b w:val="0"/>
          <w:bCs w:val="0"/>
          <w:sz w:val="32"/>
          <w:szCs w:val="32"/>
        </w:rPr>
        <w:t>信用信息系统功能全面提升。自治区社会信用信息平台共享应用“总枢纽”的功能进一步增强，支持跨部门、跨地区信用信息共享、协同治理和奖惩联动。公共信用信息合规率达到100%，公共信用信息实现“应归集、尽归集”。</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w:t>
      </w:r>
      <w:r>
        <w:rPr>
          <w:rFonts w:hint="eastAsia" w:ascii="仿宋" w:hAnsi="仿宋" w:eastAsia="仿宋" w:cs="仿宋"/>
          <w:b w:val="0"/>
          <w:bCs w:val="0"/>
          <w:sz w:val="32"/>
          <w:szCs w:val="32"/>
        </w:rPr>
        <w:t>信用支撑社会治理的作用更加凸显。信用监管覆盖全区主要市场监管行业和社会治理领域，社会治理更加精准高效。信用信息和信用产品在行政管理、市场监管和社会治理中发挥重要作用，力争在30个领域深入开展信用信息核查、信用监管，在更大范围依法依规实施守信激励和失信惩戒。</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w:t>
      </w:r>
      <w:r>
        <w:rPr>
          <w:rFonts w:hint="eastAsia" w:ascii="仿宋" w:hAnsi="仿宋" w:eastAsia="仿宋" w:cs="仿宋"/>
          <w:b w:val="0"/>
          <w:bCs w:val="0"/>
          <w:sz w:val="32"/>
          <w:szCs w:val="32"/>
        </w:rPr>
        <w:t>信用服务市场加速发展。备案信用服务机构规模持续壮大，服务水平显著提升。信用报告在项目审批、公共资源分配、金融信贷等领域广泛应用。企业信用咨询和管理服务普遍开展。信用融资渠道畅通，全区信用贷款规模比例稳步提升。</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pacing w:val="-6"/>
          <w:sz w:val="32"/>
          <w:szCs w:val="32"/>
        </w:rPr>
      </w:pPr>
      <w:r>
        <w:rPr>
          <w:rFonts w:hint="eastAsia" w:ascii="黑体" w:hAnsi="黑体" w:eastAsia="黑体" w:cs="黑体"/>
          <w:b w:val="0"/>
          <w:bCs w:val="0"/>
          <w:sz w:val="32"/>
          <w:szCs w:val="32"/>
        </w:rPr>
        <w:t>——</w:t>
      </w:r>
      <w:r>
        <w:rPr>
          <w:rFonts w:hint="eastAsia" w:ascii="仿宋" w:hAnsi="仿宋" w:eastAsia="仿宋" w:cs="仿宋"/>
          <w:b w:val="0"/>
          <w:bCs w:val="0"/>
          <w:spacing w:val="-6"/>
          <w:sz w:val="32"/>
          <w:szCs w:val="32"/>
        </w:rPr>
        <w:t>社会主体权益保护机制不断健全。建立完善“协同联动、一网通办”的信用修复、异议处理和投诉举报机制，通过服务窗口、网络平台和移动终端等途径为社会公众提供便捷高效的服务。</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黑体" w:hAnsi="黑体" w:eastAsia="黑体" w:cs="黑体"/>
          <w:b w:val="0"/>
          <w:bCs w:val="0"/>
          <w:sz w:val="32"/>
          <w:szCs w:val="32"/>
        </w:rPr>
        <w:t>——</w:t>
      </w:r>
      <w:r>
        <w:rPr>
          <w:rFonts w:hint="eastAsia" w:ascii="仿宋" w:hAnsi="仿宋" w:eastAsia="仿宋" w:cs="仿宋"/>
          <w:b w:val="0"/>
          <w:bCs w:val="0"/>
          <w:sz w:val="32"/>
          <w:szCs w:val="32"/>
        </w:rPr>
        <w:t>全社会诚信意识普遍提升。社会各界积极参与诚信典型选树，守信激励的体制机制进一步完善。建立政府部门、社会组织、企业和社区的宣传阵地，综合运用电视、广播、报纸和网络等媒介全方位开展诚信宣传教育，普及诚信知识，诚实守信的社会氛围不断深化。</w:t>
      </w:r>
      <w:bookmarkStart w:id="122" w:name="_Toc1624730739"/>
      <w:bookmarkStart w:id="123" w:name="_Toc16195"/>
      <w:bookmarkStart w:id="124" w:name="_Toc24909"/>
      <w:bookmarkStart w:id="125" w:name="_Toc1693"/>
      <w:bookmarkStart w:id="126" w:name="_Toc1578"/>
      <w:bookmarkStart w:id="127" w:name="_Toc806"/>
      <w:bookmarkStart w:id="128" w:name="_Toc2788"/>
      <w:bookmarkStart w:id="129" w:name="_Toc21168"/>
      <w:bookmarkStart w:id="130" w:name="_Toc17174"/>
      <w:bookmarkStart w:id="131" w:name="_Toc24134"/>
      <w:bookmarkStart w:id="132" w:name="_Toc10779"/>
      <w:bookmarkStart w:id="133" w:name="_Toc2370"/>
      <w:bookmarkStart w:id="134" w:name="_Toc19003"/>
      <w:bookmarkStart w:id="135" w:name="_Toc7713"/>
      <w:bookmarkStart w:id="136" w:name="_Toc8842"/>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建立健全政策法规和制度标准</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坚持遵循法治轨道，着力构建诚信建设长效机制，围绕信用信息归集、共享、管理和应用等关键环节，加强法规制度和标准规范建设，推动</w:t>
      </w:r>
      <w:r>
        <w:rPr>
          <w:rFonts w:hint="eastAsia" w:ascii="仿宋" w:hAnsi="仿宋" w:eastAsia="仿宋" w:cs="仿宋"/>
          <w:b w:val="0"/>
          <w:bCs w:val="0"/>
          <w:sz w:val="32"/>
          <w:szCs w:val="32"/>
          <w:lang w:eastAsia="zh-CN"/>
        </w:rPr>
        <w:t>全</w:t>
      </w:r>
      <w:r>
        <w:rPr>
          <w:rFonts w:hint="eastAsia" w:ascii="仿宋" w:hAnsi="仿宋" w:eastAsia="仿宋" w:cs="仿宋"/>
          <w:b w:val="0"/>
          <w:bCs w:val="0"/>
          <w:sz w:val="32"/>
          <w:szCs w:val="32"/>
        </w:rPr>
        <w:t>区社会信用体系建设迈入高质量发展的新阶段。</w:t>
      </w:r>
      <w:bookmarkStart w:id="137" w:name="_Toc29577"/>
      <w:bookmarkStart w:id="138" w:name="_Toc605769323"/>
      <w:bookmarkStart w:id="139" w:name="_Toc21634"/>
      <w:bookmarkStart w:id="140" w:name="_Toc14503"/>
      <w:bookmarkStart w:id="141" w:name="_Toc7523"/>
      <w:bookmarkStart w:id="142" w:name="_Toc22800"/>
      <w:bookmarkStart w:id="143" w:name="_Toc13252"/>
      <w:bookmarkStart w:id="144" w:name="_Toc2937"/>
      <w:bookmarkStart w:id="145" w:name="_Toc22320"/>
      <w:bookmarkStart w:id="146" w:name="_Toc1566"/>
      <w:bookmarkStart w:id="147" w:name="_Toc21798"/>
      <w:bookmarkStart w:id="148" w:name="_Toc1315"/>
      <w:bookmarkStart w:id="149" w:name="_Toc4927"/>
      <w:bookmarkStart w:id="150" w:name="_Toc9394"/>
      <w:bookmarkStart w:id="151" w:name="_Toc25424"/>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第一节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加强法规制度建设</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研究制定信用监督、管理和重点领域的信用法规制度。全面落实国家社会信用体系建设相关法律法规和《内蒙古自治区公共信用信息管理条例》，依法推进公共信用信息的归集、披露和使用，强化信用信息安全和主体权益保护。</w:t>
      </w:r>
      <w:r>
        <w:rPr>
          <w:rFonts w:hint="eastAsia" w:ascii="仿宋" w:hAnsi="仿宋" w:eastAsia="仿宋" w:cs="仿宋"/>
          <w:b w:val="0"/>
          <w:bCs w:val="0"/>
          <w:sz w:val="32"/>
          <w:szCs w:val="32"/>
          <w:lang w:eastAsia="zh-CN"/>
        </w:rPr>
        <w:t>结合实施</w:t>
      </w:r>
      <w:r>
        <w:rPr>
          <w:rFonts w:hint="eastAsia" w:ascii="仿宋" w:hAnsi="仿宋" w:eastAsia="仿宋" w:cs="仿宋"/>
          <w:b w:val="0"/>
          <w:bCs w:val="0"/>
          <w:sz w:val="32"/>
          <w:szCs w:val="32"/>
        </w:rPr>
        <w:t>“八五”普法，深入开展普法宣讲，提高社会各界对社会信用体系建设工作的知晓度，切实营造尊法、学法、守法和用法的浓厚社会氛围。建立健全检查考核制度，确保法律法规执行到位。鼓励有条件的地区出台社会信用体系建设的地方性法规。</w:t>
      </w:r>
      <w:bookmarkStart w:id="152" w:name="_Toc7933"/>
      <w:bookmarkStart w:id="153" w:name="_Toc11258"/>
      <w:bookmarkStart w:id="154" w:name="_Toc15109"/>
      <w:bookmarkStart w:id="155" w:name="_Toc29843"/>
      <w:bookmarkStart w:id="156" w:name="_Toc17600"/>
      <w:bookmarkStart w:id="157" w:name="_Toc15299"/>
      <w:bookmarkStart w:id="158" w:name="_Toc10739"/>
      <w:bookmarkStart w:id="159" w:name="_Toc24132"/>
      <w:bookmarkStart w:id="160" w:name="_Toc1951466490"/>
      <w:bookmarkStart w:id="161" w:name="_Toc7266"/>
      <w:bookmarkStart w:id="162" w:name="_Toc27619"/>
      <w:bookmarkStart w:id="163" w:name="_Toc20019"/>
      <w:bookmarkStart w:id="164" w:name="_Toc25837"/>
      <w:bookmarkStart w:id="165" w:name="_Toc15735"/>
      <w:bookmarkStart w:id="166" w:name="_Toc23374"/>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第二节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建立完善政策体系</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依法依规制定《内蒙古自治区公共信用信息目录》和《内蒙古自治区守信激励和失信惩戒措施清单》，全量归集公共信用信息，全面落实信用奖惩措施。建立健全信用信息归集质量考核制度，提高信用信息合规率。完善行业信用评价和监管制度，构建贯穿市场主体全生命周期，衔接事前、事中、事后全监管环节的新型监管机制，推动行业信用监管增量扩面，力争实现重点行业信用监管全覆盖。拓展信用信息在行政管理事项中的应用，建立信用记录和信用报告应用清单，将公共信用信息作为投资项目审批、公共资源分配、公共事务管理等事项的重要参考。</w:t>
      </w:r>
      <w:bookmarkStart w:id="167" w:name="_Toc5832"/>
      <w:bookmarkStart w:id="168" w:name="_Toc32343"/>
      <w:bookmarkStart w:id="169" w:name="_Toc20245"/>
      <w:bookmarkStart w:id="170" w:name="_Toc676"/>
      <w:bookmarkStart w:id="171" w:name="_Toc10303"/>
      <w:bookmarkStart w:id="172" w:name="_Toc18211"/>
      <w:bookmarkStart w:id="173" w:name="_Toc15367"/>
      <w:bookmarkStart w:id="174" w:name="_Toc23919"/>
      <w:bookmarkStart w:id="175" w:name="_Toc32114"/>
      <w:bookmarkStart w:id="176" w:name="_Toc23458"/>
      <w:bookmarkStart w:id="177" w:name="_Toc25204"/>
      <w:bookmarkStart w:id="178" w:name="_Toc23487"/>
      <w:bookmarkStart w:id="179" w:name="_Toc11896"/>
      <w:bookmarkStart w:id="180" w:name="_Toc17636"/>
      <w:bookmarkStart w:id="181" w:name="_Toc1376018251"/>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第三节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健全标准规范</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建立自治区公共信用信息目录标准和信息分类标准，完善信用信息共享标准、信息安全技术标准、数据质量校验标准，健全基础性公共信用产品规范、信用异议和信用修复流程服务规范，全面提升社会信用体系建设工作的标准化、规范化水平。充分发挥自治区信用标准化专业机构的职能作用，组建全区信用标准化专家库，指导各地</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各部门做好信用建设基础性标准、关键技术标准和重点应用标准的研制，推动行业信用标准有效实施。依托“信用中国（内蒙古）”网站和APP、微信公众号、抖音官方号等媒介，开展信用标准的宣传和解读，依法依规向社会公开标准文本，扩大标准实施应用范围和影响。</w:t>
      </w:r>
      <w:bookmarkStart w:id="182" w:name="_Toc12643"/>
      <w:bookmarkStart w:id="183" w:name="_Toc12963"/>
      <w:bookmarkStart w:id="184" w:name="_Toc21609"/>
      <w:bookmarkStart w:id="185" w:name="_Toc24908"/>
      <w:bookmarkStart w:id="186" w:name="_Toc21052"/>
      <w:bookmarkStart w:id="187" w:name="_Toc5478"/>
      <w:bookmarkStart w:id="188" w:name="_Toc23564"/>
      <w:bookmarkStart w:id="189" w:name="_Toc17605"/>
      <w:bookmarkStart w:id="190" w:name="_Toc16909"/>
      <w:bookmarkStart w:id="191" w:name="_Toc5884"/>
      <w:bookmarkStart w:id="192" w:name="_Toc26709"/>
      <w:bookmarkStart w:id="193" w:name="_Toc1922"/>
      <w:bookmarkStart w:id="194" w:name="_Toc20180"/>
      <w:bookmarkStart w:id="195" w:name="_Toc24288"/>
      <w:bookmarkStart w:id="196" w:name="_Toc617538532"/>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优化信用信息系统</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全面优化自治区社会信用信息平台和地方、行业信用信息系统功能，提升信用信息安全保护能力，为社会信用体系建设提供技术保障。</w:t>
      </w:r>
      <w:bookmarkStart w:id="197" w:name="_Toc2037011162"/>
      <w:bookmarkStart w:id="198" w:name="_Toc3863"/>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第一节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全面提升信息化支撑保障能力</w:t>
      </w:r>
      <w:bookmarkEnd w:id="197"/>
      <w:bookmarkEnd w:id="198"/>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充分运用大数据、区块链等新一代信息技术，升级改造自治区社会信用信息平台，提升信用信息归集、共享、管理和应用的能力。健全信用档案管理、信用监测预警等应用服务体系，实现对社会信用主体全生命周期的信用监测和预警。进一步优化“信用中国（内蒙古）”网站和APP等载体服务功能。加快建立公共信用信息交换共享机制，制定出台数据共享目录。加快自治区社会信用信息平台与部门业务系统、金融机构服务平台的信息共享，为丰富监管手段</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提升治理能力</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创新金融产品创造条件。</w:t>
      </w:r>
      <w:bookmarkStart w:id="199" w:name="_Toc2990"/>
      <w:bookmarkStart w:id="200" w:name="_Toc19900"/>
      <w:bookmarkStart w:id="201" w:name="_Toc8006"/>
      <w:bookmarkStart w:id="202" w:name="_Toc5922"/>
      <w:bookmarkStart w:id="203" w:name="_Toc32008"/>
      <w:bookmarkStart w:id="204" w:name="_Toc15353"/>
      <w:bookmarkStart w:id="205" w:name="_Toc16842"/>
      <w:bookmarkStart w:id="206" w:name="_Toc3482"/>
      <w:bookmarkStart w:id="207" w:name="_Toc1238814736"/>
      <w:bookmarkStart w:id="208" w:name="_Toc26865"/>
      <w:bookmarkStart w:id="209" w:name="_Toc11449"/>
      <w:bookmarkStart w:id="210" w:name="_Toc32298"/>
      <w:bookmarkStart w:id="211" w:name="_Toc20668"/>
      <w:bookmarkStart w:id="212" w:name="_Toc13007"/>
      <w:bookmarkStart w:id="213" w:name="_Toc30080"/>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第二节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完善地方和行业信用信息系统</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加快地方信用信息系统建设，全面提升盟市社会信用信息平台的支撑保障能力，实现对本地区信用信息的全面归集和充分共享，建立与国家和自治区信用信息系统数据交换的常态化工作机制。完善市场监管、纳税服务、食品药品、交通运输、生态环境、科学技术和医疗卫生等重点行业的信用信息管理系统，实现信用监管数据可比对、过程可追溯、效果可评估，提高监管规范化、精准化、智能化水平。支持备案的企业征信机构、信用评级机构健全企业征信和评级系统，依法采集、整理、保存、加工法人和其他组织的信用信息，利用现代化信息技术，研发推出符合市场需求的信用信息产品。</w:t>
      </w:r>
      <w:bookmarkStart w:id="214" w:name="_Toc1465863526"/>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第三节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加强公共信用信息的归集和应用</w:t>
      </w:r>
      <w:bookmarkEnd w:id="214"/>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根据《全国公共信用信息基础目录》和《内蒙古自治区公共信用信息目录》，进一步健全完善全区法人、自然人和非法人组织等各类社会主体信用信息库。持续做好对国家机关、法律法规授权的具有管理公共事务职能的组织在依法履行职责、提供公共服务过程中产生或者获取的信用信息的归集整合工作。强化信用信息应用，按照《全国失信惩戒措施基础清单》和《内蒙古自治区守信激励和失信惩戒措施清单》，完善自治区社会信用信息平台的信用联合奖惩系统，实现法人、自然人和非法人组织信用信息的全量归集、一站式查询和一体化应用。</w:t>
      </w:r>
      <w:bookmarkStart w:id="215" w:name="_Toc21455"/>
      <w:bookmarkStart w:id="216" w:name="_Toc23545"/>
      <w:bookmarkStart w:id="217" w:name="_Toc9406"/>
      <w:bookmarkStart w:id="218" w:name="_Toc29509"/>
      <w:bookmarkStart w:id="219" w:name="_Toc12701"/>
      <w:bookmarkStart w:id="220" w:name="_Toc9490"/>
      <w:bookmarkStart w:id="221" w:name="_Toc18892"/>
      <w:bookmarkStart w:id="222" w:name="_Toc21163"/>
      <w:bookmarkStart w:id="223" w:name="_Toc1157174540"/>
      <w:bookmarkStart w:id="224" w:name="_Toc17225"/>
      <w:bookmarkStart w:id="225" w:name="_Toc28224"/>
      <w:bookmarkStart w:id="226" w:name="_Toc19302"/>
      <w:bookmarkStart w:id="227" w:name="_Toc18225"/>
      <w:bookmarkStart w:id="228" w:name="_Toc24636"/>
      <w:bookmarkStart w:id="229" w:name="_Toc1908"/>
      <w:bookmarkStart w:id="230" w:name="_Toc16432"/>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第四节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强化信用信息安全保护能力</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完善信用信息安全管理制度，严格执行《</w:t>
      </w:r>
      <w:r>
        <w:rPr>
          <w:rFonts w:hint="eastAsia" w:ascii="仿宋" w:hAnsi="仿宋" w:eastAsia="仿宋" w:cs="仿宋"/>
          <w:b w:val="0"/>
          <w:bCs w:val="0"/>
          <w:sz w:val="32"/>
          <w:szCs w:val="32"/>
          <w:lang w:eastAsia="zh-CN"/>
        </w:rPr>
        <w:t>中华人民共和国</w:t>
      </w:r>
      <w:r>
        <w:rPr>
          <w:rFonts w:hint="eastAsia" w:ascii="仿宋" w:hAnsi="仿宋" w:eastAsia="仿宋" w:cs="仿宋"/>
          <w:b w:val="0"/>
          <w:bCs w:val="0"/>
          <w:sz w:val="32"/>
          <w:szCs w:val="32"/>
        </w:rPr>
        <w:t>网络安全法》，定期开展信用信息系统网络安全等级保护测评和信息安全风险评估。建立信用信息安全管理责任制度，做好信用信息安全事件的预防和处置。优化信用信息安全应急预案，提高应急响应处置能力。加大信用信息安全保障投入，加强对公共信用信息、商业秘密、个人隐私的保护，有效防范风险，构建高效、可靠、易用的信用信息安全保障系统。</w:t>
      </w:r>
      <w:bookmarkStart w:id="231" w:name="_Toc6288"/>
      <w:bookmarkStart w:id="232" w:name="_Toc32311"/>
      <w:bookmarkStart w:id="233" w:name="_Toc11760"/>
      <w:bookmarkStart w:id="234" w:name="_Toc24289"/>
      <w:bookmarkStart w:id="235" w:name="_Toc22723"/>
      <w:bookmarkStart w:id="236" w:name="_Toc25390"/>
      <w:bookmarkStart w:id="237" w:name="_Toc16889"/>
      <w:bookmarkStart w:id="238" w:name="_Toc579736669"/>
      <w:bookmarkStart w:id="239" w:name="_Toc28578"/>
      <w:bookmarkStart w:id="240" w:name="_Toc21480"/>
      <w:bookmarkStart w:id="241" w:name="_Toc16316"/>
      <w:bookmarkStart w:id="242" w:name="_Toc28312"/>
      <w:bookmarkStart w:id="243" w:name="_Toc10661"/>
      <w:bookmarkStart w:id="244" w:name="_Toc11087"/>
      <w:bookmarkStart w:id="245" w:name="_Toc22256"/>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全面构建以信用为基础的新型监管机制</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充分发挥信用在创新监管机制和提高监管能力方面的基础性作用，推进政务诚信建设，建立健全事前信用承诺、事中信用监管、事后联合奖惩和信用修复机制，改进政府管理和服务方式，全面提升治理能力和水平。</w:t>
      </w:r>
      <w:bookmarkStart w:id="246" w:name="_Toc3180"/>
      <w:bookmarkStart w:id="247" w:name="_Toc21460"/>
      <w:bookmarkStart w:id="248" w:name="_Toc2625"/>
      <w:bookmarkStart w:id="249" w:name="_Toc25469"/>
      <w:bookmarkStart w:id="250" w:name="_Toc3569"/>
      <w:bookmarkStart w:id="251" w:name="_Toc1266"/>
      <w:bookmarkStart w:id="252" w:name="_Toc7757"/>
      <w:bookmarkStart w:id="253" w:name="_Toc5197"/>
      <w:bookmarkStart w:id="254" w:name="_Toc839436760"/>
      <w:bookmarkStart w:id="255" w:name="_Toc6832"/>
      <w:bookmarkStart w:id="256" w:name="_Toc10394"/>
      <w:bookmarkStart w:id="257" w:name="_Toc7372"/>
      <w:bookmarkStart w:id="258" w:name="_Toc23426"/>
      <w:bookmarkStart w:id="259" w:name="_Toc4474"/>
      <w:bookmarkStart w:id="260" w:name="_Toc29044"/>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第一节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深入开展政务诚信建设</w:t>
      </w:r>
      <w:bookmarkEnd w:id="246"/>
      <w:bookmarkEnd w:id="247"/>
      <w:bookmarkEnd w:id="248"/>
      <w:bookmarkEnd w:id="249"/>
      <w:bookmarkEnd w:id="250"/>
      <w:bookmarkEnd w:id="251"/>
      <w:bookmarkEnd w:id="252"/>
      <w:bookmarkEnd w:id="253"/>
      <w:bookmarkEnd w:id="254"/>
      <w:bookmarkEnd w:id="255"/>
      <w:bookmarkEnd w:id="256"/>
      <w:bookmarkEnd w:id="257"/>
      <w:bookmarkEnd w:id="258"/>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围绕政府采购、政府和社会资本合作</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PPP</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、招标投标、招商引资和地方政府债务等领域推动各级</w:t>
      </w:r>
      <w:r>
        <w:rPr>
          <w:rFonts w:hint="eastAsia" w:ascii="仿宋" w:hAnsi="仿宋" w:eastAsia="仿宋" w:cs="仿宋"/>
          <w:b w:val="0"/>
          <w:bCs w:val="0"/>
          <w:sz w:val="32"/>
          <w:szCs w:val="32"/>
          <w:lang w:eastAsia="zh-CN"/>
        </w:rPr>
        <w:t>人民</w:t>
      </w:r>
      <w:r>
        <w:rPr>
          <w:rFonts w:hint="eastAsia" w:ascii="仿宋" w:hAnsi="仿宋" w:eastAsia="仿宋" w:cs="仿宋"/>
          <w:b w:val="0"/>
          <w:bCs w:val="0"/>
          <w:sz w:val="32"/>
          <w:szCs w:val="32"/>
        </w:rPr>
        <w:t>政府及其职能部门依法行政、诚实守信，严格履行各项约定义务，健全政府守信践诺机制。建立政府失信责任追究制度，依法依规将自治区各级行政机关及其公职人员在履职过程中因违法违规、失信违约被司法判决、行政处罚、问责处理等信息纳入自治区</w:t>
      </w:r>
      <w:r>
        <w:rPr>
          <w:rFonts w:hint="eastAsia" w:ascii="仿宋" w:hAnsi="仿宋" w:eastAsia="仿宋" w:cs="仿宋"/>
          <w:b w:val="0"/>
          <w:bCs w:val="0"/>
          <w:sz w:val="32"/>
          <w:szCs w:val="32"/>
          <w:lang w:eastAsia="zh-CN"/>
        </w:rPr>
        <w:t>社会</w:t>
      </w:r>
      <w:r>
        <w:rPr>
          <w:rFonts w:hint="eastAsia" w:ascii="仿宋" w:hAnsi="仿宋" w:eastAsia="仿宋" w:cs="仿宋"/>
          <w:b w:val="0"/>
          <w:bCs w:val="0"/>
          <w:sz w:val="32"/>
          <w:szCs w:val="32"/>
        </w:rPr>
        <w:t>信用信息</w:t>
      </w:r>
      <w:r>
        <w:rPr>
          <w:rFonts w:hint="eastAsia" w:ascii="仿宋" w:hAnsi="仿宋" w:eastAsia="仿宋" w:cs="仿宋"/>
          <w:b w:val="0"/>
          <w:bCs w:val="0"/>
          <w:sz w:val="32"/>
          <w:szCs w:val="32"/>
          <w:lang w:eastAsia="zh-CN"/>
        </w:rPr>
        <w:t>平台</w:t>
      </w:r>
      <w:r>
        <w:rPr>
          <w:rFonts w:hint="eastAsia" w:ascii="仿宋" w:hAnsi="仿宋" w:eastAsia="仿宋" w:cs="仿宋"/>
          <w:b w:val="0"/>
          <w:bCs w:val="0"/>
          <w:sz w:val="32"/>
          <w:szCs w:val="32"/>
        </w:rPr>
        <w:t>。深入开展公务员诚信教育，将诚信教育纳入公务员培训和领导干部</w:t>
      </w:r>
      <w:r>
        <w:rPr>
          <w:rFonts w:hint="eastAsia" w:ascii="仿宋" w:hAnsi="仿宋" w:eastAsia="仿宋" w:cs="仿宋"/>
          <w:b w:val="0"/>
          <w:bCs w:val="0"/>
          <w:sz w:val="32"/>
          <w:szCs w:val="32"/>
          <w:lang w:eastAsia="zh-CN"/>
        </w:rPr>
        <w:t>学习培训</w:t>
      </w:r>
      <w:r>
        <w:rPr>
          <w:rFonts w:hint="eastAsia" w:ascii="仿宋" w:hAnsi="仿宋" w:eastAsia="仿宋" w:cs="仿宋"/>
          <w:b w:val="0"/>
          <w:bCs w:val="0"/>
          <w:sz w:val="32"/>
          <w:szCs w:val="32"/>
        </w:rPr>
        <w:t>课程，提升诚信意识。支持信用服务机构、高等院校及科研院所等第三方机构围绕政府依法行政、勤政高效、守信践诺等方面开展政务诚信评价，并在改革试点、项目投资、社会管理等领域和绩效考核中应用政务诚信评价结果。</w:t>
      </w:r>
      <w:bookmarkStart w:id="261" w:name="_Toc29316"/>
      <w:bookmarkStart w:id="262" w:name="_Toc2579"/>
      <w:bookmarkStart w:id="263" w:name="_Toc6561"/>
      <w:bookmarkStart w:id="264" w:name="_Toc5998"/>
      <w:bookmarkStart w:id="265" w:name="_Toc3193"/>
      <w:bookmarkStart w:id="266" w:name="_Toc10188"/>
      <w:bookmarkStart w:id="267" w:name="_Toc3662"/>
      <w:bookmarkStart w:id="268" w:name="_Toc12113"/>
      <w:bookmarkStart w:id="269" w:name="_Toc1016"/>
      <w:bookmarkStart w:id="270" w:name="_Toc1719682261"/>
      <w:bookmarkStart w:id="271" w:name="_Toc20170"/>
      <w:bookmarkStart w:id="272" w:name="_Toc8844"/>
      <w:bookmarkStart w:id="273" w:name="_Toc4614"/>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第二节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全面建立信用承诺制度</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topLinePunct/>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全面落实国家和自治区证明事项告知承诺制要求，选取户籍管理、市场主体准入、资格考试、社会保险、社会救助、健康体检、法律服务等与企业和群众生产生活密切相关、使用频次较高或者获取难度较大的证明事项实行告知承诺制。建立告知承诺信用信息记录、归集和推送工作机制，将承诺人履行承诺情况全面纳入自治区公共信用信息记录，依托各级信用信息平台和行业信用信息系统，实现信息互联互通和共享。支持行业协会建立行业信用承诺制度，积极引导市场主体作出综合信用承诺或产品服务质量等专项承诺，将信用承诺履行情况作为表彰奖励、评先评优、资质认定、年度抽查等工作的参考和依据，对不履约的承诺主体，依法依规实施信用约束。</w:t>
      </w:r>
      <w:bookmarkStart w:id="274" w:name="_Toc10799"/>
      <w:bookmarkStart w:id="275" w:name="_Toc19842"/>
      <w:bookmarkStart w:id="276" w:name="_Toc32503"/>
      <w:bookmarkStart w:id="277" w:name="_Toc23901"/>
      <w:bookmarkStart w:id="278" w:name="_Toc1739383416"/>
      <w:bookmarkStart w:id="279" w:name="_Toc26624"/>
      <w:bookmarkStart w:id="280" w:name="_Toc9505"/>
      <w:bookmarkStart w:id="281" w:name="_Toc16576"/>
      <w:bookmarkStart w:id="282" w:name="_Toc3959"/>
      <w:bookmarkStart w:id="283" w:name="_Toc30139"/>
      <w:bookmarkStart w:id="284" w:name="_Toc10165"/>
      <w:bookmarkStart w:id="285" w:name="_Toc21177"/>
      <w:bookmarkStart w:id="286" w:name="_Toc10954"/>
      <w:bookmarkStart w:id="287" w:name="_Toc26629"/>
      <w:bookmarkStart w:id="288" w:name="_Toc5464"/>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第三节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持续推进信用分级分类监管</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结合自治区市场监管的重点难点，以税收征管、食品药品、工程建设、交通运输、生态环境、医疗卫生、劳动保障、安全生产和文化旅游等领域为重点，全面实施信用分级分类监管，根据不同风险等级和信用状况，采取差异化的监管措施和激励惩戒手段，依托“信用中国（内蒙古）”网站对信用监管信息进行公示。探索开展覆盖企业、自然人、社会组织、事业单位等主体的公共信用评价。鼓励第三方信用服务机构建立行业信用评价模型，协助相关部门开展行业信用分级分类评价。</w:t>
      </w:r>
      <w:bookmarkStart w:id="289" w:name="_Toc6156"/>
      <w:bookmarkStart w:id="290" w:name="_Toc239414266"/>
      <w:bookmarkStart w:id="291" w:name="_Toc15981"/>
      <w:bookmarkStart w:id="292" w:name="_Toc5089"/>
      <w:bookmarkStart w:id="293" w:name="_Toc27936"/>
      <w:bookmarkStart w:id="294" w:name="_Toc23040"/>
      <w:bookmarkStart w:id="295" w:name="_Toc29453"/>
      <w:bookmarkStart w:id="296" w:name="_Toc7297"/>
      <w:bookmarkStart w:id="297" w:name="_Toc31452"/>
      <w:bookmarkStart w:id="298" w:name="_Toc28614"/>
      <w:bookmarkStart w:id="299" w:name="_Toc24830"/>
      <w:bookmarkStart w:id="300" w:name="_Toc3117"/>
      <w:bookmarkStart w:id="301" w:name="_Toc28104"/>
      <w:bookmarkStart w:id="302" w:name="_Toc5534"/>
      <w:bookmarkStart w:id="303" w:name="_Toc17944"/>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第四节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依法依规实施信用联合奖惩</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建立《内蒙古自治区守信激励和失信惩戒措施清单》，明确实施激励或者惩戒的具体事项、实施依据、实施主体、实施措施和实施对象。完善自治区信用联合奖惩工作协调配合机制，依托自治区社会信用信息平台实现发起响应、信息推送、执行反馈、信用修复和异议处理等动态协同功能。鼓励在公共资源分配、社会保障、城市落户、教育、就业、创业、交通和旅游等方面为诚信主体提供“免押金、减证明、简手续、降收费”等便利服务。严格落实国家对失信联合惩戒的工作要求，依法依规将严重失信主体列为重点监管对象，对严重失信行为实施联合惩戒。</w:t>
      </w:r>
      <w:bookmarkStart w:id="304" w:name="_Toc13436"/>
      <w:bookmarkStart w:id="305" w:name="_Toc31472"/>
      <w:bookmarkStart w:id="306" w:name="_Toc8717"/>
      <w:bookmarkStart w:id="307" w:name="_Toc3256"/>
      <w:bookmarkStart w:id="308" w:name="_Toc25336"/>
      <w:bookmarkStart w:id="309" w:name="_Toc13624"/>
      <w:bookmarkStart w:id="310" w:name="_Toc24181"/>
      <w:bookmarkStart w:id="311" w:name="_Toc1144638000"/>
      <w:bookmarkStart w:id="312" w:name="_Toc23136"/>
      <w:bookmarkStart w:id="313" w:name="_Toc2860"/>
      <w:bookmarkStart w:id="314" w:name="_Toc32501"/>
      <w:bookmarkStart w:id="315" w:name="_Toc23441"/>
      <w:bookmarkStart w:id="316" w:name="_Toc724"/>
      <w:bookmarkStart w:id="317" w:name="_Toc3907"/>
      <w:bookmarkStart w:id="318" w:name="_Toc3692"/>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第五节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大力开展诚信突出问题专项整治</w:t>
      </w:r>
      <w:bookmarkEnd w:id="304"/>
      <w:bookmarkEnd w:id="305"/>
      <w:bookmarkEnd w:id="306"/>
      <w:bookmarkEnd w:id="307"/>
      <w:bookmarkEnd w:id="308"/>
      <w:bookmarkEnd w:id="309"/>
      <w:bookmarkEnd w:id="310"/>
      <w:bookmarkEnd w:id="311"/>
      <w:bookmarkEnd w:id="312"/>
      <w:bookmarkEnd w:id="313"/>
      <w:bookmarkEnd w:id="314"/>
      <w:bookmarkEnd w:id="315"/>
      <w:bookmarkEnd w:id="316"/>
    </w:p>
    <w:p>
      <w:pPr>
        <w:keepNext w:val="0"/>
        <w:keepLines w:val="0"/>
        <w:pageBreakBefore w:val="0"/>
        <w:widowControl w:val="0"/>
        <w:numPr>
          <w:ilvl w:val="0"/>
          <w:numId w:val="0"/>
        </w:numPr>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围绕电信网络诈骗、互联网信息服务领域失信、国家考试作弊、交通运输领域失信、骗取社会保险、法院判决不执行、金融领域失信和生态环境保护领域失信等群众反映强烈、社会普遍关注的领域开展专项治理。强化实名登记制度，以居民身份证和法人统一社会信用代码为索引，依法依规对自然人、法人等主体在各地区、各领域违法失信行为建档，做到可查可核可溯。对屡罚不改、情节严重、社会影响恶劣的严重失信主体，加大公开曝光和惩戒力度。充分发挥政府部门、行业组织和第三方机构作用，整合形成政府监管、行业自律和社会监督的强大合力。</w:t>
      </w:r>
      <w:bookmarkStart w:id="319" w:name="_Toc24943"/>
      <w:bookmarkStart w:id="320" w:name="_Toc4093"/>
      <w:bookmarkStart w:id="321" w:name="_Toc29546"/>
      <w:bookmarkStart w:id="322" w:name="_Toc13526"/>
      <w:bookmarkStart w:id="323" w:name="_Toc901891705"/>
      <w:bookmarkStart w:id="324" w:name="_Toc26974"/>
      <w:bookmarkStart w:id="325" w:name="_Toc12387"/>
      <w:bookmarkStart w:id="326" w:name="_Toc3423"/>
      <w:bookmarkStart w:id="327" w:name="_Toc13074"/>
      <w:bookmarkStart w:id="328" w:name="_Toc4794"/>
      <w:bookmarkStart w:id="329" w:name="_Toc6000"/>
      <w:bookmarkStart w:id="330" w:name="_Toc12148"/>
      <w:bookmarkStart w:id="331" w:name="_Toc29517"/>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第六节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保障社会主体合法权益</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完善信用修复部门协同联动机制，优化修复流程。提升信用修复工作的社会知晓度，建立信用修复辅导机制，定期开展信用修复培训，帮助失信主体开展信用修复，促进失信主体履行法定义务，恢复信用水平。通过服务窗口、网络平台、移动终端等渠道为社会大众提供便捷的信用异议处理服务，优化处理流程，及时更正或撤销经核实有误的信息，采取积极措施消除对社会主体的影响，切实保障社会主体合法权益。</w:t>
      </w:r>
      <w:bookmarkStart w:id="332" w:name="_Toc17796"/>
      <w:bookmarkStart w:id="333" w:name="_Toc27752"/>
      <w:bookmarkStart w:id="334" w:name="_Toc9024"/>
      <w:bookmarkStart w:id="335" w:name="_Toc14982"/>
      <w:bookmarkStart w:id="336" w:name="_Toc19531"/>
      <w:bookmarkStart w:id="337" w:name="_Toc22682"/>
      <w:bookmarkStart w:id="338" w:name="_Toc9787"/>
      <w:bookmarkStart w:id="339" w:name="_Toc22845"/>
      <w:bookmarkStart w:id="340" w:name="_Toc12034697"/>
      <w:bookmarkStart w:id="341" w:name="_Toc24370"/>
      <w:bookmarkStart w:id="342" w:name="_Toc24674"/>
      <w:bookmarkStart w:id="343" w:name="_Toc17092"/>
      <w:bookmarkStart w:id="344" w:name="_Toc15707"/>
      <w:bookmarkStart w:id="345" w:name="_Toc11335"/>
      <w:bookmarkStart w:id="346" w:name="_Toc20009"/>
      <w:bookmarkStart w:id="347" w:name="_Toc31036"/>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加快培育信用服务市场</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bookmarkStart w:id="348" w:name="_Toc12465"/>
      <w:r>
        <w:rPr>
          <w:rFonts w:hint="eastAsia" w:ascii="仿宋" w:hAnsi="仿宋" w:eastAsia="仿宋" w:cs="仿宋"/>
          <w:b w:val="0"/>
          <w:bCs w:val="0"/>
          <w:sz w:val="32"/>
          <w:szCs w:val="32"/>
        </w:rPr>
        <w:t>做大做强信用服务机构，加大信用服务和信用产品的应用创新力度，深入开展信用试点示范，持续做好自治区级诚信典型选树和行业协会信用建设，运用市场化机制提升社会参与的积极性，全面提高信用服务市场建设水平。</w:t>
      </w:r>
      <w:bookmarkStart w:id="349" w:name="_Toc23461"/>
      <w:bookmarkStart w:id="350" w:name="_Toc15659"/>
      <w:bookmarkStart w:id="351" w:name="_Toc13767"/>
      <w:bookmarkStart w:id="352" w:name="_Toc24074"/>
      <w:bookmarkStart w:id="353" w:name="_Toc2730"/>
      <w:bookmarkStart w:id="354" w:name="_Toc19271"/>
      <w:bookmarkStart w:id="355" w:name="_Toc13717"/>
      <w:bookmarkStart w:id="356" w:name="_Toc1529446607"/>
      <w:bookmarkStart w:id="357" w:name="_Toc9573"/>
      <w:bookmarkStart w:id="358" w:name="_Toc18517"/>
      <w:bookmarkStart w:id="359" w:name="_Toc30465"/>
      <w:bookmarkStart w:id="360" w:name="_Toc5652"/>
      <w:bookmarkStart w:id="361" w:name="_Toc20404"/>
      <w:bookmarkStart w:id="362" w:name="_Toc10895"/>
      <w:bookmarkStart w:id="363" w:name="_Toc3941"/>
      <w:bookmarkStart w:id="364" w:name="_Toc21549"/>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rPr>
        <w:t>第一节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做大做强信用服务机构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bookmarkStart w:id="365" w:name="_Toc19702"/>
      <w:r>
        <w:rPr>
          <w:rFonts w:hint="eastAsia" w:ascii="仿宋" w:hAnsi="仿宋" w:eastAsia="仿宋" w:cs="仿宋"/>
          <w:b w:val="0"/>
          <w:bCs w:val="0"/>
          <w:sz w:val="32"/>
          <w:szCs w:val="32"/>
        </w:rPr>
        <w:t>积极引进国内外知名信用服务机构，推动区内外信用服务机构开展合作。完善自治区信用服务机构的法人治理结构，强化内控管理，建设专业队伍，提高业务水平。鼓励信用服务机构利用云计算、大数据等技术开展互联网金融征信、商业保理等信用服务。开展信用服务机构分类监管，依托“信用中国（内蒙古）”网站建立信用服务投诉渠道，切实维护信用服务行业秩序。推动各级</w:t>
      </w:r>
      <w:r>
        <w:rPr>
          <w:rFonts w:hint="eastAsia" w:ascii="仿宋" w:hAnsi="仿宋" w:eastAsia="仿宋" w:cs="仿宋"/>
          <w:b w:val="0"/>
          <w:bCs w:val="0"/>
          <w:sz w:val="32"/>
          <w:szCs w:val="32"/>
          <w:lang w:eastAsia="zh-CN"/>
        </w:rPr>
        <w:t>人民</w:t>
      </w:r>
      <w:r>
        <w:rPr>
          <w:rFonts w:hint="eastAsia" w:ascii="仿宋" w:hAnsi="仿宋" w:eastAsia="仿宋" w:cs="仿宋"/>
          <w:b w:val="0"/>
          <w:bCs w:val="0"/>
          <w:sz w:val="32"/>
          <w:szCs w:val="32"/>
        </w:rPr>
        <w:t>政府在公共资源交易、项目审批、市场准入和资质审核等事项中使用信用报告。鼓励各类市场主体在生产经营、市场交易、企业管理、融资信贷和社会公益等活动中应用公共信用信息。</w:t>
      </w:r>
      <w:bookmarkEnd w:id="365"/>
      <w:bookmarkStart w:id="366" w:name="_Toc20833"/>
      <w:bookmarkStart w:id="367" w:name="_Toc32505"/>
      <w:bookmarkStart w:id="368" w:name="_Toc7300"/>
      <w:bookmarkStart w:id="369" w:name="_Toc29532"/>
      <w:bookmarkStart w:id="370" w:name="_Toc1068883803"/>
      <w:bookmarkStart w:id="371" w:name="_Toc24878"/>
      <w:bookmarkStart w:id="372" w:name="_Toc18535"/>
      <w:bookmarkStart w:id="373" w:name="_Toc15835"/>
      <w:bookmarkStart w:id="374" w:name="_Toc24406"/>
      <w:bookmarkStart w:id="375" w:name="_Toc6658"/>
      <w:bookmarkStart w:id="376" w:name="_Toc15772"/>
      <w:bookmarkStart w:id="377" w:name="_Toc5440"/>
      <w:bookmarkStart w:id="378" w:name="_Toc6139"/>
      <w:bookmarkStart w:id="379" w:name="_Toc13466"/>
      <w:bookmarkStart w:id="380" w:name="_Toc19306"/>
      <w:bookmarkStart w:id="381" w:name="_Toc27081"/>
      <w:bookmarkStart w:id="382" w:name="_Toc9090"/>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第二节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rPr>
        <w:t>深入开展信用试点示范创建</w:t>
      </w:r>
      <w:bookmarkEnd w:id="366"/>
      <w:bookmarkEnd w:id="367"/>
      <w:bookmarkEnd w:id="368"/>
      <w:bookmarkEnd w:id="369"/>
      <w:bookmarkEnd w:id="370"/>
      <w:bookmarkEnd w:id="371"/>
      <w:bookmarkEnd w:id="372"/>
      <w:bookmarkEnd w:id="373"/>
      <w:bookmarkEnd w:id="374"/>
      <w:bookmarkEnd w:id="375"/>
      <w:bookmarkEnd w:id="376"/>
      <w:bookmarkEnd w:id="377"/>
      <w:bookmarkEnd w:id="378"/>
    </w:p>
    <w:p>
      <w:pPr>
        <w:keepNext w:val="0"/>
        <w:keepLines w:val="0"/>
        <w:pageBreakBefore w:val="0"/>
        <w:widowControl w:val="0"/>
        <w:numPr>
          <w:ilvl w:val="0"/>
          <w:numId w:val="0"/>
        </w:numPr>
        <w:kinsoku/>
        <w:wordWrap/>
        <w:overflowPunct/>
        <w:topLinePunct/>
        <w:autoSpaceDE/>
        <w:autoSpaceDN/>
        <w:bidi w:val="0"/>
        <w:spacing w:line="580" w:lineRule="exact"/>
        <w:ind w:left="0" w:leftChars="0" w:right="0" w:rightChars="0" w:firstLine="640" w:firstLineChars="200"/>
        <w:jc w:val="both"/>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按照国家信用示范创建要求，开展“诚信市场”“文明集市”“诚信经营示范店”等诚信创建活动，以“社区工作者+志愿者”联动机制为纽带，将信用建设融入政务服务、公益服务、便民服务中。大力推进“信用户”“信用村”“信用乡镇（</w:t>
      </w:r>
      <w:r>
        <w:rPr>
          <w:rFonts w:hint="eastAsia" w:ascii="仿宋" w:hAnsi="仿宋" w:eastAsia="仿宋" w:cs="仿宋"/>
          <w:b w:val="0"/>
          <w:bCs w:val="0"/>
          <w:sz w:val="32"/>
          <w:szCs w:val="32"/>
          <w:lang w:eastAsia="zh-CN"/>
        </w:rPr>
        <w:t>苏木</w:t>
      </w:r>
      <w:r>
        <w:rPr>
          <w:rFonts w:hint="eastAsia" w:ascii="仿宋" w:hAnsi="仿宋" w:eastAsia="仿宋" w:cs="仿宋"/>
          <w:b w:val="0"/>
          <w:bCs w:val="0"/>
          <w:sz w:val="32"/>
          <w:szCs w:val="32"/>
        </w:rPr>
        <w:t>）”创建工作，围绕乡村振兴要求，建设农村牧区信用体系，优化完善全区中小微企业和农村信用信息系统，健全信用档案，营造良好的农村牧区信用环境。鼓励各类产业园区开展信用创建工作，建立以提升优势骨干企业和中小企业综合竞争力为重点的信用管理服务体系，完善企业准入和退出机制，优化园区发展环境。以信用示范创建为引领，探索构建政务诚信为先导、信用制度为保障、信用监管为手段、诚信宣传教育为支撑的社会治理机制。</w:t>
      </w:r>
      <w:bookmarkStart w:id="383" w:name="_Toc1006"/>
      <w:bookmarkStart w:id="384" w:name="_Toc16531"/>
      <w:bookmarkStart w:id="385" w:name="_Toc9628"/>
      <w:bookmarkStart w:id="386" w:name="_Toc28619"/>
      <w:bookmarkStart w:id="387" w:name="_Toc11822"/>
      <w:bookmarkStart w:id="388" w:name="_Toc19532"/>
      <w:bookmarkStart w:id="389" w:name="_Toc914110382"/>
      <w:bookmarkStart w:id="390" w:name="_Toc16549"/>
      <w:bookmarkStart w:id="391" w:name="_Toc16387"/>
      <w:bookmarkStart w:id="392" w:name="_Toc15406"/>
      <w:bookmarkStart w:id="393" w:name="_Toc5948"/>
      <w:bookmarkStart w:id="394" w:name="_Toc16868"/>
      <w:bookmarkStart w:id="395" w:name="_Toc31195"/>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第三节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持续做好自治区级诚信典型选树</w:t>
      </w:r>
      <w:bookmarkEnd w:id="379"/>
      <w:bookmarkEnd w:id="380"/>
      <w:bookmarkEnd w:id="381"/>
      <w:bookmarkEnd w:id="382"/>
      <w:bookmarkEnd w:id="383"/>
      <w:bookmarkEnd w:id="384"/>
      <w:bookmarkEnd w:id="385"/>
      <w:bookmarkEnd w:id="386"/>
      <w:bookmarkEnd w:id="387"/>
      <w:r>
        <w:rPr>
          <w:rFonts w:hint="eastAsia" w:ascii="楷体" w:hAnsi="楷体" w:eastAsia="楷体" w:cs="楷体"/>
          <w:b w:val="0"/>
          <w:bCs w:val="0"/>
          <w:sz w:val="32"/>
          <w:szCs w:val="32"/>
          <w:lang w:eastAsia="zh-CN"/>
        </w:rPr>
        <w:t>和激励</w:t>
      </w:r>
      <w:bookmarkEnd w:id="388"/>
      <w:bookmarkEnd w:id="389"/>
      <w:bookmarkEnd w:id="390"/>
      <w:bookmarkEnd w:id="391"/>
      <w:bookmarkEnd w:id="392"/>
      <w:bookmarkEnd w:id="393"/>
      <w:bookmarkEnd w:id="394"/>
      <w:bookmarkEnd w:id="395"/>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bookmarkStart w:id="396" w:name="_Toc28058"/>
      <w:r>
        <w:rPr>
          <w:rFonts w:hint="eastAsia" w:ascii="仿宋" w:hAnsi="仿宋" w:eastAsia="仿宋" w:cs="仿宋"/>
          <w:b w:val="0"/>
          <w:bCs w:val="0"/>
          <w:sz w:val="32"/>
          <w:szCs w:val="32"/>
        </w:rPr>
        <w:t>引导社会主体积极参与自治区级诚信典型选树，优化诚信典型选树流程，实现申报、评选、发布、动态管理和监督考评等工作的协同开展。落实对诚信典型的激励措施，推动各级政府部门在行政许可、实施财政性资金项目安排、招商引资、配套优惠政策和公共资源分配、政府购买服务等领域为诚信典型提供优惠便利的服务措施。支持银行、保险、信托和基金等金融机构创新“信易贷”工作模式，为诚信典型提供优惠融资服务。引导信用服务机构根据诚信典型的需求和业务特点，提供专业化的信用服务。探索组建自治区诚信商家联盟，为诚信典型提供优惠便利的服务。</w:t>
      </w:r>
      <w:bookmarkStart w:id="397" w:name="_Toc22394"/>
      <w:bookmarkStart w:id="398" w:name="_Toc30849"/>
      <w:bookmarkStart w:id="399" w:name="_Toc1658"/>
      <w:bookmarkStart w:id="400" w:name="_Toc9251"/>
      <w:bookmarkStart w:id="401" w:name="_Toc8370"/>
      <w:bookmarkStart w:id="402" w:name="_Toc2666"/>
      <w:bookmarkStart w:id="403" w:name="_Toc24420"/>
      <w:bookmarkStart w:id="404" w:name="_Toc1548302660"/>
      <w:bookmarkStart w:id="405" w:name="_Toc26167"/>
      <w:bookmarkStart w:id="406" w:name="_Toc7433"/>
      <w:bookmarkStart w:id="407" w:name="_Toc2420"/>
      <w:bookmarkStart w:id="408" w:name="_Toc28187"/>
      <w:bookmarkStart w:id="409" w:name="_Toc7339"/>
      <w:bookmarkStart w:id="410" w:name="_Toc24400"/>
      <w:bookmarkStart w:id="411" w:name="_Toc31812"/>
      <w:bookmarkStart w:id="412" w:name="_Toc10413"/>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第四节</w:t>
      </w:r>
      <w:bookmarkEnd w:id="397"/>
      <w:bookmarkEnd w:id="398"/>
      <w:bookmarkEnd w:id="399"/>
      <w:bookmarkEnd w:id="400"/>
      <w:bookmarkEnd w:id="401"/>
      <w:bookmarkStart w:id="413" w:name="_Toc5824"/>
      <w:bookmarkStart w:id="414" w:name="_Toc6227"/>
      <w:bookmarkStart w:id="415" w:name="_Toc4510"/>
      <w:bookmarkStart w:id="416" w:name="_Toc27008"/>
      <w:bookmarkStart w:id="417" w:name="_Toc6943"/>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积极推进行业协会信用建设</w:t>
      </w:r>
      <w:bookmarkEnd w:id="396"/>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支持行业协会开展行业信用建设和信用监督，依法依规实施行业失信惩戒，根据会员失信情节实施通报批评、公开谴责、不予接纳和劝退等惩戒措施。推动行业协会建立会员信用记录，开展信用承诺、信用培训、诚信宣传和诚信倡议等活动。建立行业协会与信用服务机构会商机制，引导各行业协会在会员单位中推广企业信用管理、信用风险预警、信用评级评价和供应链信用融资等工作。</w:t>
      </w:r>
      <w:bookmarkEnd w:id="347"/>
      <w:bookmarkStart w:id="418" w:name="_Toc8343"/>
      <w:bookmarkStart w:id="419" w:name="_Toc16234"/>
      <w:bookmarkStart w:id="420" w:name="_Toc18827"/>
      <w:bookmarkStart w:id="421" w:name="_Toc19588"/>
      <w:bookmarkStart w:id="422" w:name="_Toc13435"/>
      <w:bookmarkStart w:id="423" w:name="_Toc1926"/>
      <w:bookmarkStart w:id="424" w:name="_Toc1595"/>
      <w:bookmarkStart w:id="425" w:name="_Toc27826"/>
      <w:bookmarkStart w:id="426" w:name="_Toc31767"/>
      <w:bookmarkStart w:id="427" w:name="_Toc1038916974"/>
      <w:bookmarkStart w:id="428" w:name="_Toc29893"/>
      <w:bookmarkStart w:id="429" w:name="_Toc3382"/>
      <w:bookmarkStart w:id="430" w:name="_Toc14076"/>
      <w:bookmarkStart w:id="431" w:name="_Toc24941"/>
      <w:bookmarkStart w:id="432" w:name="_Toc26155"/>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强化宣传教育</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bookmarkStart w:id="433" w:name="_Toc2216"/>
      <w:bookmarkStart w:id="434" w:name="_Toc3535"/>
      <w:r>
        <w:rPr>
          <w:rFonts w:hint="eastAsia" w:ascii="仿宋" w:hAnsi="仿宋" w:eastAsia="仿宋" w:cs="仿宋"/>
          <w:b w:val="0"/>
          <w:bCs w:val="0"/>
          <w:sz w:val="32"/>
          <w:szCs w:val="32"/>
        </w:rPr>
        <w:t>大力开展诚信文化宣传教育，提升公众诚信意识，营造诚实守信的社会环境</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实施信用人才培育计划</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为自治区社会信用体系建设发展提供智力支撑。</w:t>
      </w:r>
      <w:bookmarkStart w:id="435" w:name="_Toc28410"/>
      <w:bookmarkStart w:id="436" w:name="_Toc11720"/>
      <w:bookmarkStart w:id="437" w:name="_Toc30106"/>
      <w:bookmarkStart w:id="438" w:name="_Toc5982"/>
      <w:bookmarkStart w:id="439" w:name="_Toc13441"/>
      <w:bookmarkStart w:id="440" w:name="_Toc9578"/>
      <w:bookmarkStart w:id="441" w:name="_Toc8966"/>
      <w:bookmarkStart w:id="442" w:name="_Toc219787799"/>
      <w:bookmarkStart w:id="443" w:name="_Toc27052"/>
      <w:bookmarkStart w:id="444" w:name="_Toc10202"/>
      <w:bookmarkStart w:id="445" w:name="_Toc3553"/>
      <w:bookmarkStart w:id="446" w:name="_Toc12771"/>
      <w:bookmarkStart w:id="447" w:name="_Toc14250"/>
      <w:bookmarkStart w:id="448" w:name="_Toc6948"/>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第一节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构建全媒体信用宣传矩阵</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建立信用宣传渠道矩阵，通过纸媒、广播、电视等传统媒体提高信用宣传的公信力和引导力，借助网媒、移动媒体等新媒体提高信用宣传的传播力和影响力，促进信用体系建设工作有效传播、深入人心。建立信用宣传内容矩阵，以诚信建设为基础，围绕信用法规政策、信用场景应用、信用科普等内容</w:t>
      </w:r>
      <w:r>
        <w:rPr>
          <w:rFonts w:hint="eastAsia" w:ascii="仿宋" w:hAnsi="仿宋" w:eastAsia="仿宋" w:cs="仿宋"/>
          <w:b w:val="0"/>
          <w:bCs w:val="0"/>
          <w:sz w:val="32"/>
          <w:szCs w:val="32"/>
          <w:lang w:eastAsia="zh-CN"/>
        </w:rPr>
        <w:t>加强</w:t>
      </w:r>
      <w:r>
        <w:rPr>
          <w:rFonts w:hint="eastAsia" w:ascii="仿宋" w:hAnsi="仿宋" w:eastAsia="仿宋" w:cs="仿宋"/>
          <w:b w:val="0"/>
          <w:bCs w:val="0"/>
          <w:sz w:val="32"/>
          <w:szCs w:val="32"/>
        </w:rPr>
        <w:t>宣传报道。加快各类媒体和信用专业人才的融合步伐，鼓励社会各界参与到信用宣传工作中，搭建展示诚信理念和诚信文化的舞台，让各行各业的人讲述“诚信故事”，助力“信用内蒙古”建设。</w:t>
      </w:r>
      <w:bookmarkStart w:id="449" w:name="_Toc22599"/>
      <w:bookmarkStart w:id="450" w:name="_Toc27036"/>
      <w:bookmarkStart w:id="451" w:name="_Toc22807"/>
      <w:bookmarkStart w:id="452" w:name="_Toc18593"/>
      <w:bookmarkStart w:id="453" w:name="_Toc8507"/>
      <w:bookmarkStart w:id="454" w:name="_Toc21807"/>
      <w:bookmarkStart w:id="455" w:name="_Toc26989"/>
      <w:bookmarkStart w:id="456" w:name="_Toc28015"/>
      <w:bookmarkStart w:id="457" w:name="_Toc1547694083"/>
      <w:bookmarkStart w:id="458" w:name="_Toc18092"/>
      <w:bookmarkStart w:id="459" w:name="_Toc3838"/>
      <w:bookmarkStart w:id="460" w:name="_Toc5953"/>
      <w:bookmarkStart w:id="461" w:name="_Toc7506"/>
      <w:bookmarkStart w:id="462" w:name="_Toc19145"/>
      <w:bookmarkStart w:id="463" w:name="_Toc2456"/>
      <w:bookmarkStart w:id="464" w:name="_Toc9929"/>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第二节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加强诚信文化建设和诚信教育</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贯彻落实《公民道德建设实施纲要》和《内蒙古自治区文明行为促进条例》，弘扬社会主义核心价值观，加强社会公德、职业道德、家庭美德和个人品德教育。持续开展诚信教育进机关、进企业、进社区、进农村牧区、进商圈、进军队、进校园、进医院、进口岸、进景区“十进”活动。围绕“诚信活动周”“食品安全宣传周”“诚信兴商宣传月”“3·15”国际消费者权益日、“4·26世界知识产权日”、“6·14”信用记录关爱日和“12·4”国家宪法日等重要时间节点和主题开展诚信宣传，引导社会大众树立诚实守信的思想观念和道德行为准则。大力推进网络诚信体系建设，树立网络诚信理念，加强网络信息服务监管，整顿网络传播秩序，积极打造公平诚信、健康有序的网络环境。</w:t>
      </w:r>
      <w:bookmarkStart w:id="465" w:name="_Toc26797"/>
      <w:bookmarkStart w:id="466" w:name="_Toc25467"/>
      <w:bookmarkStart w:id="467" w:name="_Toc19923"/>
      <w:bookmarkStart w:id="468" w:name="_Toc1224146871"/>
      <w:bookmarkStart w:id="469" w:name="_Toc1369"/>
      <w:bookmarkStart w:id="470" w:name="_Toc23504"/>
      <w:bookmarkStart w:id="471" w:name="_Toc736"/>
      <w:bookmarkStart w:id="472" w:name="_Toc30191"/>
      <w:bookmarkStart w:id="473" w:name="_Toc1317"/>
      <w:bookmarkStart w:id="474" w:name="_Toc22820"/>
      <w:bookmarkStart w:id="475" w:name="_Toc19991"/>
      <w:bookmarkStart w:id="476" w:name="_Toc20896"/>
      <w:bookmarkStart w:id="477" w:name="_Toc13790"/>
      <w:bookmarkStart w:id="478" w:name="_Toc19692"/>
      <w:bookmarkStart w:id="479" w:name="_Toc15886"/>
      <w:bookmarkStart w:id="480" w:name="_Toc22474"/>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第三节</w:t>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实施信用人才培育</w:t>
      </w:r>
      <w:bookmarkEnd w:id="465"/>
      <w:r>
        <w:rPr>
          <w:rFonts w:hint="eastAsia" w:ascii="楷体" w:hAnsi="楷体" w:eastAsia="楷体" w:cs="楷体"/>
          <w:b w:val="0"/>
          <w:bCs w:val="0"/>
          <w:sz w:val="32"/>
          <w:szCs w:val="32"/>
          <w:lang w:eastAsia="zh-CN"/>
        </w:rPr>
        <w:t>计划</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支持有条件的高等院校、职业学校设立信用管理专业或开设相关课程，培育信用专业人才。</w:t>
      </w:r>
      <w:r>
        <w:rPr>
          <w:rFonts w:hint="eastAsia" w:ascii="仿宋" w:hAnsi="仿宋" w:eastAsia="仿宋" w:cs="仿宋"/>
          <w:b w:val="0"/>
          <w:bCs w:val="0"/>
          <w:sz w:val="32"/>
          <w:szCs w:val="32"/>
          <w:lang w:eastAsia="zh-CN"/>
        </w:rPr>
        <w:t>落实</w:t>
      </w:r>
      <w:r>
        <w:rPr>
          <w:rFonts w:hint="eastAsia" w:ascii="仿宋" w:hAnsi="仿宋" w:eastAsia="仿宋" w:cs="仿宋"/>
          <w:b w:val="0"/>
          <w:bCs w:val="0"/>
          <w:sz w:val="32"/>
          <w:szCs w:val="32"/>
        </w:rPr>
        <w:t>国家职业教育规划</w:t>
      </w:r>
      <w:r>
        <w:rPr>
          <w:rFonts w:hint="eastAsia" w:ascii="仿宋" w:hAnsi="仿宋" w:eastAsia="仿宋" w:cs="仿宋"/>
          <w:b w:val="0"/>
          <w:bCs w:val="0"/>
          <w:sz w:val="32"/>
          <w:szCs w:val="32"/>
          <w:lang w:eastAsia="zh-CN"/>
        </w:rPr>
        <w:t>，组织</w:t>
      </w:r>
      <w:r>
        <w:rPr>
          <w:rFonts w:hint="eastAsia" w:ascii="仿宋" w:hAnsi="仿宋" w:eastAsia="仿宋" w:cs="仿宋"/>
          <w:b w:val="0"/>
          <w:bCs w:val="0"/>
          <w:sz w:val="32"/>
          <w:szCs w:val="32"/>
        </w:rPr>
        <w:t>开展信用管理职业培训，推广国家信用管理师职业资格认证，提升信用从业人员能力。搭建信用领域学术交流平台，广泛联</w:t>
      </w:r>
      <w:r>
        <w:rPr>
          <w:rFonts w:hint="eastAsia" w:ascii="仿宋" w:hAnsi="仿宋" w:eastAsia="仿宋" w:cs="仿宋"/>
          <w:b w:val="0"/>
          <w:bCs w:val="0"/>
          <w:sz w:val="32"/>
          <w:szCs w:val="32"/>
          <w:lang w:eastAsia="zh-CN"/>
        </w:rPr>
        <w:t>系组织</w:t>
      </w:r>
      <w:r>
        <w:rPr>
          <w:rFonts w:hint="eastAsia" w:ascii="仿宋" w:hAnsi="仿宋" w:eastAsia="仿宋" w:cs="仿宋"/>
          <w:b w:val="0"/>
          <w:bCs w:val="0"/>
          <w:sz w:val="32"/>
          <w:szCs w:val="32"/>
        </w:rPr>
        <w:t>区内外研究机构、高等院校、信用服务机构、企业和社会各界专家，加强社会信用体系建设学术交流和研讨，壮大自治区信用专家队伍。</w:t>
      </w:r>
      <w:bookmarkStart w:id="481" w:name="_Toc19151"/>
      <w:bookmarkStart w:id="482" w:name="_Toc9632"/>
      <w:bookmarkStart w:id="483" w:name="_Toc32605"/>
      <w:bookmarkStart w:id="484" w:name="_Toc3815"/>
      <w:bookmarkStart w:id="485" w:name="_Toc16040"/>
      <w:bookmarkStart w:id="486" w:name="_Toc24392"/>
      <w:bookmarkStart w:id="487" w:name="_Toc28307"/>
      <w:bookmarkStart w:id="488" w:name="_Toc24821"/>
      <w:bookmarkStart w:id="489" w:name="_Toc28631"/>
      <w:bookmarkStart w:id="490" w:name="_Toc4359"/>
      <w:bookmarkStart w:id="491" w:name="_Toc14248"/>
      <w:bookmarkStart w:id="492" w:name="_Toc23263"/>
      <w:bookmarkStart w:id="493" w:name="_Toc24666"/>
      <w:bookmarkStart w:id="494" w:name="_Toc425372068"/>
      <w:bookmarkStart w:id="495" w:name="_Toc26411"/>
    </w:p>
    <w:p>
      <w:pPr>
        <w:keepNext w:val="0"/>
        <w:keepLines w:val="0"/>
        <w:pageBreakBefore w:val="0"/>
        <w:widowControl w:val="0"/>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第八章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保障措施</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Start w:id="496" w:name="_Toc1050"/>
      <w:bookmarkStart w:id="497" w:name="_Toc3769"/>
      <w:bookmarkStart w:id="498" w:name="_Toc29507"/>
      <w:bookmarkStart w:id="499" w:name="_Toc23935"/>
      <w:bookmarkStart w:id="500" w:name="_Toc152"/>
      <w:bookmarkStart w:id="501" w:name="_Toc2364"/>
      <w:bookmarkStart w:id="502" w:name="_Toc16025"/>
      <w:bookmarkStart w:id="503" w:name="_Toc6333"/>
      <w:bookmarkStart w:id="504" w:name="_Toc25931"/>
      <w:bookmarkStart w:id="505" w:name="_Toc6283"/>
      <w:bookmarkStart w:id="506" w:name="_Toc16222"/>
      <w:bookmarkStart w:id="507" w:name="_Toc7880"/>
      <w:bookmarkStart w:id="508" w:name="_Toc553659603"/>
      <w:bookmarkStart w:id="509" w:name="_Toc19321"/>
      <w:bookmarkStart w:id="510" w:name="_Toc10156"/>
      <w:bookmarkStart w:id="511" w:name="_Toc31592"/>
      <w:bookmarkStart w:id="512" w:name="_Toc13746"/>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第一节</w:t>
      </w:r>
      <w:bookmarkEnd w:id="496"/>
      <w:bookmarkEnd w:id="497"/>
      <w:bookmarkEnd w:id="498"/>
      <w:bookmarkEnd w:id="499"/>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加强组织领导</w:t>
      </w:r>
      <w:bookmarkEnd w:id="500"/>
      <w:bookmarkEnd w:id="501"/>
      <w:bookmarkEnd w:id="502"/>
      <w:bookmarkEnd w:id="503"/>
      <w:bookmarkEnd w:id="504"/>
      <w:bookmarkEnd w:id="505"/>
      <w:bookmarkEnd w:id="506"/>
      <w:bookmarkEnd w:id="507"/>
      <w:bookmarkEnd w:id="508"/>
      <w:bookmarkEnd w:id="509"/>
      <w:bookmarkEnd w:id="510"/>
      <w:bookmarkEnd w:id="511"/>
      <w:bookmarkEnd w:id="512"/>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各级社会信用体系建设议事协调机构要充分发挥组织领导和统筹协调作用，加强对本地区社会信用体系建设工作的指导、督促和检查。自治区社会信用体系建设议事协调机构要按照本规划要求</w:t>
      </w:r>
      <w:r>
        <w:rPr>
          <w:rFonts w:hint="eastAsia" w:ascii="仿宋" w:hAnsi="仿宋" w:eastAsia="仿宋" w:cs="仿宋"/>
          <w:b w:val="0"/>
          <w:bCs w:val="0"/>
          <w:sz w:val="32"/>
          <w:szCs w:val="32"/>
          <w:lang w:eastAsia="zh-CN"/>
        </w:rPr>
        <w:t>，制定</w:t>
      </w:r>
      <w:r>
        <w:rPr>
          <w:rFonts w:hint="eastAsia" w:ascii="仿宋" w:hAnsi="仿宋" w:eastAsia="仿宋" w:cs="仿宋"/>
          <w:b w:val="0"/>
          <w:bCs w:val="0"/>
          <w:sz w:val="32"/>
          <w:szCs w:val="32"/>
        </w:rPr>
        <w:t>年度工作要点，开展监测评估，加强督导检查。各地</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各部门根据职责分工和工作实际，制定具体落实方案，定期对本地区、相关行业社会信用体系建设情况进行总结，及时</w:t>
      </w:r>
      <w:r>
        <w:rPr>
          <w:rFonts w:hint="eastAsia" w:ascii="仿宋" w:hAnsi="仿宋" w:eastAsia="仿宋" w:cs="仿宋"/>
          <w:b w:val="0"/>
          <w:bCs w:val="0"/>
          <w:sz w:val="32"/>
          <w:szCs w:val="32"/>
          <w:lang w:eastAsia="zh-CN"/>
        </w:rPr>
        <w:t>研究解决工作中的重大问题</w:t>
      </w:r>
      <w:r>
        <w:rPr>
          <w:rFonts w:hint="eastAsia" w:ascii="仿宋" w:hAnsi="仿宋" w:eastAsia="仿宋" w:cs="仿宋"/>
          <w:b w:val="0"/>
          <w:bCs w:val="0"/>
          <w:sz w:val="32"/>
          <w:szCs w:val="32"/>
        </w:rPr>
        <w:t>，确保各项目标任务如期完成。</w:t>
      </w:r>
      <w:bookmarkStart w:id="513" w:name="_Toc1751"/>
      <w:bookmarkStart w:id="514" w:name="_Toc25724"/>
      <w:bookmarkStart w:id="515" w:name="_Toc5784"/>
      <w:bookmarkStart w:id="516" w:name="_Toc8883"/>
      <w:bookmarkStart w:id="517" w:name="_Toc30386"/>
      <w:bookmarkStart w:id="518" w:name="_Toc1064844385"/>
      <w:bookmarkStart w:id="519" w:name="_Toc32189"/>
      <w:bookmarkStart w:id="520" w:name="_Toc29223"/>
      <w:bookmarkStart w:id="521" w:name="_Toc17114"/>
      <w:bookmarkStart w:id="522" w:name="_Toc12245"/>
      <w:bookmarkStart w:id="523" w:name="_Toc12226"/>
      <w:bookmarkStart w:id="524" w:name="_Toc17760"/>
      <w:bookmarkStart w:id="525" w:name="_Toc27278"/>
      <w:bookmarkStart w:id="526" w:name="_Toc5160"/>
      <w:bookmarkStart w:id="527" w:name="_Toc25701"/>
      <w:bookmarkStart w:id="528" w:name="_Toc27397"/>
      <w:bookmarkStart w:id="529" w:name="_Toc13468"/>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第二节</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强化工作保障</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b w:val="0"/>
          <w:bCs w:val="0"/>
          <w:sz w:val="32"/>
          <w:szCs w:val="32"/>
        </w:rPr>
      </w:pPr>
      <w:r>
        <w:rPr>
          <w:rFonts w:hint="eastAsia" w:ascii="仿宋" w:hAnsi="仿宋" w:eastAsia="仿宋" w:cs="仿宋"/>
          <w:b w:val="0"/>
          <w:bCs w:val="0"/>
          <w:sz w:val="32"/>
          <w:szCs w:val="32"/>
        </w:rPr>
        <w:t>各级</w:t>
      </w:r>
      <w:r>
        <w:rPr>
          <w:rFonts w:hint="eastAsia" w:ascii="仿宋" w:hAnsi="仿宋" w:eastAsia="仿宋" w:cs="仿宋"/>
          <w:b w:val="0"/>
          <w:bCs w:val="0"/>
          <w:sz w:val="32"/>
          <w:szCs w:val="32"/>
          <w:lang w:eastAsia="zh-CN"/>
        </w:rPr>
        <w:t>人民</w:t>
      </w:r>
      <w:r>
        <w:rPr>
          <w:rFonts w:hint="eastAsia" w:ascii="仿宋" w:hAnsi="仿宋" w:eastAsia="仿宋" w:cs="仿宋"/>
          <w:b w:val="0"/>
          <w:bCs w:val="0"/>
          <w:sz w:val="32"/>
          <w:szCs w:val="32"/>
        </w:rPr>
        <w:t>政府要建立健全社会信用体系建设工作机构，充实人员力量，</w:t>
      </w:r>
      <w:r>
        <w:rPr>
          <w:rFonts w:hint="eastAsia" w:ascii="仿宋" w:hAnsi="仿宋" w:eastAsia="仿宋" w:cs="仿宋"/>
          <w:b w:val="0"/>
          <w:bCs w:val="0"/>
          <w:sz w:val="32"/>
          <w:szCs w:val="32"/>
          <w:lang w:eastAsia="zh-CN"/>
        </w:rPr>
        <w:t>加大</w:t>
      </w:r>
      <w:r>
        <w:rPr>
          <w:rFonts w:hint="eastAsia" w:ascii="仿宋" w:hAnsi="仿宋" w:eastAsia="仿宋" w:cs="仿宋"/>
          <w:b w:val="0"/>
          <w:bCs w:val="0"/>
          <w:sz w:val="32"/>
          <w:szCs w:val="32"/>
        </w:rPr>
        <w:t>对信用信息系统建设、信用标准体系建设、信用服务市场培育等方面的支持力度，将应由政府承担的信用建设相关经费纳入年度财政预算予以保障。引导社会资本投向信用服务业和信用信息应用的各领域、各环节，加快形成政府投入和社会资本有效结合、 优势互补的多元化投融资机制。</w:t>
      </w:r>
      <w:bookmarkStart w:id="530" w:name="_Toc10909"/>
      <w:bookmarkStart w:id="531" w:name="_Toc24857"/>
      <w:bookmarkStart w:id="532" w:name="_Toc24332"/>
      <w:bookmarkStart w:id="533" w:name="_Toc21502"/>
      <w:bookmarkStart w:id="534" w:name="_Toc22993"/>
      <w:bookmarkStart w:id="535" w:name="_Toc11268"/>
      <w:bookmarkStart w:id="536" w:name="_Toc17586"/>
      <w:bookmarkStart w:id="537" w:name="_Toc1181028860"/>
      <w:bookmarkStart w:id="538" w:name="_Toc141"/>
      <w:bookmarkStart w:id="539" w:name="_Toc9728"/>
      <w:bookmarkStart w:id="540" w:name="_Toc31726"/>
      <w:bookmarkStart w:id="541" w:name="_Toc28581"/>
      <w:bookmarkStart w:id="542" w:name="_Toc13014"/>
      <w:bookmarkStart w:id="543" w:name="_Toc13082"/>
      <w:bookmarkStart w:id="544" w:name="_Toc22679"/>
      <w:bookmarkStart w:id="545" w:name="_Toc24068"/>
      <w:bookmarkStart w:id="546" w:name="_Toc10385"/>
    </w:p>
    <w:p>
      <w:pPr>
        <w:keepNext w:val="0"/>
        <w:keepLines w:val="0"/>
        <w:pageBreakBefore w:val="0"/>
        <w:widowControl w:val="0"/>
        <w:numPr>
          <w:ilvl w:val="0"/>
          <w:numId w:val="0"/>
        </w:numPr>
        <w:kinsoku/>
        <w:wordWrap/>
        <w:overflowPunct/>
        <w:topLinePunct/>
        <w:autoSpaceDE/>
        <w:autoSpaceDN/>
        <w:bidi w:val="0"/>
        <w:adjustRightInd/>
        <w:snapToGrid/>
        <w:spacing w:before="313" w:beforeLines="100" w:after="313" w:afterLines="100" w:line="580" w:lineRule="exact"/>
        <w:ind w:left="0" w:leftChars="0" w:right="0" w:rightChars="0" w:firstLine="0" w:firstLineChars="0"/>
        <w:jc w:val="center"/>
        <w:textAlignment w:val="auto"/>
        <w:outlineLvl w:val="9"/>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第</w:t>
      </w:r>
      <w:bookmarkEnd w:id="530"/>
      <w:bookmarkStart w:id="547" w:name="_Toc344"/>
      <w:r>
        <w:rPr>
          <w:rFonts w:hint="eastAsia" w:ascii="楷体" w:hAnsi="楷体" w:eastAsia="楷体" w:cs="楷体"/>
          <w:b w:val="0"/>
          <w:bCs w:val="0"/>
          <w:sz w:val="32"/>
          <w:szCs w:val="32"/>
          <w:lang w:eastAsia="zh-CN"/>
        </w:rPr>
        <w:t>三节</w:t>
      </w:r>
      <w:bookmarkEnd w:id="531"/>
      <w:bookmarkEnd w:id="532"/>
      <w:bookmarkEnd w:id="547"/>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全面构建社会</w:t>
      </w:r>
      <w:bookmarkEnd w:id="533"/>
      <w:bookmarkEnd w:id="534"/>
      <w:bookmarkEnd w:id="535"/>
      <w:r>
        <w:rPr>
          <w:rFonts w:hint="eastAsia" w:ascii="楷体" w:hAnsi="楷体" w:eastAsia="楷体" w:cs="楷体"/>
          <w:b w:val="0"/>
          <w:bCs w:val="0"/>
          <w:sz w:val="32"/>
          <w:szCs w:val="32"/>
          <w:lang w:eastAsia="zh-CN"/>
        </w:rPr>
        <w:t>共建机制</w:t>
      </w:r>
      <w:bookmarkEnd w:id="536"/>
      <w:bookmarkEnd w:id="537"/>
      <w:bookmarkEnd w:id="538"/>
      <w:bookmarkEnd w:id="539"/>
      <w:bookmarkEnd w:id="540"/>
      <w:bookmarkEnd w:id="541"/>
      <w:bookmarkEnd w:id="542"/>
      <w:bookmarkEnd w:id="543"/>
      <w:bookmarkEnd w:id="544"/>
      <w:bookmarkEnd w:id="545"/>
      <w:bookmarkEnd w:id="546"/>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b w:val="0"/>
          <w:bCs w:val="0"/>
          <w:sz w:val="32"/>
          <w:szCs w:val="32"/>
        </w:rPr>
        <w:t>健全社会信用体系建设工作考核机制，把社会信用体系建设工作作为目标考核和实绩考核的重要内容，将考核结果与领导干部选拔任用、培养教育、管理监督、激励约束、问责追责等结合起来，推动社会信用体系建设各项工作任务按要求落实。各地</w:t>
      </w:r>
      <w:r>
        <w:rPr>
          <w:rFonts w:hint="eastAsia" w:ascii="仿宋" w:hAnsi="仿宋" w:eastAsia="仿宋" w:cs="仿宋"/>
          <w:b w:val="0"/>
          <w:bCs w:val="0"/>
          <w:sz w:val="32"/>
          <w:szCs w:val="32"/>
          <w:lang w:eastAsia="zh-CN"/>
        </w:rPr>
        <w:t>区</w:t>
      </w:r>
      <w:r>
        <w:rPr>
          <w:rFonts w:hint="eastAsia" w:ascii="仿宋" w:hAnsi="仿宋" w:eastAsia="仿宋" w:cs="仿宋"/>
          <w:b w:val="0"/>
          <w:bCs w:val="0"/>
          <w:sz w:val="32"/>
          <w:szCs w:val="32"/>
        </w:rPr>
        <w:t>各部门要</w:t>
      </w:r>
      <w:r>
        <w:rPr>
          <w:rFonts w:hint="eastAsia" w:ascii="仿宋" w:hAnsi="仿宋" w:eastAsia="仿宋" w:cs="仿宋"/>
          <w:b w:val="0"/>
          <w:bCs w:val="0"/>
          <w:sz w:val="32"/>
          <w:szCs w:val="32"/>
          <w:lang w:eastAsia="zh-CN"/>
        </w:rPr>
        <w:t>广泛</w:t>
      </w:r>
      <w:r>
        <w:rPr>
          <w:rFonts w:hint="eastAsia" w:ascii="仿宋" w:hAnsi="仿宋" w:eastAsia="仿宋" w:cs="仿宋"/>
          <w:b w:val="0"/>
          <w:bCs w:val="0"/>
          <w:sz w:val="32"/>
          <w:szCs w:val="32"/>
        </w:rPr>
        <w:t>调动社会各方力量参与社会信用体系建设，充分发挥诚信典型在推进社会信用体系建设中的示范带动作用，打造全社会共建共治共享的社会信用体系建设新格局。</w:t>
      </w:r>
    </w:p>
    <w:p>
      <w:pPr>
        <w:spacing w:line="560" w:lineRule="exact"/>
        <w:rPr>
          <w:sz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sz w:val="32"/>
        </w:rPr>
      </w:pPr>
    </w:p>
    <w:tbl>
      <w:tblPr>
        <w:tblStyle w:val="15"/>
        <w:tblW w:w="0" w:type="auto"/>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74"/>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trPr>
        <w:tc>
          <w:tcPr>
            <w:tcW w:w="897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trPr>
        <w:tc>
          <w:tcPr>
            <w:tcW w:w="8974"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ind w:left="210" w:leftChars="100" w:right="210" w:rightChars="100" w:firstLine="0" w:firstLineChars="0"/>
              <w:jc w:val="both"/>
              <w:textAlignment w:val="auto"/>
              <w:outlineLvl w:val="9"/>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7</w:t>
            </w:r>
            <w:r>
              <w:rPr>
                <w:rFonts w:hint="eastAsia" w:ascii="仿宋_GB2312" w:eastAsia="仿宋_GB2312"/>
                <w:sz w:val="28"/>
              </w:rPr>
              <w:t>月</w:t>
            </w:r>
            <w:r>
              <w:rPr>
                <w:rFonts w:hint="eastAsia" w:ascii="仿宋_GB2312" w:eastAsia="仿宋_GB2312"/>
                <w:sz w:val="28"/>
                <w:lang w:val="en-US" w:eastAsia="zh-CN"/>
              </w:rPr>
              <w:t>2</w:t>
            </w:r>
            <w:r>
              <w:rPr>
                <w:rFonts w:hint="eastAsia" w:ascii="仿宋_GB2312" w:eastAsia="仿宋_GB2312"/>
                <w:sz w:val="28"/>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287" w:usb1="080F0000" w:usb2="00000000" w:usb3="00000000" w:csb0="0004009F" w:csb1="DFD70000"/>
  </w:font>
  <w:font w:name="Gill Sans MT">
    <w:altName w:val="Latha"/>
    <w:panose1 w:val="020B0502020104020203"/>
    <w:charset w:val="00"/>
    <w:family w:val="swiss"/>
    <w:pitch w:val="default"/>
    <w:sig w:usb0="00000003" w:usb1="00000000" w:usb2="00000000" w:usb3="00000000" w:csb0="20000003" w:csb1="00000000"/>
  </w:font>
  <w:font w:name="Cambria">
    <w:altName w:val="Noto Sans Syriac Eastern"/>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Latha">
    <w:panose1 w:val="020B0604020202020204"/>
    <w:charset w:val="00"/>
    <w:family w:val="auto"/>
    <w:pitch w:val="default"/>
    <w:sig w:usb0="00100003" w:usb1="00000000" w:usb2="00000000" w:usb3="00000000" w:csb0="0000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272" w:y="-23"/>
      <w:rPr>
        <w:rStyle w:val="18"/>
        <w:rFonts w:hint="eastAsia" w:ascii="宋体" w:hAnsi="宋体"/>
        <w:sz w:val="28"/>
        <w:szCs w:val="28"/>
      </w:rPr>
    </w:pPr>
    <w:r>
      <w:rPr>
        <w:rFonts w:hint="eastAsia" w:ascii="宋体" w:hAnsi="宋体"/>
        <w:sz w:val="28"/>
        <w:szCs w:val="28"/>
      </w:rPr>
      <w:fldChar w:fldCharType="begin"/>
    </w:r>
    <w:r>
      <w:rPr>
        <w:rStyle w:val="18"/>
        <w:rFonts w:hint="eastAsia" w:ascii="宋体" w:hAnsi="宋体"/>
        <w:sz w:val="28"/>
        <w:szCs w:val="28"/>
      </w:rPr>
      <w:instrText xml:space="preserve">PAGE  </w:instrText>
    </w:r>
    <w:r>
      <w:rPr>
        <w:rFonts w:hint="eastAsia" w:ascii="宋体" w:hAnsi="宋体"/>
        <w:sz w:val="28"/>
        <w:szCs w:val="28"/>
      </w:rPr>
      <w:fldChar w:fldCharType="separate"/>
    </w:r>
    <w:r>
      <w:rPr>
        <w:rStyle w:val="18"/>
        <w:rFonts w:ascii="宋体" w:hAnsi="宋体"/>
        <w:sz w:val="28"/>
        <w:szCs w:val="28"/>
        <w:lang/>
      </w:rPr>
      <w:t>- 1 -</w:t>
    </w:r>
    <w:r>
      <w:rPr>
        <w:rFonts w:hint="eastAsia" w:ascii="宋体" w:hAnsi="宋体"/>
        <w:sz w:val="28"/>
        <w:szCs w:val="28"/>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892" w:y="-23"/>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lang/>
      </w:rPr>
      <w:t>- 2 -</w:t>
    </w:r>
    <w:r>
      <w:rPr>
        <w:rFonts w:ascii="宋体" w:hAnsi="宋体"/>
        <w:sz w:val="28"/>
        <w:szCs w:val="28"/>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15"/>
    <w:rsid w:val="00000D35"/>
    <w:rsid w:val="00000E8A"/>
    <w:rsid w:val="00001A5E"/>
    <w:rsid w:val="00001FEB"/>
    <w:rsid w:val="000023CF"/>
    <w:rsid w:val="00003973"/>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6190"/>
    <w:rsid w:val="00036CC9"/>
    <w:rsid w:val="00037A1D"/>
    <w:rsid w:val="0004119F"/>
    <w:rsid w:val="00041495"/>
    <w:rsid w:val="00043109"/>
    <w:rsid w:val="00043741"/>
    <w:rsid w:val="00043BA4"/>
    <w:rsid w:val="00045126"/>
    <w:rsid w:val="00045D07"/>
    <w:rsid w:val="00047737"/>
    <w:rsid w:val="0005120B"/>
    <w:rsid w:val="00052DC5"/>
    <w:rsid w:val="00053149"/>
    <w:rsid w:val="00055C21"/>
    <w:rsid w:val="00056242"/>
    <w:rsid w:val="00056556"/>
    <w:rsid w:val="00060597"/>
    <w:rsid w:val="00060CE0"/>
    <w:rsid w:val="000615CF"/>
    <w:rsid w:val="00061A18"/>
    <w:rsid w:val="00061D7D"/>
    <w:rsid w:val="0006347A"/>
    <w:rsid w:val="00064AD7"/>
    <w:rsid w:val="000671EE"/>
    <w:rsid w:val="00070196"/>
    <w:rsid w:val="000701C3"/>
    <w:rsid w:val="000702B6"/>
    <w:rsid w:val="00071DE3"/>
    <w:rsid w:val="00071E83"/>
    <w:rsid w:val="000730A2"/>
    <w:rsid w:val="0007324B"/>
    <w:rsid w:val="00074623"/>
    <w:rsid w:val="00075316"/>
    <w:rsid w:val="00076441"/>
    <w:rsid w:val="00076F96"/>
    <w:rsid w:val="00077999"/>
    <w:rsid w:val="00077AB3"/>
    <w:rsid w:val="00077AE2"/>
    <w:rsid w:val="00082970"/>
    <w:rsid w:val="000830D9"/>
    <w:rsid w:val="0008397E"/>
    <w:rsid w:val="00090E87"/>
    <w:rsid w:val="00090EB2"/>
    <w:rsid w:val="000947A6"/>
    <w:rsid w:val="00097E64"/>
    <w:rsid w:val="000A1E68"/>
    <w:rsid w:val="000A2307"/>
    <w:rsid w:val="000A26F8"/>
    <w:rsid w:val="000A3DA4"/>
    <w:rsid w:val="000A51DB"/>
    <w:rsid w:val="000A6011"/>
    <w:rsid w:val="000A7F88"/>
    <w:rsid w:val="000B0241"/>
    <w:rsid w:val="000B182B"/>
    <w:rsid w:val="000B2C2B"/>
    <w:rsid w:val="000B318D"/>
    <w:rsid w:val="000B483E"/>
    <w:rsid w:val="000B76CD"/>
    <w:rsid w:val="000C2F3D"/>
    <w:rsid w:val="000D0E03"/>
    <w:rsid w:val="000D1918"/>
    <w:rsid w:val="000D2276"/>
    <w:rsid w:val="000D46E6"/>
    <w:rsid w:val="000D4B7C"/>
    <w:rsid w:val="000D69E3"/>
    <w:rsid w:val="000E189F"/>
    <w:rsid w:val="000E242A"/>
    <w:rsid w:val="000E2690"/>
    <w:rsid w:val="000E2DE0"/>
    <w:rsid w:val="000E4A4D"/>
    <w:rsid w:val="000E5531"/>
    <w:rsid w:val="000E6931"/>
    <w:rsid w:val="000F0166"/>
    <w:rsid w:val="000F1D11"/>
    <w:rsid w:val="000F2D96"/>
    <w:rsid w:val="000F3390"/>
    <w:rsid w:val="000F3786"/>
    <w:rsid w:val="000F3C60"/>
    <w:rsid w:val="000F6AD1"/>
    <w:rsid w:val="000F7B4B"/>
    <w:rsid w:val="00100F1E"/>
    <w:rsid w:val="00102A4A"/>
    <w:rsid w:val="00104732"/>
    <w:rsid w:val="001049CB"/>
    <w:rsid w:val="00104FB1"/>
    <w:rsid w:val="001106F2"/>
    <w:rsid w:val="00110B09"/>
    <w:rsid w:val="0011191E"/>
    <w:rsid w:val="001147E4"/>
    <w:rsid w:val="00114AC4"/>
    <w:rsid w:val="00114FD2"/>
    <w:rsid w:val="001166E7"/>
    <w:rsid w:val="0011714A"/>
    <w:rsid w:val="00117691"/>
    <w:rsid w:val="001179D6"/>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6C84"/>
    <w:rsid w:val="00137385"/>
    <w:rsid w:val="00140625"/>
    <w:rsid w:val="00142107"/>
    <w:rsid w:val="00143B9A"/>
    <w:rsid w:val="00145876"/>
    <w:rsid w:val="00145C0B"/>
    <w:rsid w:val="00145D2E"/>
    <w:rsid w:val="00146899"/>
    <w:rsid w:val="00146D53"/>
    <w:rsid w:val="0014764E"/>
    <w:rsid w:val="00147907"/>
    <w:rsid w:val="00151F28"/>
    <w:rsid w:val="00153017"/>
    <w:rsid w:val="00155A0E"/>
    <w:rsid w:val="001602EE"/>
    <w:rsid w:val="001608F4"/>
    <w:rsid w:val="0016316E"/>
    <w:rsid w:val="0016554C"/>
    <w:rsid w:val="00166461"/>
    <w:rsid w:val="0016715A"/>
    <w:rsid w:val="001679C2"/>
    <w:rsid w:val="00170824"/>
    <w:rsid w:val="001711F4"/>
    <w:rsid w:val="0017273F"/>
    <w:rsid w:val="00172ABF"/>
    <w:rsid w:val="00172BDA"/>
    <w:rsid w:val="00173AA9"/>
    <w:rsid w:val="00177B68"/>
    <w:rsid w:val="00180CF8"/>
    <w:rsid w:val="00182DBF"/>
    <w:rsid w:val="00183AA6"/>
    <w:rsid w:val="001844AF"/>
    <w:rsid w:val="00184638"/>
    <w:rsid w:val="001868F2"/>
    <w:rsid w:val="00187037"/>
    <w:rsid w:val="001913D7"/>
    <w:rsid w:val="00194319"/>
    <w:rsid w:val="001948D4"/>
    <w:rsid w:val="001960ED"/>
    <w:rsid w:val="00196F67"/>
    <w:rsid w:val="00197031"/>
    <w:rsid w:val="00197198"/>
    <w:rsid w:val="001A0A30"/>
    <w:rsid w:val="001A102B"/>
    <w:rsid w:val="001A1150"/>
    <w:rsid w:val="001A1939"/>
    <w:rsid w:val="001A21E6"/>
    <w:rsid w:val="001A2BD2"/>
    <w:rsid w:val="001A3639"/>
    <w:rsid w:val="001A72B0"/>
    <w:rsid w:val="001B2E25"/>
    <w:rsid w:val="001B36FF"/>
    <w:rsid w:val="001B6A85"/>
    <w:rsid w:val="001C0E2E"/>
    <w:rsid w:val="001C21AB"/>
    <w:rsid w:val="001C291D"/>
    <w:rsid w:val="001C2A4D"/>
    <w:rsid w:val="001C2E2C"/>
    <w:rsid w:val="001C2FB0"/>
    <w:rsid w:val="001C3230"/>
    <w:rsid w:val="001C4131"/>
    <w:rsid w:val="001C472D"/>
    <w:rsid w:val="001C78E3"/>
    <w:rsid w:val="001D060B"/>
    <w:rsid w:val="001D0723"/>
    <w:rsid w:val="001D0ADB"/>
    <w:rsid w:val="001D2A39"/>
    <w:rsid w:val="001D3381"/>
    <w:rsid w:val="001D38D9"/>
    <w:rsid w:val="001D42FD"/>
    <w:rsid w:val="001D46CA"/>
    <w:rsid w:val="001D4ADA"/>
    <w:rsid w:val="001D50C7"/>
    <w:rsid w:val="001D62F3"/>
    <w:rsid w:val="001D6F26"/>
    <w:rsid w:val="001E01E4"/>
    <w:rsid w:val="001E1712"/>
    <w:rsid w:val="001E3AE1"/>
    <w:rsid w:val="001E4564"/>
    <w:rsid w:val="001E463E"/>
    <w:rsid w:val="001E48FC"/>
    <w:rsid w:val="001E4CE6"/>
    <w:rsid w:val="001E51E8"/>
    <w:rsid w:val="001E5A4A"/>
    <w:rsid w:val="001F077E"/>
    <w:rsid w:val="001F16D7"/>
    <w:rsid w:val="001F275C"/>
    <w:rsid w:val="001F4B62"/>
    <w:rsid w:val="001F53DE"/>
    <w:rsid w:val="001F5B02"/>
    <w:rsid w:val="002014F1"/>
    <w:rsid w:val="002016DC"/>
    <w:rsid w:val="00201F3B"/>
    <w:rsid w:val="00202305"/>
    <w:rsid w:val="00202C9E"/>
    <w:rsid w:val="002037DD"/>
    <w:rsid w:val="00203CAD"/>
    <w:rsid w:val="00203FE2"/>
    <w:rsid w:val="00205987"/>
    <w:rsid w:val="00205C6F"/>
    <w:rsid w:val="00206B64"/>
    <w:rsid w:val="00210B36"/>
    <w:rsid w:val="002112BA"/>
    <w:rsid w:val="00211B40"/>
    <w:rsid w:val="00212FA8"/>
    <w:rsid w:val="0021331F"/>
    <w:rsid w:val="0021430F"/>
    <w:rsid w:val="0022010B"/>
    <w:rsid w:val="00222BE8"/>
    <w:rsid w:val="00225BC5"/>
    <w:rsid w:val="00226765"/>
    <w:rsid w:val="00226786"/>
    <w:rsid w:val="002301CC"/>
    <w:rsid w:val="00230DF7"/>
    <w:rsid w:val="00233CA4"/>
    <w:rsid w:val="00236D08"/>
    <w:rsid w:val="00237D8D"/>
    <w:rsid w:val="002438BD"/>
    <w:rsid w:val="00244F58"/>
    <w:rsid w:val="00247AD2"/>
    <w:rsid w:val="002502FA"/>
    <w:rsid w:val="002508F6"/>
    <w:rsid w:val="00250CEE"/>
    <w:rsid w:val="00251582"/>
    <w:rsid w:val="002516F7"/>
    <w:rsid w:val="00253497"/>
    <w:rsid w:val="00253505"/>
    <w:rsid w:val="002537D8"/>
    <w:rsid w:val="00253D8D"/>
    <w:rsid w:val="00254C91"/>
    <w:rsid w:val="0026009A"/>
    <w:rsid w:val="00260B18"/>
    <w:rsid w:val="00261C1B"/>
    <w:rsid w:val="00263BB4"/>
    <w:rsid w:val="00264B5A"/>
    <w:rsid w:val="00265F33"/>
    <w:rsid w:val="00267011"/>
    <w:rsid w:val="002701FE"/>
    <w:rsid w:val="00271599"/>
    <w:rsid w:val="002750B4"/>
    <w:rsid w:val="002755E6"/>
    <w:rsid w:val="00277086"/>
    <w:rsid w:val="0027732C"/>
    <w:rsid w:val="00284880"/>
    <w:rsid w:val="00286092"/>
    <w:rsid w:val="00290135"/>
    <w:rsid w:val="0029606D"/>
    <w:rsid w:val="002971BE"/>
    <w:rsid w:val="002973C7"/>
    <w:rsid w:val="002A0CAD"/>
    <w:rsid w:val="002A32E1"/>
    <w:rsid w:val="002A3E00"/>
    <w:rsid w:val="002A3FF8"/>
    <w:rsid w:val="002A5246"/>
    <w:rsid w:val="002A58A4"/>
    <w:rsid w:val="002A64B4"/>
    <w:rsid w:val="002A67EB"/>
    <w:rsid w:val="002A7BF8"/>
    <w:rsid w:val="002B0F91"/>
    <w:rsid w:val="002B4292"/>
    <w:rsid w:val="002B4C83"/>
    <w:rsid w:val="002C0358"/>
    <w:rsid w:val="002C048B"/>
    <w:rsid w:val="002C1222"/>
    <w:rsid w:val="002C2088"/>
    <w:rsid w:val="002C2F22"/>
    <w:rsid w:val="002C409D"/>
    <w:rsid w:val="002C41C0"/>
    <w:rsid w:val="002C49EC"/>
    <w:rsid w:val="002C4FC3"/>
    <w:rsid w:val="002C5B09"/>
    <w:rsid w:val="002C7FAF"/>
    <w:rsid w:val="002D063C"/>
    <w:rsid w:val="002D2CF6"/>
    <w:rsid w:val="002D31DC"/>
    <w:rsid w:val="002D3F3C"/>
    <w:rsid w:val="002D4032"/>
    <w:rsid w:val="002D593F"/>
    <w:rsid w:val="002D5A5E"/>
    <w:rsid w:val="002D7462"/>
    <w:rsid w:val="002D75CA"/>
    <w:rsid w:val="002E0919"/>
    <w:rsid w:val="002E19F0"/>
    <w:rsid w:val="002E24AB"/>
    <w:rsid w:val="002E2F22"/>
    <w:rsid w:val="002E3CC3"/>
    <w:rsid w:val="002F5BA9"/>
    <w:rsid w:val="00301AC3"/>
    <w:rsid w:val="00302690"/>
    <w:rsid w:val="00302982"/>
    <w:rsid w:val="00303418"/>
    <w:rsid w:val="00311ECF"/>
    <w:rsid w:val="00316104"/>
    <w:rsid w:val="00317237"/>
    <w:rsid w:val="00320022"/>
    <w:rsid w:val="003213F7"/>
    <w:rsid w:val="00321960"/>
    <w:rsid w:val="00322E30"/>
    <w:rsid w:val="00324C04"/>
    <w:rsid w:val="00332FA7"/>
    <w:rsid w:val="003340DF"/>
    <w:rsid w:val="00334343"/>
    <w:rsid w:val="003347A0"/>
    <w:rsid w:val="00336F88"/>
    <w:rsid w:val="00340FF0"/>
    <w:rsid w:val="00341A6E"/>
    <w:rsid w:val="00342CC3"/>
    <w:rsid w:val="00343E0C"/>
    <w:rsid w:val="00344DA3"/>
    <w:rsid w:val="00346992"/>
    <w:rsid w:val="00347484"/>
    <w:rsid w:val="00350B5E"/>
    <w:rsid w:val="00350F9A"/>
    <w:rsid w:val="00351987"/>
    <w:rsid w:val="00351F4C"/>
    <w:rsid w:val="00352A64"/>
    <w:rsid w:val="0035334E"/>
    <w:rsid w:val="003557E4"/>
    <w:rsid w:val="00355E7A"/>
    <w:rsid w:val="0035696B"/>
    <w:rsid w:val="00361A29"/>
    <w:rsid w:val="0036715B"/>
    <w:rsid w:val="00367E4A"/>
    <w:rsid w:val="00371465"/>
    <w:rsid w:val="0037414E"/>
    <w:rsid w:val="0037427E"/>
    <w:rsid w:val="00375606"/>
    <w:rsid w:val="003809D1"/>
    <w:rsid w:val="00381A7A"/>
    <w:rsid w:val="00385438"/>
    <w:rsid w:val="003878A5"/>
    <w:rsid w:val="00390619"/>
    <w:rsid w:val="00390C49"/>
    <w:rsid w:val="00390EC4"/>
    <w:rsid w:val="0039202C"/>
    <w:rsid w:val="00392B94"/>
    <w:rsid w:val="00393F4B"/>
    <w:rsid w:val="00394377"/>
    <w:rsid w:val="003948FC"/>
    <w:rsid w:val="003978C8"/>
    <w:rsid w:val="003A0463"/>
    <w:rsid w:val="003A0C24"/>
    <w:rsid w:val="003A2485"/>
    <w:rsid w:val="003A264D"/>
    <w:rsid w:val="003A31A0"/>
    <w:rsid w:val="003A326C"/>
    <w:rsid w:val="003A3696"/>
    <w:rsid w:val="003A3A25"/>
    <w:rsid w:val="003A42FA"/>
    <w:rsid w:val="003A5841"/>
    <w:rsid w:val="003A59EE"/>
    <w:rsid w:val="003A66EC"/>
    <w:rsid w:val="003A6755"/>
    <w:rsid w:val="003A7983"/>
    <w:rsid w:val="003B16DE"/>
    <w:rsid w:val="003B1AA3"/>
    <w:rsid w:val="003B32B0"/>
    <w:rsid w:val="003B59D9"/>
    <w:rsid w:val="003B708C"/>
    <w:rsid w:val="003C0C2B"/>
    <w:rsid w:val="003C1EB9"/>
    <w:rsid w:val="003C3249"/>
    <w:rsid w:val="003C3EA0"/>
    <w:rsid w:val="003C419C"/>
    <w:rsid w:val="003C41EC"/>
    <w:rsid w:val="003C4942"/>
    <w:rsid w:val="003C7885"/>
    <w:rsid w:val="003D01EF"/>
    <w:rsid w:val="003D14CC"/>
    <w:rsid w:val="003D1CF0"/>
    <w:rsid w:val="003D3B34"/>
    <w:rsid w:val="003D46AE"/>
    <w:rsid w:val="003D6174"/>
    <w:rsid w:val="003E05F0"/>
    <w:rsid w:val="003E2CEA"/>
    <w:rsid w:val="003E323B"/>
    <w:rsid w:val="003E39D4"/>
    <w:rsid w:val="003E549A"/>
    <w:rsid w:val="003E5A89"/>
    <w:rsid w:val="003F1F24"/>
    <w:rsid w:val="003F5925"/>
    <w:rsid w:val="003F595E"/>
    <w:rsid w:val="003F6574"/>
    <w:rsid w:val="003F6E09"/>
    <w:rsid w:val="003F728E"/>
    <w:rsid w:val="00402EDB"/>
    <w:rsid w:val="004100FD"/>
    <w:rsid w:val="00411739"/>
    <w:rsid w:val="0041232A"/>
    <w:rsid w:val="004125FC"/>
    <w:rsid w:val="00412AD9"/>
    <w:rsid w:val="00415492"/>
    <w:rsid w:val="004178C8"/>
    <w:rsid w:val="00420CB3"/>
    <w:rsid w:val="00423C35"/>
    <w:rsid w:val="00423FA8"/>
    <w:rsid w:val="004278D4"/>
    <w:rsid w:val="00430D45"/>
    <w:rsid w:val="004316CD"/>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4820"/>
    <w:rsid w:val="0047592F"/>
    <w:rsid w:val="004767E9"/>
    <w:rsid w:val="00476AF1"/>
    <w:rsid w:val="00476C1B"/>
    <w:rsid w:val="00477EF4"/>
    <w:rsid w:val="00480A58"/>
    <w:rsid w:val="00481812"/>
    <w:rsid w:val="004823A5"/>
    <w:rsid w:val="00483191"/>
    <w:rsid w:val="00484559"/>
    <w:rsid w:val="004852B6"/>
    <w:rsid w:val="004854B1"/>
    <w:rsid w:val="00486D77"/>
    <w:rsid w:val="004876D3"/>
    <w:rsid w:val="004909BB"/>
    <w:rsid w:val="00490CC2"/>
    <w:rsid w:val="0049197F"/>
    <w:rsid w:val="00493DD9"/>
    <w:rsid w:val="00496127"/>
    <w:rsid w:val="00496CF3"/>
    <w:rsid w:val="00496D57"/>
    <w:rsid w:val="004976CC"/>
    <w:rsid w:val="004A135E"/>
    <w:rsid w:val="004A19F7"/>
    <w:rsid w:val="004A373F"/>
    <w:rsid w:val="004A464E"/>
    <w:rsid w:val="004A4859"/>
    <w:rsid w:val="004B0832"/>
    <w:rsid w:val="004B1D23"/>
    <w:rsid w:val="004B3B95"/>
    <w:rsid w:val="004B5CC9"/>
    <w:rsid w:val="004B6CE6"/>
    <w:rsid w:val="004B72BC"/>
    <w:rsid w:val="004C0FC4"/>
    <w:rsid w:val="004C1246"/>
    <w:rsid w:val="004C1EC2"/>
    <w:rsid w:val="004C4F15"/>
    <w:rsid w:val="004C5B84"/>
    <w:rsid w:val="004C61B8"/>
    <w:rsid w:val="004C7700"/>
    <w:rsid w:val="004D028D"/>
    <w:rsid w:val="004D174A"/>
    <w:rsid w:val="004D1ED6"/>
    <w:rsid w:val="004D3400"/>
    <w:rsid w:val="004D3D71"/>
    <w:rsid w:val="004D4FBD"/>
    <w:rsid w:val="004E1031"/>
    <w:rsid w:val="004E16F4"/>
    <w:rsid w:val="004E2788"/>
    <w:rsid w:val="004E28A4"/>
    <w:rsid w:val="004E3E2A"/>
    <w:rsid w:val="004E441F"/>
    <w:rsid w:val="004E4CF0"/>
    <w:rsid w:val="004E4FAC"/>
    <w:rsid w:val="004E66BE"/>
    <w:rsid w:val="004F0E59"/>
    <w:rsid w:val="004F1A93"/>
    <w:rsid w:val="004F27DA"/>
    <w:rsid w:val="004F29A2"/>
    <w:rsid w:val="004F2EAE"/>
    <w:rsid w:val="004F2FDA"/>
    <w:rsid w:val="004F49DE"/>
    <w:rsid w:val="004F4C83"/>
    <w:rsid w:val="004F564A"/>
    <w:rsid w:val="004F6088"/>
    <w:rsid w:val="0050055F"/>
    <w:rsid w:val="00501A8E"/>
    <w:rsid w:val="00501C7A"/>
    <w:rsid w:val="00502762"/>
    <w:rsid w:val="00502983"/>
    <w:rsid w:val="005045F2"/>
    <w:rsid w:val="00506021"/>
    <w:rsid w:val="00506D11"/>
    <w:rsid w:val="00506DA9"/>
    <w:rsid w:val="0051102B"/>
    <w:rsid w:val="0051110B"/>
    <w:rsid w:val="00513E02"/>
    <w:rsid w:val="005141F0"/>
    <w:rsid w:val="00514727"/>
    <w:rsid w:val="005156F7"/>
    <w:rsid w:val="0051691A"/>
    <w:rsid w:val="00520758"/>
    <w:rsid w:val="005216DB"/>
    <w:rsid w:val="00522BE1"/>
    <w:rsid w:val="00525134"/>
    <w:rsid w:val="00527055"/>
    <w:rsid w:val="00527860"/>
    <w:rsid w:val="005302E8"/>
    <w:rsid w:val="005353E5"/>
    <w:rsid w:val="00537C60"/>
    <w:rsid w:val="005403BB"/>
    <w:rsid w:val="00540508"/>
    <w:rsid w:val="00541462"/>
    <w:rsid w:val="00545692"/>
    <w:rsid w:val="00545CE2"/>
    <w:rsid w:val="005471F2"/>
    <w:rsid w:val="00547939"/>
    <w:rsid w:val="00547A51"/>
    <w:rsid w:val="0055006E"/>
    <w:rsid w:val="005528A4"/>
    <w:rsid w:val="0055343F"/>
    <w:rsid w:val="00553876"/>
    <w:rsid w:val="005538B1"/>
    <w:rsid w:val="00555B3C"/>
    <w:rsid w:val="0055684A"/>
    <w:rsid w:val="005570A3"/>
    <w:rsid w:val="00557BB6"/>
    <w:rsid w:val="005617E0"/>
    <w:rsid w:val="005623D2"/>
    <w:rsid w:val="00564AE1"/>
    <w:rsid w:val="0056793D"/>
    <w:rsid w:val="00570476"/>
    <w:rsid w:val="005758B0"/>
    <w:rsid w:val="0057593B"/>
    <w:rsid w:val="005761DA"/>
    <w:rsid w:val="00576B9B"/>
    <w:rsid w:val="005775A5"/>
    <w:rsid w:val="00577A94"/>
    <w:rsid w:val="00577CD6"/>
    <w:rsid w:val="00581C4B"/>
    <w:rsid w:val="00581C8D"/>
    <w:rsid w:val="005820C9"/>
    <w:rsid w:val="0058211A"/>
    <w:rsid w:val="005847C1"/>
    <w:rsid w:val="00585078"/>
    <w:rsid w:val="005903E6"/>
    <w:rsid w:val="005906A6"/>
    <w:rsid w:val="00590E74"/>
    <w:rsid w:val="005926C4"/>
    <w:rsid w:val="00593B63"/>
    <w:rsid w:val="005A1ABA"/>
    <w:rsid w:val="005A1F8D"/>
    <w:rsid w:val="005A4142"/>
    <w:rsid w:val="005A4542"/>
    <w:rsid w:val="005A6087"/>
    <w:rsid w:val="005A67BB"/>
    <w:rsid w:val="005A6A78"/>
    <w:rsid w:val="005A740E"/>
    <w:rsid w:val="005B0120"/>
    <w:rsid w:val="005B057B"/>
    <w:rsid w:val="005B0BCC"/>
    <w:rsid w:val="005B2090"/>
    <w:rsid w:val="005B2A3B"/>
    <w:rsid w:val="005B2AFE"/>
    <w:rsid w:val="005B39F8"/>
    <w:rsid w:val="005B3F4F"/>
    <w:rsid w:val="005B71C1"/>
    <w:rsid w:val="005C04CC"/>
    <w:rsid w:val="005C2B4E"/>
    <w:rsid w:val="005C41DC"/>
    <w:rsid w:val="005C663F"/>
    <w:rsid w:val="005C79E2"/>
    <w:rsid w:val="005D07B3"/>
    <w:rsid w:val="005D1611"/>
    <w:rsid w:val="005D4F71"/>
    <w:rsid w:val="005D6191"/>
    <w:rsid w:val="005D7703"/>
    <w:rsid w:val="005E1B04"/>
    <w:rsid w:val="005E21FA"/>
    <w:rsid w:val="005E2E59"/>
    <w:rsid w:val="005E5234"/>
    <w:rsid w:val="005E7F3F"/>
    <w:rsid w:val="005F2257"/>
    <w:rsid w:val="005F6CAA"/>
    <w:rsid w:val="00602DE5"/>
    <w:rsid w:val="0060451F"/>
    <w:rsid w:val="006049B5"/>
    <w:rsid w:val="006054BF"/>
    <w:rsid w:val="0060556C"/>
    <w:rsid w:val="00605FB9"/>
    <w:rsid w:val="006077DA"/>
    <w:rsid w:val="00613495"/>
    <w:rsid w:val="006138A9"/>
    <w:rsid w:val="00616699"/>
    <w:rsid w:val="006217C9"/>
    <w:rsid w:val="006217CD"/>
    <w:rsid w:val="00621D6B"/>
    <w:rsid w:val="00622118"/>
    <w:rsid w:val="0062268B"/>
    <w:rsid w:val="00622A7A"/>
    <w:rsid w:val="00623F3E"/>
    <w:rsid w:val="00626C25"/>
    <w:rsid w:val="00632581"/>
    <w:rsid w:val="00633C7B"/>
    <w:rsid w:val="0063404D"/>
    <w:rsid w:val="00634F1B"/>
    <w:rsid w:val="00637C25"/>
    <w:rsid w:val="00637C57"/>
    <w:rsid w:val="00640710"/>
    <w:rsid w:val="00642967"/>
    <w:rsid w:val="00643C82"/>
    <w:rsid w:val="00644794"/>
    <w:rsid w:val="0064651E"/>
    <w:rsid w:val="00655583"/>
    <w:rsid w:val="00657463"/>
    <w:rsid w:val="00657A43"/>
    <w:rsid w:val="00660860"/>
    <w:rsid w:val="00660BC7"/>
    <w:rsid w:val="0066177F"/>
    <w:rsid w:val="00661FD1"/>
    <w:rsid w:val="006631A6"/>
    <w:rsid w:val="006635EA"/>
    <w:rsid w:val="0066581C"/>
    <w:rsid w:val="0066616A"/>
    <w:rsid w:val="00670F37"/>
    <w:rsid w:val="00674510"/>
    <w:rsid w:val="0067548C"/>
    <w:rsid w:val="00677FCB"/>
    <w:rsid w:val="0068029A"/>
    <w:rsid w:val="00684358"/>
    <w:rsid w:val="00686D4F"/>
    <w:rsid w:val="00687BC5"/>
    <w:rsid w:val="006915AA"/>
    <w:rsid w:val="00691763"/>
    <w:rsid w:val="0069233D"/>
    <w:rsid w:val="006923D8"/>
    <w:rsid w:val="006A047B"/>
    <w:rsid w:val="006A28D5"/>
    <w:rsid w:val="006A3076"/>
    <w:rsid w:val="006A3B57"/>
    <w:rsid w:val="006A4BE5"/>
    <w:rsid w:val="006A55AD"/>
    <w:rsid w:val="006A574A"/>
    <w:rsid w:val="006A65EF"/>
    <w:rsid w:val="006C13F4"/>
    <w:rsid w:val="006C492D"/>
    <w:rsid w:val="006C6369"/>
    <w:rsid w:val="006D2826"/>
    <w:rsid w:val="006D44DF"/>
    <w:rsid w:val="006D547B"/>
    <w:rsid w:val="006D582C"/>
    <w:rsid w:val="006D6106"/>
    <w:rsid w:val="006D658A"/>
    <w:rsid w:val="006E0C04"/>
    <w:rsid w:val="006E16EF"/>
    <w:rsid w:val="006E1797"/>
    <w:rsid w:val="006E4894"/>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1130E"/>
    <w:rsid w:val="007124EF"/>
    <w:rsid w:val="007127EA"/>
    <w:rsid w:val="007227D3"/>
    <w:rsid w:val="00730BED"/>
    <w:rsid w:val="007327B6"/>
    <w:rsid w:val="00734C06"/>
    <w:rsid w:val="00737112"/>
    <w:rsid w:val="007375F9"/>
    <w:rsid w:val="007377CC"/>
    <w:rsid w:val="00741017"/>
    <w:rsid w:val="007418CF"/>
    <w:rsid w:val="007424F3"/>
    <w:rsid w:val="007443AD"/>
    <w:rsid w:val="00745BA7"/>
    <w:rsid w:val="00745F2F"/>
    <w:rsid w:val="007469D2"/>
    <w:rsid w:val="0075198B"/>
    <w:rsid w:val="007543DE"/>
    <w:rsid w:val="00756068"/>
    <w:rsid w:val="007566F0"/>
    <w:rsid w:val="00756889"/>
    <w:rsid w:val="00760780"/>
    <w:rsid w:val="00762DF9"/>
    <w:rsid w:val="00763624"/>
    <w:rsid w:val="0076441E"/>
    <w:rsid w:val="0076657F"/>
    <w:rsid w:val="007747F0"/>
    <w:rsid w:val="00774858"/>
    <w:rsid w:val="00774B22"/>
    <w:rsid w:val="00777A09"/>
    <w:rsid w:val="007837F3"/>
    <w:rsid w:val="007904A7"/>
    <w:rsid w:val="007916F6"/>
    <w:rsid w:val="00792433"/>
    <w:rsid w:val="00792FEE"/>
    <w:rsid w:val="00794C4E"/>
    <w:rsid w:val="007959CA"/>
    <w:rsid w:val="007963A2"/>
    <w:rsid w:val="007A397A"/>
    <w:rsid w:val="007A6F05"/>
    <w:rsid w:val="007B6642"/>
    <w:rsid w:val="007C0BBE"/>
    <w:rsid w:val="007C5CDC"/>
    <w:rsid w:val="007C6688"/>
    <w:rsid w:val="007C6DEF"/>
    <w:rsid w:val="007C7C36"/>
    <w:rsid w:val="007D1C46"/>
    <w:rsid w:val="007D340E"/>
    <w:rsid w:val="007D5A8A"/>
    <w:rsid w:val="007D62CA"/>
    <w:rsid w:val="007D66C2"/>
    <w:rsid w:val="007D765B"/>
    <w:rsid w:val="007E04FC"/>
    <w:rsid w:val="007E0BFD"/>
    <w:rsid w:val="007E158B"/>
    <w:rsid w:val="007E20CA"/>
    <w:rsid w:val="007E39E0"/>
    <w:rsid w:val="007F042D"/>
    <w:rsid w:val="007F0737"/>
    <w:rsid w:val="007F0940"/>
    <w:rsid w:val="007F19AC"/>
    <w:rsid w:val="007F1E62"/>
    <w:rsid w:val="007F24F6"/>
    <w:rsid w:val="007F2A0D"/>
    <w:rsid w:val="007F2A7E"/>
    <w:rsid w:val="007F4BFB"/>
    <w:rsid w:val="007F552B"/>
    <w:rsid w:val="007F63EC"/>
    <w:rsid w:val="007F6516"/>
    <w:rsid w:val="007F75F0"/>
    <w:rsid w:val="00800C47"/>
    <w:rsid w:val="00803F1B"/>
    <w:rsid w:val="00804C20"/>
    <w:rsid w:val="008056A7"/>
    <w:rsid w:val="00805852"/>
    <w:rsid w:val="00805B22"/>
    <w:rsid w:val="00807C30"/>
    <w:rsid w:val="00810805"/>
    <w:rsid w:val="00810F55"/>
    <w:rsid w:val="00811A91"/>
    <w:rsid w:val="00814958"/>
    <w:rsid w:val="008149CF"/>
    <w:rsid w:val="00816CA5"/>
    <w:rsid w:val="00817FC3"/>
    <w:rsid w:val="00820F78"/>
    <w:rsid w:val="00821546"/>
    <w:rsid w:val="00823E54"/>
    <w:rsid w:val="00824A4E"/>
    <w:rsid w:val="008254E7"/>
    <w:rsid w:val="008269B8"/>
    <w:rsid w:val="0082724C"/>
    <w:rsid w:val="00831779"/>
    <w:rsid w:val="00831F69"/>
    <w:rsid w:val="008340E1"/>
    <w:rsid w:val="0083477F"/>
    <w:rsid w:val="00834F2F"/>
    <w:rsid w:val="00837152"/>
    <w:rsid w:val="00837596"/>
    <w:rsid w:val="00840886"/>
    <w:rsid w:val="008408A0"/>
    <w:rsid w:val="00846E88"/>
    <w:rsid w:val="008501A5"/>
    <w:rsid w:val="00851CC6"/>
    <w:rsid w:val="008525CB"/>
    <w:rsid w:val="00852BDE"/>
    <w:rsid w:val="00854447"/>
    <w:rsid w:val="00854ADE"/>
    <w:rsid w:val="008575E9"/>
    <w:rsid w:val="008576F0"/>
    <w:rsid w:val="00857C89"/>
    <w:rsid w:val="00857FE1"/>
    <w:rsid w:val="008611F2"/>
    <w:rsid w:val="00861E1F"/>
    <w:rsid w:val="00861EE2"/>
    <w:rsid w:val="00862598"/>
    <w:rsid w:val="00863CC9"/>
    <w:rsid w:val="00864151"/>
    <w:rsid w:val="00865C0D"/>
    <w:rsid w:val="00867F1E"/>
    <w:rsid w:val="008707CA"/>
    <w:rsid w:val="00870E4D"/>
    <w:rsid w:val="00871650"/>
    <w:rsid w:val="00872A55"/>
    <w:rsid w:val="00873542"/>
    <w:rsid w:val="00880C71"/>
    <w:rsid w:val="0088117B"/>
    <w:rsid w:val="00882531"/>
    <w:rsid w:val="0088714E"/>
    <w:rsid w:val="00887FA5"/>
    <w:rsid w:val="008926B7"/>
    <w:rsid w:val="0089561E"/>
    <w:rsid w:val="008A0590"/>
    <w:rsid w:val="008B063A"/>
    <w:rsid w:val="008B07B4"/>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089F"/>
    <w:rsid w:val="008E1E2A"/>
    <w:rsid w:val="008E277B"/>
    <w:rsid w:val="008E3748"/>
    <w:rsid w:val="008E37FB"/>
    <w:rsid w:val="008E45DE"/>
    <w:rsid w:val="008E765D"/>
    <w:rsid w:val="008F6EA5"/>
    <w:rsid w:val="008F733C"/>
    <w:rsid w:val="009014EF"/>
    <w:rsid w:val="009031E4"/>
    <w:rsid w:val="00904292"/>
    <w:rsid w:val="00906F26"/>
    <w:rsid w:val="00910626"/>
    <w:rsid w:val="00910AC9"/>
    <w:rsid w:val="0091236B"/>
    <w:rsid w:val="009135EF"/>
    <w:rsid w:val="009150AA"/>
    <w:rsid w:val="00915B06"/>
    <w:rsid w:val="009167EA"/>
    <w:rsid w:val="00916E26"/>
    <w:rsid w:val="00917CF5"/>
    <w:rsid w:val="00920346"/>
    <w:rsid w:val="009203AD"/>
    <w:rsid w:val="00920BA7"/>
    <w:rsid w:val="00921D50"/>
    <w:rsid w:val="009234CC"/>
    <w:rsid w:val="00923ABF"/>
    <w:rsid w:val="009257CF"/>
    <w:rsid w:val="00926D34"/>
    <w:rsid w:val="00926E93"/>
    <w:rsid w:val="00927FAF"/>
    <w:rsid w:val="00930C66"/>
    <w:rsid w:val="00931453"/>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47C84"/>
    <w:rsid w:val="00951EE7"/>
    <w:rsid w:val="00956CA1"/>
    <w:rsid w:val="00956FA2"/>
    <w:rsid w:val="00957FC8"/>
    <w:rsid w:val="0096020A"/>
    <w:rsid w:val="00960DBD"/>
    <w:rsid w:val="00960E8B"/>
    <w:rsid w:val="009618C6"/>
    <w:rsid w:val="00964BAE"/>
    <w:rsid w:val="0096652B"/>
    <w:rsid w:val="00967743"/>
    <w:rsid w:val="009700AC"/>
    <w:rsid w:val="00970E4B"/>
    <w:rsid w:val="0097162D"/>
    <w:rsid w:val="0097473C"/>
    <w:rsid w:val="00974D3A"/>
    <w:rsid w:val="0097594A"/>
    <w:rsid w:val="00977B8C"/>
    <w:rsid w:val="00980419"/>
    <w:rsid w:val="00980D23"/>
    <w:rsid w:val="009827C7"/>
    <w:rsid w:val="00983562"/>
    <w:rsid w:val="00985847"/>
    <w:rsid w:val="00985E2D"/>
    <w:rsid w:val="0098618F"/>
    <w:rsid w:val="00990379"/>
    <w:rsid w:val="0099164F"/>
    <w:rsid w:val="009928C5"/>
    <w:rsid w:val="00993787"/>
    <w:rsid w:val="00994467"/>
    <w:rsid w:val="00994538"/>
    <w:rsid w:val="00995057"/>
    <w:rsid w:val="0099782D"/>
    <w:rsid w:val="00997D7A"/>
    <w:rsid w:val="009A01BD"/>
    <w:rsid w:val="009A1E22"/>
    <w:rsid w:val="009A323D"/>
    <w:rsid w:val="009A4D6E"/>
    <w:rsid w:val="009A54A9"/>
    <w:rsid w:val="009B0F62"/>
    <w:rsid w:val="009B398D"/>
    <w:rsid w:val="009B4126"/>
    <w:rsid w:val="009B4573"/>
    <w:rsid w:val="009B5ABF"/>
    <w:rsid w:val="009B6906"/>
    <w:rsid w:val="009B7459"/>
    <w:rsid w:val="009B7AF2"/>
    <w:rsid w:val="009B7E26"/>
    <w:rsid w:val="009C0CFE"/>
    <w:rsid w:val="009C323E"/>
    <w:rsid w:val="009C3D15"/>
    <w:rsid w:val="009D16DF"/>
    <w:rsid w:val="009D1830"/>
    <w:rsid w:val="009D1AC9"/>
    <w:rsid w:val="009D1DF7"/>
    <w:rsid w:val="009D357D"/>
    <w:rsid w:val="009D3B7A"/>
    <w:rsid w:val="009D417C"/>
    <w:rsid w:val="009D455E"/>
    <w:rsid w:val="009D515D"/>
    <w:rsid w:val="009E25B1"/>
    <w:rsid w:val="009E41F1"/>
    <w:rsid w:val="009E6969"/>
    <w:rsid w:val="009F0CA7"/>
    <w:rsid w:val="009F13D4"/>
    <w:rsid w:val="009F14F1"/>
    <w:rsid w:val="009F1CFB"/>
    <w:rsid w:val="009F1DFF"/>
    <w:rsid w:val="009F35D0"/>
    <w:rsid w:val="009F3B9B"/>
    <w:rsid w:val="009F5A1E"/>
    <w:rsid w:val="009F5E43"/>
    <w:rsid w:val="009F69BD"/>
    <w:rsid w:val="009F69DB"/>
    <w:rsid w:val="009F6E0B"/>
    <w:rsid w:val="00A0130C"/>
    <w:rsid w:val="00A013CD"/>
    <w:rsid w:val="00A027F4"/>
    <w:rsid w:val="00A0337F"/>
    <w:rsid w:val="00A038CD"/>
    <w:rsid w:val="00A055DB"/>
    <w:rsid w:val="00A0595F"/>
    <w:rsid w:val="00A06A1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1FC"/>
    <w:rsid w:val="00A223A7"/>
    <w:rsid w:val="00A22CDE"/>
    <w:rsid w:val="00A22ED2"/>
    <w:rsid w:val="00A23026"/>
    <w:rsid w:val="00A23044"/>
    <w:rsid w:val="00A26DD8"/>
    <w:rsid w:val="00A3282B"/>
    <w:rsid w:val="00A3667B"/>
    <w:rsid w:val="00A41CDE"/>
    <w:rsid w:val="00A42678"/>
    <w:rsid w:val="00A44782"/>
    <w:rsid w:val="00A45AB4"/>
    <w:rsid w:val="00A45C68"/>
    <w:rsid w:val="00A51056"/>
    <w:rsid w:val="00A52ADA"/>
    <w:rsid w:val="00A5379D"/>
    <w:rsid w:val="00A54A96"/>
    <w:rsid w:val="00A55F01"/>
    <w:rsid w:val="00A5779D"/>
    <w:rsid w:val="00A62053"/>
    <w:rsid w:val="00A65FCD"/>
    <w:rsid w:val="00A66B95"/>
    <w:rsid w:val="00A67E61"/>
    <w:rsid w:val="00A70EC8"/>
    <w:rsid w:val="00A72406"/>
    <w:rsid w:val="00A746B2"/>
    <w:rsid w:val="00A74FC4"/>
    <w:rsid w:val="00A76C4F"/>
    <w:rsid w:val="00A8034A"/>
    <w:rsid w:val="00A81344"/>
    <w:rsid w:val="00A8144C"/>
    <w:rsid w:val="00A82198"/>
    <w:rsid w:val="00A85729"/>
    <w:rsid w:val="00A869B9"/>
    <w:rsid w:val="00A871E1"/>
    <w:rsid w:val="00A872AA"/>
    <w:rsid w:val="00A87303"/>
    <w:rsid w:val="00A90EDA"/>
    <w:rsid w:val="00A91C4C"/>
    <w:rsid w:val="00A925C8"/>
    <w:rsid w:val="00A93C26"/>
    <w:rsid w:val="00A9486C"/>
    <w:rsid w:val="00A94FB8"/>
    <w:rsid w:val="00A960A8"/>
    <w:rsid w:val="00A96790"/>
    <w:rsid w:val="00A972D5"/>
    <w:rsid w:val="00AA07BD"/>
    <w:rsid w:val="00AA3212"/>
    <w:rsid w:val="00AA3545"/>
    <w:rsid w:val="00AA4BD1"/>
    <w:rsid w:val="00AA5D7B"/>
    <w:rsid w:val="00AB27A7"/>
    <w:rsid w:val="00AB38D9"/>
    <w:rsid w:val="00AB7DAC"/>
    <w:rsid w:val="00AC1974"/>
    <w:rsid w:val="00AC2132"/>
    <w:rsid w:val="00AC30D8"/>
    <w:rsid w:val="00AC4D0F"/>
    <w:rsid w:val="00AC57C6"/>
    <w:rsid w:val="00AC5978"/>
    <w:rsid w:val="00AC6193"/>
    <w:rsid w:val="00AC685E"/>
    <w:rsid w:val="00AD04B0"/>
    <w:rsid w:val="00AD0907"/>
    <w:rsid w:val="00AD29ED"/>
    <w:rsid w:val="00AD2C77"/>
    <w:rsid w:val="00AD3CC0"/>
    <w:rsid w:val="00AD5212"/>
    <w:rsid w:val="00AD57D5"/>
    <w:rsid w:val="00AE10AE"/>
    <w:rsid w:val="00AE14C5"/>
    <w:rsid w:val="00AE16B5"/>
    <w:rsid w:val="00AE36EC"/>
    <w:rsid w:val="00AE43B0"/>
    <w:rsid w:val="00AE4548"/>
    <w:rsid w:val="00AE4C6F"/>
    <w:rsid w:val="00AE5AAD"/>
    <w:rsid w:val="00AE5CC0"/>
    <w:rsid w:val="00AE688F"/>
    <w:rsid w:val="00AF04FF"/>
    <w:rsid w:val="00AF0A6F"/>
    <w:rsid w:val="00AF2682"/>
    <w:rsid w:val="00AF31FA"/>
    <w:rsid w:val="00AF375F"/>
    <w:rsid w:val="00AF400E"/>
    <w:rsid w:val="00AF4411"/>
    <w:rsid w:val="00AF51A3"/>
    <w:rsid w:val="00AF53DE"/>
    <w:rsid w:val="00AF55D3"/>
    <w:rsid w:val="00AF5E77"/>
    <w:rsid w:val="00AF6933"/>
    <w:rsid w:val="00AF7027"/>
    <w:rsid w:val="00B00D15"/>
    <w:rsid w:val="00B041F1"/>
    <w:rsid w:val="00B05A19"/>
    <w:rsid w:val="00B05C1E"/>
    <w:rsid w:val="00B0602B"/>
    <w:rsid w:val="00B065B9"/>
    <w:rsid w:val="00B06D59"/>
    <w:rsid w:val="00B072C5"/>
    <w:rsid w:val="00B07A9F"/>
    <w:rsid w:val="00B119FC"/>
    <w:rsid w:val="00B12051"/>
    <w:rsid w:val="00B1350C"/>
    <w:rsid w:val="00B13789"/>
    <w:rsid w:val="00B15D33"/>
    <w:rsid w:val="00B162C3"/>
    <w:rsid w:val="00B21A53"/>
    <w:rsid w:val="00B22EA7"/>
    <w:rsid w:val="00B246E2"/>
    <w:rsid w:val="00B269DB"/>
    <w:rsid w:val="00B31D81"/>
    <w:rsid w:val="00B332D7"/>
    <w:rsid w:val="00B3342A"/>
    <w:rsid w:val="00B406F3"/>
    <w:rsid w:val="00B40DCF"/>
    <w:rsid w:val="00B41574"/>
    <w:rsid w:val="00B43C7B"/>
    <w:rsid w:val="00B4489A"/>
    <w:rsid w:val="00B4656E"/>
    <w:rsid w:val="00B46985"/>
    <w:rsid w:val="00B47AB4"/>
    <w:rsid w:val="00B50190"/>
    <w:rsid w:val="00B509ED"/>
    <w:rsid w:val="00B51750"/>
    <w:rsid w:val="00B54162"/>
    <w:rsid w:val="00B542D3"/>
    <w:rsid w:val="00B560B0"/>
    <w:rsid w:val="00B56A1E"/>
    <w:rsid w:val="00B57284"/>
    <w:rsid w:val="00B6035B"/>
    <w:rsid w:val="00B60693"/>
    <w:rsid w:val="00B64E58"/>
    <w:rsid w:val="00B666ED"/>
    <w:rsid w:val="00B70DED"/>
    <w:rsid w:val="00B7317D"/>
    <w:rsid w:val="00B73E35"/>
    <w:rsid w:val="00B75402"/>
    <w:rsid w:val="00B76556"/>
    <w:rsid w:val="00B7666D"/>
    <w:rsid w:val="00B836D5"/>
    <w:rsid w:val="00B840AB"/>
    <w:rsid w:val="00B84FE0"/>
    <w:rsid w:val="00B879F0"/>
    <w:rsid w:val="00B90C4D"/>
    <w:rsid w:val="00B92C79"/>
    <w:rsid w:val="00B952EB"/>
    <w:rsid w:val="00B96270"/>
    <w:rsid w:val="00B9642D"/>
    <w:rsid w:val="00B97680"/>
    <w:rsid w:val="00BA069E"/>
    <w:rsid w:val="00BA0EAF"/>
    <w:rsid w:val="00BA12FD"/>
    <w:rsid w:val="00BA16B1"/>
    <w:rsid w:val="00BA3605"/>
    <w:rsid w:val="00BA5DE0"/>
    <w:rsid w:val="00BA69BB"/>
    <w:rsid w:val="00BA7956"/>
    <w:rsid w:val="00BA7B67"/>
    <w:rsid w:val="00BB143A"/>
    <w:rsid w:val="00BB77ED"/>
    <w:rsid w:val="00BC07D9"/>
    <w:rsid w:val="00BC0F68"/>
    <w:rsid w:val="00BC5ACB"/>
    <w:rsid w:val="00BD0A62"/>
    <w:rsid w:val="00BD0B0A"/>
    <w:rsid w:val="00BD156F"/>
    <w:rsid w:val="00BD1AAA"/>
    <w:rsid w:val="00BD1E82"/>
    <w:rsid w:val="00BD3403"/>
    <w:rsid w:val="00BD3778"/>
    <w:rsid w:val="00BD384E"/>
    <w:rsid w:val="00BD4B1D"/>
    <w:rsid w:val="00BD6CB8"/>
    <w:rsid w:val="00BE03FB"/>
    <w:rsid w:val="00BE1A66"/>
    <w:rsid w:val="00BE25B8"/>
    <w:rsid w:val="00BE4DF4"/>
    <w:rsid w:val="00BE5150"/>
    <w:rsid w:val="00BE5638"/>
    <w:rsid w:val="00BF0043"/>
    <w:rsid w:val="00BF04ED"/>
    <w:rsid w:val="00BF37DC"/>
    <w:rsid w:val="00BF60EE"/>
    <w:rsid w:val="00BF7550"/>
    <w:rsid w:val="00C0138E"/>
    <w:rsid w:val="00C023A4"/>
    <w:rsid w:val="00C024D1"/>
    <w:rsid w:val="00C03B39"/>
    <w:rsid w:val="00C03DAB"/>
    <w:rsid w:val="00C0403E"/>
    <w:rsid w:val="00C05D5F"/>
    <w:rsid w:val="00C062CC"/>
    <w:rsid w:val="00C06C13"/>
    <w:rsid w:val="00C076E1"/>
    <w:rsid w:val="00C10609"/>
    <w:rsid w:val="00C1296E"/>
    <w:rsid w:val="00C168B8"/>
    <w:rsid w:val="00C16B94"/>
    <w:rsid w:val="00C2004B"/>
    <w:rsid w:val="00C22AFA"/>
    <w:rsid w:val="00C23458"/>
    <w:rsid w:val="00C2435C"/>
    <w:rsid w:val="00C24A34"/>
    <w:rsid w:val="00C25C31"/>
    <w:rsid w:val="00C275DE"/>
    <w:rsid w:val="00C344E7"/>
    <w:rsid w:val="00C34C2B"/>
    <w:rsid w:val="00C34C54"/>
    <w:rsid w:val="00C36A3C"/>
    <w:rsid w:val="00C41E8A"/>
    <w:rsid w:val="00C44187"/>
    <w:rsid w:val="00C45199"/>
    <w:rsid w:val="00C45A4C"/>
    <w:rsid w:val="00C471EE"/>
    <w:rsid w:val="00C5090D"/>
    <w:rsid w:val="00C516A1"/>
    <w:rsid w:val="00C517FA"/>
    <w:rsid w:val="00C531FF"/>
    <w:rsid w:val="00C53663"/>
    <w:rsid w:val="00C543E3"/>
    <w:rsid w:val="00C54463"/>
    <w:rsid w:val="00C608AF"/>
    <w:rsid w:val="00C61E98"/>
    <w:rsid w:val="00C625FA"/>
    <w:rsid w:val="00C644C7"/>
    <w:rsid w:val="00C659D0"/>
    <w:rsid w:val="00C65F6B"/>
    <w:rsid w:val="00C65F9B"/>
    <w:rsid w:val="00C66275"/>
    <w:rsid w:val="00C66A8C"/>
    <w:rsid w:val="00C70168"/>
    <w:rsid w:val="00C70F21"/>
    <w:rsid w:val="00C71935"/>
    <w:rsid w:val="00C72875"/>
    <w:rsid w:val="00C72993"/>
    <w:rsid w:val="00C74245"/>
    <w:rsid w:val="00C757DA"/>
    <w:rsid w:val="00C77A95"/>
    <w:rsid w:val="00C80569"/>
    <w:rsid w:val="00C81A60"/>
    <w:rsid w:val="00C824B1"/>
    <w:rsid w:val="00C827DA"/>
    <w:rsid w:val="00C82864"/>
    <w:rsid w:val="00C8455D"/>
    <w:rsid w:val="00C86D95"/>
    <w:rsid w:val="00C9024D"/>
    <w:rsid w:val="00C903C3"/>
    <w:rsid w:val="00C9086C"/>
    <w:rsid w:val="00C91FF9"/>
    <w:rsid w:val="00C92F43"/>
    <w:rsid w:val="00C944E5"/>
    <w:rsid w:val="00C947A8"/>
    <w:rsid w:val="00C96C55"/>
    <w:rsid w:val="00C96FC0"/>
    <w:rsid w:val="00CA297C"/>
    <w:rsid w:val="00CA30D7"/>
    <w:rsid w:val="00CA4F90"/>
    <w:rsid w:val="00CA675A"/>
    <w:rsid w:val="00CB3AE8"/>
    <w:rsid w:val="00CB3EA3"/>
    <w:rsid w:val="00CB4F87"/>
    <w:rsid w:val="00CB5D2C"/>
    <w:rsid w:val="00CC14E4"/>
    <w:rsid w:val="00CC187F"/>
    <w:rsid w:val="00CC2443"/>
    <w:rsid w:val="00CC5B75"/>
    <w:rsid w:val="00CD1675"/>
    <w:rsid w:val="00CD399D"/>
    <w:rsid w:val="00CD4642"/>
    <w:rsid w:val="00CD5308"/>
    <w:rsid w:val="00CD5BA3"/>
    <w:rsid w:val="00CD74E1"/>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4BFF"/>
    <w:rsid w:val="00D169D7"/>
    <w:rsid w:val="00D178DE"/>
    <w:rsid w:val="00D202DB"/>
    <w:rsid w:val="00D21A57"/>
    <w:rsid w:val="00D2210B"/>
    <w:rsid w:val="00D222CE"/>
    <w:rsid w:val="00D252DC"/>
    <w:rsid w:val="00D3737D"/>
    <w:rsid w:val="00D37406"/>
    <w:rsid w:val="00D377BF"/>
    <w:rsid w:val="00D37D2A"/>
    <w:rsid w:val="00D4207E"/>
    <w:rsid w:val="00D44386"/>
    <w:rsid w:val="00D444F3"/>
    <w:rsid w:val="00D454EF"/>
    <w:rsid w:val="00D4554B"/>
    <w:rsid w:val="00D52C1D"/>
    <w:rsid w:val="00D530AF"/>
    <w:rsid w:val="00D54955"/>
    <w:rsid w:val="00D54B07"/>
    <w:rsid w:val="00D55776"/>
    <w:rsid w:val="00D60772"/>
    <w:rsid w:val="00D60B47"/>
    <w:rsid w:val="00D616FD"/>
    <w:rsid w:val="00D6281A"/>
    <w:rsid w:val="00D719F3"/>
    <w:rsid w:val="00D721B4"/>
    <w:rsid w:val="00D7249E"/>
    <w:rsid w:val="00D74F18"/>
    <w:rsid w:val="00D77A29"/>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4B0"/>
    <w:rsid w:val="00DA1925"/>
    <w:rsid w:val="00DA35CA"/>
    <w:rsid w:val="00DA70FF"/>
    <w:rsid w:val="00DB0CCF"/>
    <w:rsid w:val="00DB31AD"/>
    <w:rsid w:val="00DB4518"/>
    <w:rsid w:val="00DB69F4"/>
    <w:rsid w:val="00DB6B93"/>
    <w:rsid w:val="00DB6C2C"/>
    <w:rsid w:val="00DC0A4B"/>
    <w:rsid w:val="00DC0E75"/>
    <w:rsid w:val="00DC0E9B"/>
    <w:rsid w:val="00DC21CC"/>
    <w:rsid w:val="00DC73F9"/>
    <w:rsid w:val="00DC75C0"/>
    <w:rsid w:val="00DC7CCD"/>
    <w:rsid w:val="00DD19B7"/>
    <w:rsid w:val="00DD22BC"/>
    <w:rsid w:val="00DD2998"/>
    <w:rsid w:val="00DE279C"/>
    <w:rsid w:val="00DE52B4"/>
    <w:rsid w:val="00DE605E"/>
    <w:rsid w:val="00DF0069"/>
    <w:rsid w:val="00DF0CCC"/>
    <w:rsid w:val="00DF14B1"/>
    <w:rsid w:val="00DF1A59"/>
    <w:rsid w:val="00DF35B5"/>
    <w:rsid w:val="00DF5C32"/>
    <w:rsid w:val="00DF5F69"/>
    <w:rsid w:val="00DF641D"/>
    <w:rsid w:val="00DF756C"/>
    <w:rsid w:val="00DF761C"/>
    <w:rsid w:val="00E0152C"/>
    <w:rsid w:val="00E04B90"/>
    <w:rsid w:val="00E05300"/>
    <w:rsid w:val="00E06052"/>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A03"/>
    <w:rsid w:val="00E24E5D"/>
    <w:rsid w:val="00E3217C"/>
    <w:rsid w:val="00E36741"/>
    <w:rsid w:val="00E373AE"/>
    <w:rsid w:val="00E41597"/>
    <w:rsid w:val="00E4172D"/>
    <w:rsid w:val="00E4182E"/>
    <w:rsid w:val="00E446B2"/>
    <w:rsid w:val="00E469B7"/>
    <w:rsid w:val="00E50413"/>
    <w:rsid w:val="00E55935"/>
    <w:rsid w:val="00E57237"/>
    <w:rsid w:val="00E61206"/>
    <w:rsid w:val="00E63F89"/>
    <w:rsid w:val="00E64BFD"/>
    <w:rsid w:val="00E64C4D"/>
    <w:rsid w:val="00E64EBF"/>
    <w:rsid w:val="00E657ED"/>
    <w:rsid w:val="00E677DB"/>
    <w:rsid w:val="00E70383"/>
    <w:rsid w:val="00E709DB"/>
    <w:rsid w:val="00E70F83"/>
    <w:rsid w:val="00E73A09"/>
    <w:rsid w:val="00E75B4B"/>
    <w:rsid w:val="00E777BF"/>
    <w:rsid w:val="00E77D96"/>
    <w:rsid w:val="00E8016B"/>
    <w:rsid w:val="00E80617"/>
    <w:rsid w:val="00E8163D"/>
    <w:rsid w:val="00E838FD"/>
    <w:rsid w:val="00E85B61"/>
    <w:rsid w:val="00E87088"/>
    <w:rsid w:val="00E907EF"/>
    <w:rsid w:val="00E91028"/>
    <w:rsid w:val="00E930C8"/>
    <w:rsid w:val="00E9572B"/>
    <w:rsid w:val="00E95E66"/>
    <w:rsid w:val="00E966C3"/>
    <w:rsid w:val="00E97D6F"/>
    <w:rsid w:val="00E97EB0"/>
    <w:rsid w:val="00EA1B07"/>
    <w:rsid w:val="00EA30E7"/>
    <w:rsid w:val="00EA42FC"/>
    <w:rsid w:val="00EA5D2D"/>
    <w:rsid w:val="00EA7BC4"/>
    <w:rsid w:val="00EB2461"/>
    <w:rsid w:val="00EB67DA"/>
    <w:rsid w:val="00EC182A"/>
    <w:rsid w:val="00EC29B6"/>
    <w:rsid w:val="00EC2E26"/>
    <w:rsid w:val="00EC6399"/>
    <w:rsid w:val="00EC7B6C"/>
    <w:rsid w:val="00ED00C1"/>
    <w:rsid w:val="00ED059D"/>
    <w:rsid w:val="00ED09BA"/>
    <w:rsid w:val="00ED11DD"/>
    <w:rsid w:val="00ED3579"/>
    <w:rsid w:val="00ED36C0"/>
    <w:rsid w:val="00ED6C3E"/>
    <w:rsid w:val="00ED6EE5"/>
    <w:rsid w:val="00ED7EF1"/>
    <w:rsid w:val="00EE3444"/>
    <w:rsid w:val="00EE610D"/>
    <w:rsid w:val="00EE642A"/>
    <w:rsid w:val="00EE6A58"/>
    <w:rsid w:val="00EE6C36"/>
    <w:rsid w:val="00EE6D08"/>
    <w:rsid w:val="00EF3F10"/>
    <w:rsid w:val="00EF59D3"/>
    <w:rsid w:val="00EF7BA0"/>
    <w:rsid w:val="00F00288"/>
    <w:rsid w:val="00F021AB"/>
    <w:rsid w:val="00F03745"/>
    <w:rsid w:val="00F03899"/>
    <w:rsid w:val="00F04598"/>
    <w:rsid w:val="00F071AA"/>
    <w:rsid w:val="00F07B6F"/>
    <w:rsid w:val="00F10329"/>
    <w:rsid w:val="00F10DCD"/>
    <w:rsid w:val="00F12718"/>
    <w:rsid w:val="00F12B22"/>
    <w:rsid w:val="00F13C9F"/>
    <w:rsid w:val="00F14EF6"/>
    <w:rsid w:val="00F16E43"/>
    <w:rsid w:val="00F16FED"/>
    <w:rsid w:val="00F17570"/>
    <w:rsid w:val="00F20D57"/>
    <w:rsid w:val="00F21F2E"/>
    <w:rsid w:val="00F22550"/>
    <w:rsid w:val="00F23334"/>
    <w:rsid w:val="00F2738E"/>
    <w:rsid w:val="00F3016E"/>
    <w:rsid w:val="00F3119C"/>
    <w:rsid w:val="00F33BEB"/>
    <w:rsid w:val="00F379AA"/>
    <w:rsid w:val="00F44761"/>
    <w:rsid w:val="00F46AB3"/>
    <w:rsid w:val="00F474B2"/>
    <w:rsid w:val="00F50369"/>
    <w:rsid w:val="00F50692"/>
    <w:rsid w:val="00F5173D"/>
    <w:rsid w:val="00F52276"/>
    <w:rsid w:val="00F538D6"/>
    <w:rsid w:val="00F543CE"/>
    <w:rsid w:val="00F565B8"/>
    <w:rsid w:val="00F575A7"/>
    <w:rsid w:val="00F60831"/>
    <w:rsid w:val="00F62306"/>
    <w:rsid w:val="00F65AD3"/>
    <w:rsid w:val="00F66F53"/>
    <w:rsid w:val="00F67024"/>
    <w:rsid w:val="00F70531"/>
    <w:rsid w:val="00F71128"/>
    <w:rsid w:val="00F71E53"/>
    <w:rsid w:val="00F72EFC"/>
    <w:rsid w:val="00F768AB"/>
    <w:rsid w:val="00F76A08"/>
    <w:rsid w:val="00F807B7"/>
    <w:rsid w:val="00F81D9A"/>
    <w:rsid w:val="00F85DCD"/>
    <w:rsid w:val="00F875D2"/>
    <w:rsid w:val="00F90490"/>
    <w:rsid w:val="00F93577"/>
    <w:rsid w:val="00F94AE4"/>
    <w:rsid w:val="00F95580"/>
    <w:rsid w:val="00F97389"/>
    <w:rsid w:val="00F976AC"/>
    <w:rsid w:val="00F97B09"/>
    <w:rsid w:val="00F97C39"/>
    <w:rsid w:val="00FA0036"/>
    <w:rsid w:val="00FA12AD"/>
    <w:rsid w:val="00FA1C85"/>
    <w:rsid w:val="00FA3864"/>
    <w:rsid w:val="00FA43C3"/>
    <w:rsid w:val="00FA48E5"/>
    <w:rsid w:val="00FA6964"/>
    <w:rsid w:val="00FA6D1C"/>
    <w:rsid w:val="00FB05F5"/>
    <w:rsid w:val="00FB19A9"/>
    <w:rsid w:val="00FB23ED"/>
    <w:rsid w:val="00FB53D6"/>
    <w:rsid w:val="00FC097D"/>
    <w:rsid w:val="00FC0A54"/>
    <w:rsid w:val="00FC2F2E"/>
    <w:rsid w:val="00FC3A41"/>
    <w:rsid w:val="00FC5AB8"/>
    <w:rsid w:val="00FC7EC2"/>
    <w:rsid w:val="00FD314F"/>
    <w:rsid w:val="00FD3F68"/>
    <w:rsid w:val="00FD6099"/>
    <w:rsid w:val="00FD668C"/>
    <w:rsid w:val="00FD6BBF"/>
    <w:rsid w:val="00FD707C"/>
    <w:rsid w:val="00FE4C32"/>
    <w:rsid w:val="00FE51BD"/>
    <w:rsid w:val="00FE5DC3"/>
    <w:rsid w:val="00FE6DAE"/>
    <w:rsid w:val="00FF1779"/>
    <w:rsid w:val="00FF2340"/>
    <w:rsid w:val="00FF60C7"/>
    <w:rsid w:val="00FF7392"/>
    <w:rsid w:val="011410E7"/>
    <w:rsid w:val="043D4CEA"/>
    <w:rsid w:val="04F17BEB"/>
    <w:rsid w:val="074D26E8"/>
    <w:rsid w:val="083A6877"/>
    <w:rsid w:val="15794140"/>
    <w:rsid w:val="17692260"/>
    <w:rsid w:val="199D6D18"/>
    <w:rsid w:val="1CF777BC"/>
    <w:rsid w:val="21C914E5"/>
    <w:rsid w:val="22621177"/>
    <w:rsid w:val="273E7C3F"/>
    <w:rsid w:val="2F314E0D"/>
    <w:rsid w:val="32F32C23"/>
    <w:rsid w:val="331E20F0"/>
    <w:rsid w:val="33F16390"/>
    <w:rsid w:val="34344AEB"/>
    <w:rsid w:val="34E968B6"/>
    <w:rsid w:val="381C2384"/>
    <w:rsid w:val="399E0F98"/>
    <w:rsid w:val="3C187EAC"/>
    <w:rsid w:val="3C6B26BF"/>
    <w:rsid w:val="3FBF9164"/>
    <w:rsid w:val="415528F9"/>
    <w:rsid w:val="465327CE"/>
    <w:rsid w:val="48A045AB"/>
    <w:rsid w:val="4A79691B"/>
    <w:rsid w:val="4BE549CF"/>
    <w:rsid w:val="4D1709C3"/>
    <w:rsid w:val="4F6A2AE2"/>
    <w:rsid w:val="51F9EDB3"/>
    <w:rsid w:val="54BA7A43"/>
    <w:rsid w:val="57FE2DDA"/>
    <w:rsid w:val="5DC12740"/>
    <w:rsid w:val="60A76D6C"/>
    <w:rsid w:val="60F81F37"/>
    <w:rsid w:val="62391A73"/>
    <w:rsid w:val="6411158A"/>
    <w:rsid w:val="64731CB6"/>
    <w:rsid w:val="64B86B45"/>
    <w:rsid w:val="657E4050"/>
    <w:rsid w:val="665F6044"/>
    <w:rsid w:val="714C3827"/>
    <w:rsid w:val="716A492C"/>
    <w:rsid w:val="72D52371"/>
    <w:rsid w:val="735D05E1"/>
    <w:rsid w:val="75573F4D"/>
    <w:rsid w:val="75D612B0"/>
    <w:rsid w:val="77C722B1"/>
    <w:rsid w:val="77C851E0"/>
    <w:rsid w:val="79C59EB4"/>
    <w:rsid w:val="7AA226C9"/>
    <w:rsid w:val="7B404E95"/>
    <w:rsid w:val="7BD7FFE5"/>
    <w:rsid w:val="7BDA1573"/>
    <w:rsid w:val="7CFF88C3"/>
    <w:rsid w:val="7DBF6B6F"/>
    <w:rsid w:val="7E06559B"/>
    <w:rsid w:val="7E960D71"/>
    <w:rsid w:val="BF9FDE9A"/>
    <w:rsid w:val="D93C0DCC"/>
    <w:rsid w:val="DBD39836"/>
    <w:rsid w:val="EDBF01EB"/>
    <w:rsid w:val="F5DF36B6"/>
    <w:rsid w:val="FD5FF123"/>
    <w:rsid w:val="FFB73142"/>
    <w:rsid w:val="FFEDCC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0"/>
    <w:qFormat/>
    <w:uiPriority w:val="0"/>
    <w:pPr>
      <w:keepNext/>
      <w:keepLines/>
      <w:spacing w:before="340" w:after="330" w:line="360" w:lineRule="exact"/>
      <w:jc w:val="center"/>
      <w:outlineLvl w:val="0"/>
    </w:pPr>
    <w:rPr>
      <w:rFonts w:ascii="华文中宋" w:hAnsi="华文中宋" w:eastAsia="华文中宋" w:cs="Times New Roman"/>
      <w:b/>
      <w:bCs/>
      <w:kern w:val="44"/>
      <w:sz w:val="36"/>
      <w:szCs w:val="32"/>
      <w:lang w:bidi="ar-SA"/>
    </w:rPr>
  </w:style>
  <w:style w:type="paragraph" w:styleId="3">
    <w:name w:val="heading 2"/>
    <w:basedOn w:val="1"/>
    <w:next w:val="1"/>
    <w:link w:val="21"/>
    <w:unhideWhenUsed/>
    <w:qFormat/>
    <w:uiPriority w:val="0"/>
    <w:pPr>
      <w:keepNext/>
      <w:keepLines/>
      <w:spacing w:before="260" w:after="260" w:line="360" w:lineRule="auto"/>
      <w:outlineLvl w:val="1"/>
    </w:pPr>
    <w:rPr>
      <w:rFonts w:ascii="黑体" w:hAnsi="黑体" w:eastAsia="黑体" w:cs="Times New Roman"/>
      <w:b/>
      <w:bCs/>
      <w:kern w:val="0"/>
      <w:sz w:val="32"/>
      <w:szCs w:val="32"/>
      <w:lang w:bidi="ar-SA"/>
    </w:rPr>
  </w:style>
  <w:style w:type="paragraph" w:styleId="4">
    <w:name w:val="heading 3"/>
    <w:basedOn w:val="1"/>
    <w:next w:val="1"/>
    <w:link w:val="22"/>
    <w:unhideWhenUsed/>
    <w:qFormat/>
    <w:uiPriority w:val="0"/>
    <w:pPr>
      <w:spacing w:before="260" w:after="260" w:line="360" w:lineRule="exact"/>
      <w:ind w:firstLine="880" w:firstLineChars="200"/>
      <w:outlineLvl w:val="2"/>
    </w:pPr>
    <w:rPr>
      <w:rFonts w:ascii="Gill Sans MT" w:hAnsi="Gill Sans MT" w:eastAsia="黑体" w:cs="Times New Roman"/>
      <w:sz w:val="32"/>
      <w:szCs w:val="22"/>
      <w:lang w:bidi="ar-SA"/>
    </w:rPr>
  </w:style>
  <w:style w:type="paragraph" w:styleId="5">
    <w:name w:val="heading 4"/>
    <w:basedOn w:val="1"/>
    <w:next w:val="1"/>
    <w:link w:val="23"/>
    <w:unhideWhenUsed/>
    <w:qFormat/>
    <w:uiPriority w:val="0"/>
    <w:pPr>
      <w:keepNext/>
      <w:keepLines/>
      <w:spacing w:before="280" w:after="290" w:line="376" w:lineRule="auto"/>
      <w:ind w:firstLine="880" w:firstLineChars="200"/>
      <w:outlineLvl w:val="3"/>
    </w:pPr>
    <w:rPr>
      <w:rFonts w:ascii="Cambria" w:hAnsi="Cambria" w:eastAsia="宋体" w:cs="Times New Roman"/>
      <w:b/>
      <w:bCs/>
      <w:sz w:val="28"/>
      <w:szCs w:val="28"/>
      <w:lang w:bidi="ar-SA"/>
    </w:rPr>
  </w:style>
  <w:style w:type="character" w:default="1" w:styleId="17">
    <w:name w:val="Default Paragraph Font"/>
    <w:semiHidden/>
    <w:uiPriority w:val="0"/>
  </w:style>
  <w:style w:type="table" w:default="1" w:styleId="15">
    <w:name w:val="Normal Table"/>
    <w:semiHidden/>
    <w:uiPriority w:val="0"/>
    <w:tblPr>
      <w:tblStyle w:val="15"/>
      <w:tblCellMar>
        <w:top w:w="0" w:type="dxa"/>
        <w:left w:w="108" w:type="dxa"/>
        <w:bottom w:w="0" w:type="dxa"/>
        <w:right w:w="108" w:type="dxa"/>
      </w:tblCellMar>
    </w:tblPr>
  </w:style>
  <w:style w:type="paragraph" w:styleId="6">
    <w:name w:val="Document Map"/>
    <w:basedOn w:val="1"/>
    <w:link w:val="24"/>
    <w:uiPriority w:val="0"/>
    <w:pPr>
      <w:spacing w:line="360" w:lineRule="auto"/>
      <w:ind w:firstLine="880" w:firstLineChars="200"/>
    </w:pPr>
    <w:rPr>
      <w:rFonts w:ascii="宋体" w:hAnsi="Times New Roman" w:eastAsia="宋体" w:cs="Times New Roman"/>
      <w:sz w:val="18"/>
      <w:szCs w:val="18"/>
      <w:lang w:bidi="ar-SA"/>
    </w:rPr>
  </w:style>
  <w:style w:type="paragraph" w:styleId="7">
    <w:name w:val="Date"/>
    <w:basedOn w:val="1"/>
    <w:next w:val="1"/>
    <w:link w:val="25"/>
    <w:uiPriority w:val="0"/>
    <w:pPr>
      <w:ind w:left="100" w:leftChars="2500"/>
    </w:pPr>
    <w:rPr>
      <w:rFonts w:ascii="仿宋_GB2312" w:eastAsia="仿宋_GB2312"/>
      <w:sz w:val="32"/>
    </w:rPr>
  </w:style>
  <w:style w:type="paragraph" w:styleId="8">
    <w:name w:val="Body Text Indent 2"/>
    <w:basedOn w:val="1"/>
    <w:link w:val="26"/>
    <w:uiPriority w:val="0"/>
    <w:pPr>
      <w:spacing w:after="120" w:line="480" w:lineRule="auto"/>
      <w:ind w:left="420" w:leftChars="200" w:firstLine="880" w:firstLineChars="200"/>
    </w:pPr>
    <w:rPr>
      <w:rFonts w:ascii="Times New Roman" w:hAnsi="Times New Roman" w:eastAsia="宋体" w:cs="Times New Roman"/>
      <w:sz w:val="21"/>
      <w:szCs w:val="20"/>
      <w:lang w:bidi="ar-SA"/>
    </w:rPr>
  </w:style>
  <w:style w:type="paragraph" w:styleId="9">
    <w:name w:val="Balloon Text"/>
    <w:basedOn w:val="1"/>
    <w:link w:val="27"/>
    <w:semiHidden/>
    <w:uiPriority w:val="0"/>
    <w:rPr>
      <w:sz w:val="18"/>
      <w:szCs w:val="18"/>
    </w:rPr>
  </w:style>
  <w:style w:type="paragraph" w:styleId="10">
    <w:name w:val="footer"/>
    <w:basedOn w:val="1"/>
    <w:link w:val="28"/>
    <w:uiPriority w:val="0"/>
    <w:pPr>
      <w:tabs>
        <w:tab w:val="center" w:pos="4153"/>
        <w:tab w:val="right" w:pos="8306"/>
      </w:tabs>
      <w:snapToGrid w:val="0"/>
      <w:jc w:val="left"/>
    </w:pPr>
    <w:rPr>
      <w:sz w:val="18"/>
      <w:szCs w:val="18"/>
    </w:rPr>
  </w:style>
  <w:style w:type="paragraph" w:styleId="11">
    <w:name w:val="header"/>
    <w:basedOn w:val="1"/>
    <w:link w:val="29"/>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iPriority w:val="0"/>
    <w:pPr>
      <w:spacing w:line="360" w:lineRule="auto"/>
    </w:pPr>
    <w:rPr>
      <w:rFonts w:ascii="Gill Sans MT" w:hAnsi="Gill Sans MT" w:eastAsia="宋体" w:cs="Times New Roman"/>
      <w:b/>
      <w:sz w:val="32"/>
      <w:szCs w:val="22"/>
      <w:lang w:bidi="ar-SA"/>
    </w:rPr>
  </w:style>
  <w:style w:type="paragraph" w:styleId="13">
    <w:name w:val="toc 2"/>
    <w:basedOn w:val="1"/>
    <w:next w:val="1"/>
    <w:uiPriority w:val="0"/>
    <w:pPr>
      <w:spacing w:line="360" w:lineRule="auto"/>
      <w:ind w:left="640" w:leftChars="200"/>
    </w:pPr>
    <w:rPr>
      <w:rFonts w:ascii="Gill Sans MT" w:hAnsi="Gill Sans MT" w:eastAsia="宋体" w:cs="Times New Roman"/>
      <w:sz w:val="32"/>
      <w:szCs w:val="22"/>
      <w:lang w:bidi="ar-SA"/>
    </w:rPr>
  </w:style>
  <w:style w:type="paragraph" w:styleId="14">
    <w:name w:val="Title"/>
    <w:basedOn w:val="1"/>
    <w:next w:val="1"/>
    <w:link w:val="30"/>
    <w:qFormat/>
    <w:uiPriority w:val="0"/>
    <w:pPr>
      <w:spacing w:before="240" w:after="60" w:line="360" w:lineRule="auto"/>
      <w:ind w:firstLine="880" w:firstLineChars="200"/>
      <w:jc w:val="center"/>
      <w:outlineLvl w:val="0"/>
    </w:pPr>
    <w:rPr>
      <w:rFonts w:ascii="Gill Sans MT" w:hAnsi="Gill Sans MT" w:eastAsia="宋体" w:cs="Times New Roman"/>
      <w:b/>
      <w:bCs/>
      <w:kern w:val="0"/>
      <w:sz w:val="32"/>
      <w:szCs w:val="32"/>
      <w:lang w:bidi="ar-SA"/>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basedOn w:val="17"/>
    <w:uiPriority w:val="0"/>
    <w:rPr>
      <w:rFonts w:ascii="Times New Roman" w:hAnsi="Times New Roman" w:eastAsia="宋体" w:cs="Times New Roman"/>
      <w:color w:val="0000FF"/>
      <w:u w:val="single"/>
    </w:rPr>
  </w:style>
  <w:style w:type="character" w:customStyle="1" w:styleId="20">
    <w:name w:val="标题 1 Char"/>
    <w:basedOn w:val="17"/>
    <w:link w:val="2"/>
    <w:qFormat/>
    <w:uiPriority w:val="0"/>
    <w:rPr>
      <w:rFonts w:ascii="华文中宋" w:hAnsi="华文中宋" w:eastAsia="华文中宋" w:cs="Times New Roman"/>
      <w:b/>
      <w:bCs/>
      <w:kern w:val="44"/>
      <w:sz w:val="36"/>
      <w:szCs w:val="32"/>
    </w:rPr>
  </w:style>
  <w:style w:type="character" w:customStyle="1" w:styleId="21">
    <w:name w:val="标题 2 Char"/>
    <w:basedOn w:val="17"/>
    <w:link w:val="3"/>
    <w:uiPriority w:val="0"/>
    <w:rPr>
      <w:rFonts w:ascii="黑体" w:hAnsi="黑体" w:eastAsia="黑体" w:cs="Times New Roman"/>
      <w:b/>
      <w:bCs/>
      <w:kern w:val="0"/>
      <w:sz w:val="32"/>
      <w:szCs w:val="32"/>
    </w:rPr>
  </w:style>
  <w:style w:type="character" w:customStyle="1" w:styleId="22">
    <w:name w:val="标题 3 Char"/>
    <w:basedOn w:val="17"/>
    <w:link w:val="4"/>
    <w:uiPriority w:val="0"/>
    <w:rPr>
      <w:rFonts w:ascii="Gill Sans MT" w:hAnsi="Gill Sans MT" w:eastAsia="黑体" w:cs="Times New Roman"/>
      <w:sz w:val="32"/>
      <w:szCs w:val="22"/>
    </w:rPr>
  </w:style>
  <w:style w:type="character" w:customStyle="1" w:styleId="23">
    <w:name w:val="标题 4 Char"/>
    <w:basedOn w:val="17"/>
    <w:link w:val="5"/>
    <w:semiHidden/>
    <w:uiPriority w:val="0"/>
    <w:rPr>
      <w:rFonts w:ascii="Cambria" w:hAnsi="Cambria" w:eastAsia="宋体" w:cs="Times New Roman"/>
      <w:b/>
      <w:bCs/>
      <w:sz w:val="28"/>
      <w:szCs w:val="28"/>
    </w:rPr>
  </w:style>
  <w:style w:type="character" w:customStyle="1" w:styleId="24">
    <w:name w:val="文档结构图 Char"/>
    <w:basedOn w:val="17"/>
    <w:link w:val="6"/>
    <w:semiHidden/>
    <w:uiPriority w:val="0"/>
    <w:rPr>
      <w:rFonts w:ascii="宋体" w:hAnsi="Times New Roman" w:eastAsia="宋体" w:cs="Times New Roman"/>
      <w:sz w:val="18"/>
      <w:szCs w:val="18"/>
      <w:lang/>
    </w:rPr>
  </w:style>
  <w:style w:type="character" w:customStyle="1" w:styleId="25">
    <w:name w:val=" Char Char2"/>
    <w:basedOn w:val="17"/>
    <w:link w:val="7"/>
    <w:uiPriority w:val="0"/>
    <w:rPr>
      <w:rFonts w:ascii="仿宋_GB2312" w:hAnsi="Times New Roman" w:eastAsia="仿宋_GB2312" w:cs="Times New Roman"/>
      <w:kern w:val="2"/>
      <w:sz w:val="32"/>
      <w:szCs w:val="24"/>
      <w:lang w:bidi="ar-SA"/>
    </w:rPr>
  </w:style>
  <w:style w:type="character" w:customStyle="1" w:styleId="26">
    <w:name w:val="正文文本缩进 2 Char"/>
    <w:basedOn w:val="17"/>
    <w:link w:val="8"/>
    <w:uiPriority w:val="0"/>
    <w:rPr>
      <w:rFonts w:ascii="Times New Roman" w:hAnsi="Times New Roman" w:eastAsia="宋体" w:cs="Times New Roman"/>
      <w:sz w:val="21"/>
      <w:szCs w:val="20"/>
      <w:lang/>
    </w:rPr>
  </w:style>
  <w:style w:type="character" w:customStyle="1" w:styleId="27">
    <w:name w:val="批注框文本 Char"/>
    <w:basedOn w:val="17"/>
    <w:link w:val="9"/>
    <w:semiHidden/>
    <w:uiPriority w:val="0"/>
    <w:rPr>
      <w:rFonts w:ascii="Calibri" w:hAnsi="Calibri" w:eastAsia="宋体" w:cs="Times New Roman"/>
      <w:sz w:val="18"/>
      <w:szCs w:val="18"/>
    </w:rPr>
  </w:style>
  <w:style w:type="character" w:customStyle="1" w:styleId="28">
    <w:name w:val=" Char Char"/>
    <w:basedOn w:val="17"/>
    <w:link w:val="10"/>
    <w:semiHidden/>
    <w:uiPriority w:val="99"/>
    <w:rPr>
      <w:rFonts w:ascii="Calibri" w:hAnsi="Calibri" w:eastAsia="宋体" w:cs="Mongolian Baiti"/>
      <w:kern w:val="2"/>
      <w:sz w:val="18"/>
      <w:szCs w:val="22"/>
    </w:rPr>
  </w:style>
  <w:style w:type="character" w:customStyle="1" w:styleId="29">
    <w:name w:val=" Char Char1"/>
    <w:basedOn w:val="17"/>
    <w:link w:val="11"/>
    <w:semiHidden/>
    <w:uiPriority w:val="99"/>
    <w:rPr>
      <w:rFonts w:ascii="Calibri" w:hAnsi="Calibri" w:eastAsia="宋体" w:cs="Mongolian Baiti"/>
      <w:kern w:val="2"/>
      <w:sz w:val="18"/>
      <w:szCs w:val="22"/>
    </w:rPr>
  </w:style>
  <w:style w:type="character" w:customStyle="1" w:styleId="30">
    <w:name w:val="标题 Char"/>
    <w:basedOn w:val="17"/>
    <w:link w:val="14"/>
    <w:uiPriority w:val="0"/>
    <w:rPr>
      <w:rFonts w:ascii="Gill Sans MT" w:hAnsi="Gill Sans MT" w:eastAsia="宋体" w:cs="Times New Roman"/>
      <w:b/>
      <w:bCs/>
      <w:kern w:val="0"/>
      <w:sz w:val="32"/>
      <w:szCs w:val="32"/>
      <w:lang/>
    </w:rPr>
  </w:style>
  <w:style w:type="character" w:customStyle="1" w:styleId="31">
    <w:name w:val="页眉 Char"/>
    <w:basedOn w:val="17"/>
    <w:semiHidden/>
    <w:uiPriority w:val="0"/>
    <w:rPr>
      <w:rFonts w:ascii="Times New Roman" w:hAnsi="Times New Roman" w:eastAsia="仿宋_GB2312" w:cs="Times New Roman"/>
      <w:kern w:val="2"/>
      <w:sz w:val="18"/>
      <w:szCs w:val="18"/>
      <w:lang w:bidi="ar-SA"/>
    </w:rPr>
  </w:style>
  <w:style w:type="character" w:customStyle="1" w:styleId="32">
    <w:name w:val="页脚 Char"/>
    <w:basedOn w:val="17"/>
    <w:uiPriority w:val="0"/>
    <w:rPr>
      <w:rFonts w:ascii="Times New Roman" w:hAnsi="Times New Roman" w:eastAsia="仿宋_GB2312" w:cs="Times New Roman"/>
      <w:kern w:val="2"/>
      <w:sz w:val="18"/>
      <w:szCs w:val="18"/>
      <w:lang w:bidi="ar-SA"/>
    </w:rPr>
  </w:style>
  <w:style w:type="character" w:customStyle="1" w:styleId="33">
    <w:name w:val="日期 Char"/>
    <w:basedOn w:val="17"/>
    <w:semiHidden/>
    <w:uiPriority w:val="0"/>
    <w:rPr>
      <w:rFonts w:ascii="Gill Sans MT" w:hAnsi="Gill Sans MT" w:eastAsia="仿宋" w:cs="Times New Roman"/>
      <w:kern w:val="2"/>
      <w:sz w:val="32"/>
      <w:szCs w:val="22"/>
      <w:lang w:val="en-US" w:eastAsia="zh-CN" w:bidi="ar-SA"/>
    </w:rPr>
  </w:style>
  <w:style w:type="paragraph" w:styleId="34">
    <w:name w:val=""/>
    <w:basedOn w:val="2"/>
    <w:next w:val="1"/>
    <w:qFormat/>
    <w:uiPriority w:val="0"/>
    <w:pPr>
      <w:widowControl/>
      <w:spacing w:before="480" w:after="0" w:line="276" w:lineRule="auto"/>
      <w:jc w:val="left"/>
      <w:outlineLvl w:val="9"/>
    </w:pPr>
    <w:rPr>
      <w:rFonts w:ascii="Gill Sans MT" w:hAnsi="Gill Sans MT"/>
      <w:color w:val="365F91"/>
      <w:kern w:val="0"/>
      <w:sz w:val="28"/>
      <w:szCs w:val="28"/>
    </w:rPr>
  </w:style>
  <w:style w:type="paragraph" w:customStyle="1" w:styleId="35">
    <w:name w:val="列出段落3"/>
    <w:basedOn w:val="1"/>
    <w:qFormat/>
    <w:uiPriority w:val="0"/>
    <w:pPr>
      <w:spacing w:line="360" w:lineRule="auto"/>
      <w:ind w:firstLine="420" w:firstLineChars="200"/>
    </w:pPr>
    <w:rPr>
      <w:rFonts w:ascii="Calibri" w:hAnsi="Calibri" w:eastAsia="仿宋" w:cs="Times New Roman"/>
      <w:sz w:val="28"/>
      <w:szCs w:val="22"/>
      <w:lang w:bidi="ar-SA"/>
    </w:rPr>
  </w:style>
  <w:style w:type="paragraph" w:customStyle="1" w:styleId="36">
    <w:name w:val="表格"/>
    <w:basedOn w:val="1"/>
    <w:qFormat/>
    <w:uiPriority w:val="0"/>
    <w:pPr>
      <w:spacing w:line="360" w:lineRule="auto"/>
      <w:ind w:firstLine="640" w:firstLineChars="200"/>
    </w:pPr>
    <w:rPr>
      <w:rFonts w:ascii="Times New Roman" w:hAnsi="Times New Roman" w:eastAsia="仿宋" w:cs="Times New Roman"/>
      <w:sz w:val="28"/>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76</Characters>
  <Lines>1</Lines>
  <Paragraphs>1</Paragraphs>
  <TotalTime>1</TotalTime>
  <ScaleCrop>false</ScaleCrop>
  <LinksUpToDate>false</LinksUpToDate>
  <CharactersWithSpaces>88</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cp:lastPrinted>2021-07-06T17:40:10Z</cp:lastPrinted>
  <dcterms:modified xsi:type="dcterms:W3CDTF">2021-07-08T11:41:26Z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